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373"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54" w:lineRule="exact"/>
        <w:rPr>
          <w:sz w:val="24"/>
          <w:szCs w:val="24"/>
          <w:color w:val="auto"/>
        </w:rPr>
      </w:pPr>
    </w:p>
    <w:p>
      <w:pPr>
        <w:ind w:left="260" w:right="2800" w:hanging="225"/>
        <w:spacing w:after="0" w:line="331" w:lineRule="auto"/>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 xml:space="preserve">ANNUAL REPORT PURSUANT TO SECTION 13 OR 15(d) OF THE SECURITIES EXCHANGE ACT OF 1934 For the fiscal year ended </w:t>
      </w:r>
      <w:r>
        <w:rPr>
          <w:rFonts w:ascii="Arial" w:cs="Arial" w:eastAsia="Arial" w:hAnsi="Arial"/>
          <w:sz w:val="17"/>
          <w:szCs w:val="17"/>
          <w:b w:val="1"/>
          <w:bCs w:val="1"/>
          <w:u w:val="single" w:color="auto"/>
          <w:color w:val="auto"/>
        </w:rPr>
        <w:t>December 31, 2019</w:t>
      </w:r>
    </w:p>
    <w:p>
      <w:pPr>
        <w:spacing w:after="0" w:line="1" w:lineRule="exact"/>
        <w:rPr>
          <w:sz w:val="24"/>
          <w:szCs w:val="24"/>
          <w:color w:val="auto"/>
        </w:rPr>
      </w:pPr>
    </w:p>
    <w:p>
      <w:pPr>
        <w:ind w:left="1060"/>
        <w:spacing w:after="0"/>
        <w:rPr>
          <w:sz w:val="20"/>
          <w:szCs w:val="20"/>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260" w:right="2460" w:hanging="225"/>
        <w:spacing w:after="0" w:line="364" w:lineRule="auto"/>
        <w:tabs>
          <w:tab w:leader="none" w:pos="260"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0-19034</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REGENERON PHARMACEUTICALS, INC.</w:t>
      </w:r>
    </w:p>
    <w:p>
      <w:pPr>
        <w:spacing w:after="0" w:line="48" w:lineRule="exact"/>
        <w:rPr>
          <w:sz w:val="24"/>
          <w:szCs w:val="24"/>
          <w:color w:val="auto"/>
        </w:rPr>
      </w:pPr>
    </w:p>
    <w:p>
      <w:pPr>
        <w:ind w:left="402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5" w:lineRule="exact"/>
        <w:rPr>
          <w:sz w:val="24"/>
          <w:szCs w:val="24"/>
          <w:color w:val="auto"/>
        </w:rPr>
      </w:pPr>
    </w:p>
    <w:p>
      <w:pPr>
        <w:ind w:left="4060"/>
        <w:spacing w:after="0"/>
        <w:tabs>
          <w:tab w:leader="none" w:pos="73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13-3444607</w:t>
      </w:r>
    </w:p>
    <w:p>
      <w:pPr>
        <w:spacing w:after="0" w:line="85"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6"/>
          <w:szCs w:val="16"/>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p>
      <w:pPr>
        <w:jc w:val="right"/>
        <w:ind w:right="1140"/>
        <w:spacing w:after="0"/>
        <w:tabs>
          <w:tab w:leader="none" w:pos="5060" w:val="left"/>
          <w:tab w:leader="none" w:pos="3160" w:val="left"/>
        </w:tabs>
        <w:rPr>
          <w:sz w:val="20"/>
          <w:szCs w:val="20"/>
          <w:color w:val="auto"/>
        </w:rPr>
      </w:pPr>
      <w:r>
        <w:rPr>
          <w:rFonts w:ascii="Arial" w:cs="Arial" w:eastAsia="Arial" w:hAnsi="Arial"/>
          <w:sz w:val="18"/>
          <w:szCs w:val="18"/>
          <w:i w:val="1"/>
          <w:iCs w:val="1"/>
          <w:u w:val="single" w:color="auto"/>
          <w:color w:val="auto"/>
        </w:rPr>
        <w:t>Title of each class</w:t>
      </w:r>
      <w:r>
        <w:rPr>
          <w:sz w:val="20"/>
          <w:szCs w:val="20"/>
          <w:color w:val="auto"/>
        </w:rPr>
        <w:tab/>
      </w:r>
      <w:r>
        <w:rPr>
          <w:rFonts w:ascii="Arial" w:cs="Arial" w:eastAsia="Arial" w:hAnsi="Arial"/>
          <w:sz w:val="18"/>
          <w:szCs w:val="18"/>
          <w:i w:val="1"/>
          <w:iCs w:val="1"/>
          <w:u w:val="single" w:color="auto"/>
          <w:color w:val="auto"/>
        </w:rPr>
        <w:t>Trading Symbol</w:t>
      </w:r>
      <w:r>
        <w:rPr>
          <w:sz w:val="20"/>
          <w:szCs w:val="20"/>
          <w:color w:val="auto"/>
        </w:rPr>
        <w:tab/>
      </w:r>
      <w:r>
        <w:rPr>
          <w:rFonts w:ascii="Arial" w:cs="Arial" w:eastAsia="Arial" w:hAnsi="Arial"/>
          <w:sz w:val="16"/>
          <w:szCs w:val="16"/>
          <w:i w:val="1"/>
          <w:iCs w:val="1"/>
          <w:u w:val="single" w:color="auto"/>
          <w:color w:val="auto"/>
        </w:rPr>
        <w:t>Name of each exchange on which registered</w:t>
      </w:r>
    </w:p>
    <w:p>
      <w:pPr>
        <w:sectPr>
          <w:pgSz w:w="11900" w:h="16838" w:orient="portrait"/>
          <w:cols w:equalWidth="0" w:num="1">
            <w:col w:w="11420"/>
          </w:cols>
          <w:pgMar w:left="240" w:top="445" w:right="239" w:bottom="1440" w:gutter="0" w:footer="0" w:header="0"/>
        </w:sectPr>
      </w:pPr>
    </w:p>
    <w:p>
      <w:pPr>
        <w:spacing w:after="0" w:line="59" w:lineRule="exact"/>
        <w:rPr>
          <w:sz w:val="24"/>
          <w:szCs w:val="24"/>
          <w:color w:val="auto"/>
        </w:rPr>
      </w:pPr>
    </w:p>
    <w:p>
      <w:pPr>
        <w:ind w:left="1160"/>
        <w:spacing w:after="0"/>
        <w:tabs>
          <w:tab w:leader="none" w:pos="5500" w:val="left"/>
          <w:tab w:leader="none" w:pos="7440" w:val="left"/>
        </w:tabs>
        <w:rPr>
          <w:sz w:val="20"/>
          <w:szCs w:val="20"/>
          <w:color w:val="auto"/>
        </w:rPr>
      </w:pPr>
      <w:r>
        <w:rPr>
          <w:rFonts w:ascii="Arial" w:cs="Arial" w:eastAsia="Arial" w:hAnsi="Arial"/>
          <w:sz w:val="18"/>
          <w:szCs w:val="18"/>
          <w:b w:val="1"/>
          <w:bCs w:val="1"/>
          <w:color w:val="auto"/>
        </w:rPr>
        <w:t>Common Stock - par value $.001 per share</w:t>
      </w:r>
      <w:r>
        <w:rPr>
          <w:sz w:val="20"/>
          <w:szCs w:val="20"/>
          <w:color w:val="auto"/>
        </w:rPr>
        <w:tab/>
      </w:r>
      <w:r>
        <w:rPr>
          <w:rFonts w:ascii="Arial" w:cs="Arial" w:eastAsia="Arial" w:hAnsi="Arial"/>
          <w:sz w:val="18"/>
          <w:szCs w:val="18"/>
          <w:b w:val="1"/>
          <w:bCs w:val="1"/>
          <w:color w:val="auto"/>
        </w:rPr>
        <w:t>REGN</w:t>
      </w:r>
      <w:r>
        <w:rPr>
          <w:sz w:val="20"/>
          <w:szCs w:val="20"/>
          <w:color w:val="auto"/>
        </w:rPr>
        <w:tab/>
      </w:r>
      <w:r>
        <w:rPr>
          <w:rFonts w:ascii="Arial" w:cs="Arial" w:eastAsia="Arial" w:hAnsi="Arial"/>
          <w:sz w:val="16"/>
          <w:szCs w:val="16"/>
          <w:b w:val="1"/>
          <w:bCs w:val="1"/>
          <w:color w:val="auto"/>
        </w:rPr>
        <w:t>NASDAQ Global Select Market</w:t>
      </w:r>
    </w:p>
    <w:p>
      <w:pPr>
        <w:spacing w:after="0" w:line="144"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161" w:lineRule="exact"/>
        <w:rPr>
          <w:sz w:val="24"/>
          <w:szCs w:val="24"/>
          <w:color w:val="auto"/>
        </w:rPr>
      </w:pPr>
    </w:p>
    <w:p>
      <w:pPr>
        <w:ind w:left="40"/>
        <w:spacing w:after="0" w:line="23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4"/>
          <w:szCs w:val="24"/>
          <w:color w:val="auto"/>
        </w:rPr>
      </w:pPr>
    </w:p>
    <w:p>
      <w:pPr>
        <w:ind w:left="40" w:right="140"/>
        <w:spacing w:after="0" w:line="23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194"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6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6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219" w:lineRule="exact"/>
        <w:rPr>
          <w:sz w:val="24"/>
          <w:szCs w:val="24"/>
          <w:color w:val="auto"/>
        </w:rPr>
      </w:pPr>
    </w:p>
    <w:p>
      <w:pPr>
        <w:sectPr>
          <w:pgSz w:w="11900" w:h="16838" w:orient="portrait"/>
          <w:cols w:equalWidth="0" w:num="2">
            <w:col w:w="9940" w:space="260"/>
            <w:col w:w="1220"/>
          </w:cols>
          <w:pgMar w:left="240" w:top="445" w:right="239" w:bottom="1440" w:gutter="0" w:footer="0" w:header="0"/>
          <w:type w:val="continuous"/>
        </w:sectPr>
      </w:pPr>
    </w:p>
    <w:p>
      <w:pPr>
        <w:ind w:left="40" w:right="4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ind w:left="160"/>
              <w:spacing w:after="0" w:line="184"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6"/>
                <w:szCs w:val="16"/>
                <w:color w:val="auto"/>
              </w:rPr>
              <w:t>☒</w:t>
            </w:r>
          </w:p>
        </w:tc>
        <w:tc>
          <w:tcPr>
            <w:tcW w:w="1660" w:type="dxa"/>
            <w:vAlign w:val="bottom"/>
          </w:tcPr>
          <w:p>
            <w:pPr>
              <w:ind w:left="260"/>
              <w:spacing w:after="0" w:line="184"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6"/>
                <w:szCs w:val="16"/>
                <w:color w:val="auto"/>
              </w:rPr>
              <w:t>☐</w:t>
            </w:r>
          </w:p>
        </w:tc>
        <w:tc>
          <w:tcPr>
            <w:tcW w:w="202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6"/>
                <w:szCs w:val="16"/>
                <w:color w:val="auto"/>
              </w:rPr>
              <w:t>☐</w:t>
            </w:r>
          </w:p>
        </w:tc>
        <w:tc>
          <w:tcPr>
            <w:tcW w:w="2180" w:type="dxa"/>
            <w:vAlign w:val="bottom"/>
          </w:tcPr>
          <w:p>
            <w:pPr>
              <w:ind w:left="260"/>
              <w:spacing w:after="0" w:line="184"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6"/>
                <w:szCs w:val="16"/>
                <w:color w:val="auto"/>
              </w:rPr>
              <w:t>☐</w:t>
            </w:r>
          </w:p>
        </w:tc>
        <w:tc>
          <w:tcPr>
            <w:tcW w:w="274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0360" w:type="dxa"/>
            <w:vAlign w:val="bottom"/>
            <w:gridSpan w:val="5"/>
          </w:tcPr>
          <w:p>
            <w:pPr>
              <w:spacing w:after="0"/>
              <w:rPr>
                <w:sz w:val="20"/>
                <w:szCs w:val="20"/>
                <w:color w:val="auto"/>
              </w:rPr>
            </w:pPr>
            <w:r>
              <w:rPr>
                <w:rFonts w:ascii="Arial" w:cs="Arial" w:eastAsia="Arial" w:hAnsi="Arial"/>
                <w:sz w:val="13"/>
                <w:szCs w:val="13"/>
                <w:color w:val="auto"/>
                <w:w w:val="88"/>
              </w:rPr>
              <w:t>If an emerging growth company, indicate by check mark if the registrant has elected not to use the extended transition period for complying with any new or revised financial accounting standards provided</w:t>
            </w:r>
          </w:p>
        </w:tc>
        <w:tc>
          <w:tcPr>
            <w:tcW w:w="340" w:type="dxa"/>
            <w:vAlign w:val="bottom"/>
            <w:vMerge w:val="restart"/>
          </w:tcPr>
          <w:p>
            <w:pPr>
              <w:jc w:val="right"/>
              <w:ind w:right="79"/>
              <w:spacing w:after="0" w:line="161" w:lineRule="exact"/>
              <w:rPr>
                <w:sz w:val="20"/>
                <w:szCs w:val="20"/>
                <w:color w:val="auto"/>
              </w:rPr>
            </w:pPr>
            <w:r>
              <w:rPr>
                <w:rFonts w:ascii="MS PGothic" w:cs="MS PGothic" w:eastAsia="MS PGothic" w:hAnsi="MS PGothic"/>
                <w:sz w:val="16"/>
                <w:szCs w:val="16"/>
                <w:color w:val="auto"/>
                <w:w w:val="99"/>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420" w:type="dxa"/>
            <w:vAlign w:val="bottom"/>
            <w:gridSpan w:val="2"/>
          </w:tcPr>
          <w:p>
            <w:pPr>
              <w:spacing w:after="0"/>
              <w:rPr>
                <w:sz w:val="20"/>
                <w:szCs w:val="20"/>
                <w:color w:val="auto"/>
              </w:rPr>
            </w:pPr>
            <w:r>
              <w:rPr>
                <w:rFonts w:ascii="Arial" w:cs="Arial" w:eastAsia="Arial" w:hAnsi="Arial"/>
                <w:sz w:val="13"/>
                <w:szCs w:val="13"/>
                <w:color w:val="auto"/>
              </w:rPr>
              <w:t>pursuant to Section 13(a) of the Exchange Act.</w:t>
            </w: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Arial" w:cs="Arial" w:eastAsia="Arial" w:hAnsi="Arial"/>
                <w:sz w:val="13"/>
                <w:szCs w:val="13"/>
                <w:color w:val="auto"/>
                <w:w w:val="92"/>
              </w:rPr>
              <w:t>Indicate by check mark whether the registrant is a shell company (as defined in Rule 12b-2 of the Act).</w:t>
            </w:r>
          </w:p>
        </w:tc>
        <w:tc>
          <w:tcPr>
            <w:tcW w:w="2180" w:type="dxa"/>
            <w:vAlign w:val="bottom"/>
          </w:tcPr>
          <w:p>
            <w:pPr>
              <w:spacing w:after="0"/>
              <w:rPr>
                <w:sz w:val="24"/>
                <w:szCs w:val="24"/>
                <w:color w:val="auto"/>
              </w:rPr>
            </w:pPr>
          </w:p>
        </w:tc>
        <w:tc>
          <w:tcPr>
            <w:tcW w:w="3080" w:type="dxa"/>
            <w:vAlign w:val="bottom"/>
            <w:gridSpan w:val="2"/>
          </w:tcPr>
          <w:p>
            <w:pPr>
              <w:jc w:val="right"/>
              <w:ind w:right="79"/>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$32,929,000,000, computed by reference to the closing sales price of the stock on NASDAQ on June 28, 2019,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780" w:type="dxa"/>
            <w:vAlign w:val="bottom"/>
            <w:gridSpan w:val="3"/>
          </w:tcPr>
          <w:p>
            <w:pPr>
              <w:spacing w:after="0"/>
              <w:rPr>
                <w:sz w:val="20"/>
                <w:szCs w:val="20"/>
                <w:color w:val="auto"/>
              </w:rPr>
            </w:pPr>
            <w:r>
              <w:rPr>
                <w:rFonts w:ascii="Arial" w:cs="Arial" w:eastAsia="Arial" w:hAnsi="Arial"/>
                <w:sz w:val="13"/>
                <w:szCs w:val="13"/>
                <w:color w:val="auto"/>
                <w:w w:val="90"/>
              </w:rPr>
              <w:t>The number of shares outstanding of each of the registrant's classes of common stock as of January 31, 2020:</w:t>
            </w:r>
          </w:p>
        </w:tc>
        <w:tc>
          <w:tcPr>
            <w:tcW w:w="2140" w:type="dxa"/>
            <w:vAlign w:val="bottom"/>
          </w:tcPr>
          <w:p>
            <w:pPr>
              <w:spacing w:after="0"/>
              <w:rPr>
                <w:sz w:val="13"/>
                <w:szCs w:val="13"/>
                <w:color w:val="auto"/>
              </w:rPr>
            </w:pPr>
          </w:p>
        </w:tc>
      </w:tr>
      <w:tr>
        <w:trPr>
          <w:trHeight w:val="401"/>
        </w:trPr>
        <w:tc>
          <w:tcPr>
            <w:tcW w:w="35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Number of Shares</w:t>
            </w:r>
          </w:p>
        </w:tc>
      </w:tr>
      <w:tr>
        <w:trPr>
          <w:trHeight w:val="241"/>
        </w:trPr>
        <w:tc>
          <w:tcPr>
            <w:tcW w:w="352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Class A Stock, $.001 par value</w:t>
            </w:r>
          </w:p>
        </w:tc>
        <w:tc>
          <w:tcPr>
            <w:tcW w:w="2140" w:type="dxa"/>
            <w:vAlign w:val="bottom"/>
          </w:tcPr>
          <w:p>
            <w:pPr>
              <w:jc w:val="right"/>
              <w:ind w:right="757"/>
              <w:spacing w:after="0"/>
              <w:rPr>
                <w:sz w:val="20"/>
                <w:szCs w:val="20"/>
                <w:color w:val="auto"/>
              </w:rPr>
            </w:pPr>
            <w:r>
              <w:rPr>
                <w:rFonts w:ascii="Arial" w:cs="Arial" w:eastAsia="Arial" w:hAnsi="Arial"/>
                <w:sz w:val="13"/>
                <w:szCs w:val="13"/>
                <w:color w:val="auto"/>
              </w:rPr>
              <w:t>1,848,970</w:t>
            </w:r>
          </w:p>
        </w:tc>
      </w:tr>
      <w:tr>
        <w:trPr>
          <w:trHeight w:val="270"/>
        </w:trPr>
        <w:tc>
          <w:tcPr>
            <w:tcW w:w="352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2140" w:type="dxa"/>
            <w:vAlign w:val="bottom"/>
          </w:tcPr>
          <w:p>
            <w:pPr>
              <w:jc w:val="right"/>
              <w:ind w:right="697"/>
              <w:spacing w:after="0"/>
              <w:rPr>
                <w:sz w:val="20"/>
                <w:szCs w:val="20"/>
                <w:color w:val="auto"/>
              </w:rPr>
            </w:pPr>
            <w:r>
              <w:rPr>
                <w:rFonts w:ascii="Arial" w:cs="Arial" w:eastAsia="Arial" w:hAnsi="Arial"/>
                <w:sz w:val="13"/>
                <w:szCs w:val="13"/>
                <w:color w:val="auto"/>
              </w:rPr>
              <w:t>108,170,839</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79" w:lineRule="exact"/>
        <w:rPr>
          <w:sz w:val="24"/>
          <w:szCs w:val="24"/>
          <w:color w:val="auto"/>
        </w:rPr>
      </w:pPr>
    </w:p>
    <w:p>
      <w:pPr>
        <w:ind w:left="40"/>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2020 Annual Meeting of Shareholders are incorporated by reference into Part III of this Form 10-K.</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Exhibit index is located on pages 76 to 81 of this filing.</w:t>
      </w:r>
    </w:p>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680" w:type="dxa"/>
            <w:vAlign w:val="bottom"/>
            <w:tcBorders>
              <w:bottom w:val="single" w:sz="8" w:color="CCEEFF"/>
            </w:tcBorders>
            <w:gridSpan w:val="5"/>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Item 1B.</w:t>
              </w:r>
            </w:hyperlink>
          </w:p>
        </w:tc>
        <w:tc>
          <w:tcPr>
            <w:tcW w:w="640" w:type="dxa"/>
            <w:vAlign w:val="bottom"/>
            <w:gridSpan w:val="4"/>
          </w:tcPr>
          <w:p>
            <w:pPr>
              <w:spacing w:after="0"/>
              <w:rPr>
                <w:sz w:val="17"/>
                <w:szCs w:val="17"/>
                <w:color w:val="auto"/>
              </w:rPr>
            </w:pPr>
          </w:p>
        </w:tc>
        <w:tc>
          <w:tcPr>
            <w:tcW w:w="7140" w:type="dxa"/>
            <w:vAlign w:val="bottom"/>
            <w:gridSpan w:val="26"/>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Unresolved Staff Comments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Item 2.</w:t>
              </w:r>
            </w:hyperlink>
          </w:p>
        </w:tc>
        <w:tc>
          <w:tcPr>
            <w:tcW w:w="760" w:type="dxa"/>
            <w:vAlign w:val="bottom"/>
            <w:gridSpan w:val="6"/>
            <w:shd w:val="clear" w:color="auto" w:fill="CCEEFF"/>
          </w:tcPr>
          <w:p>
            <w:pPr>
              <w:spacing w:after="0"/>
              <w:rPr>
                <w:sz w:val="17"/>
                <w:szCs w:val="17"/>
                <w:color w:val="auto"/>
              </w:rPr>
            </w:pPr>
          </w:p>
        </w:tc>
        <w:tc>
          <w:tcPr>
            <w:tcW w:w="740" w:type="dxa"/>
            <w:vAlign w:val="bottom"/>
            <w:gridSpan w:val="3"/>
            <w:shd w:val="clear" w:color="auto" w:fill="CCEEFF"/>
          </w:tcPr>
          <w:p>
            <w:pPr>
              <w:spacing w:after="0" w:line="202"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Properties</w:t>
              </w:r>
            </w:hyperlink>
          </w:p>
        </w:tc>
        <w:tc>
          <w:tcPr>
            <w:tcW w:w="6400" w:type="dxa"/>
            <w:vAlign w:val="bottom"/>
            <w:gridSpan w:val="2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Item 3.</w:t>
              </w:r>
            </w:hyperlink>
          </w:p>
        </w:tc>
        <w:tc>
          <w:tcPr>
            <w:tcW w:w="760" w:type="dxa"/>
            <w:vAlign w:val="bottom"/>
            <w:gridSpan w:val="6"/>
          </w:tcPr>
          <w:p>
            <w:pPr>
              <w:spacing w:after="0"/>
              <w:rPr>
                <w:sz w:val="17"/>
                <w:szCs w:val="17"/>
                <w:color w:val="auto"/>
              </w:rPr>
            </w:pPr>
          </w:p>
        </w:tc>
        <w:tc>
          <w:tcPr>
            <w:tcW w:w="7140" w:type="dxa"/>
            <w:vAlign w:val="bottom"/>
            <w:gridSpan w:val="26"/>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w:t>
              </w:r>
            </w:hyperlink>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line="202"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Item 5.</w:t>
              </w:r>
            </w:hyperlink>
          </w:p>
        </w:tc>
        <w:tc>
          <w:tcPr>
            <w:tcW w:w="140" w:type="dxa"/>
            <w:vAlign w:val="bottom"/>
            <w:tcBorders>
              <w:top w:val="single" w:sz="8" w:color="0000FF"/>
            </w:tcBorders>
            <w:gridSpan w:val="3"/>
          </w:tcPr>
          <w:p>
            <w:pPr>
              <w:spacing w:after="0"/>
              <w:rPr>
                <w:sz w:val="17"/>
                <w:szCs w:val="17"/>
                <w:color w:val="auto"/>
              </w:rPr>
            </w:pPr>
          </w:p>
        </w:tc>
        <w:tc>
          <w:tcPr>
            <w:tcW w:w="620" w:type="dxa"/>
            <w:vAlign w:val="bottom"/>
            <w:tcBorders>
              <w:top w:val="single" w:sz="8" w:color="CCEEFF"/>
            </w:tcBorders>
            <w:gridSpan w:val="3"/>
          </w:tcPr>
          <w:p>
            <w:pPr>
              <w:spacing w:after="0"/>
              <w:rPr>
                <w:sz w:val="17"/>
                <w:szCs w:val="17"/>
                <w:color w:val="auto"/>
              </w:rPr>
            </w:pPr>
          </w:p>
        </w:tc>
        <w:tc>
          <w:tcPr>
            <w:tcW w:w="5880" w:type="dxa"/>
            <w:vAlign w:val="bottom"/>
            <w:tcBorders>
              <w:top w:val="single" w:sz="8" w:color="CCEEFF"/>
            </w:tcBorders>
            <w:gridSpan w:val="25"/>
          </w:tcPr>
          <w:p>
            <w:pPr>
              <w:spacing w:after="0" w:line="202"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Market for Registrant's Common Equity, Related Stockholder Matters, and Issuer</w:t>
              </w:r>
            </w:hyperlink>
          </w:p>
        </w:tc>
        <w:tc>
          <w:tcPr>
            <w:tcW w:w="12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jc w:val="center"/>
              <w:ind w:left="390"/>
              <w:spacing w:after="0" w:line="202"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Purchases of Equity Securities</w:t>
              </w:r>
            </w:hyperlink>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Item 6.</w:t>
              </w:r>
            </w:hyperlink>
          </w:p>
        </w:tc>
        <w:tc>
          <w:tcPr>
            <w:tcW w:w="760" w:type="dxa"/>
            <w:vAlign w:val="bottom"/>
            <w:gridSpan w:val="6"/>
            <w:shd w:val="clear" w:color="auto" w:fill="CCEEFF"/>
          </w:tcPr>
          <w:p>
            <w:pPr>
              <w:spacing w:after="0"/>
              <w:rPr>
                <w:sz w:val="17"/>
                <w:szCs w:val="17"/>
                <w:color w:val="auto"/>
              </w:rPr>
            </w:pPr>
          </w:p>
        </w:tc>
        <w:tc>
          <w:tcPr>
            <w:tcW w:w="1720" w:type="dxa"/>
            <w:vAlign w:val="bottom"/>
            <w:gridSpan w:val="11"/>
            <w:shd w:val="clear" w:color="auto" w:fill="CCEEFF"/>
          </w:tcPr>
          <w:p>
            <w:pPr>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Selected Financial Data</w:t>
              </w:r>
            </w:hyperlink>
          </w:p>
        </w:tc>
        <w:tc>
          <w:tcPr>
            <w:tcW w:w="5420" w:type="dxa"/>
            <w:vAlign w:val="bottom"/>
            <w:gridSpan w:val="15"/>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59</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Item 7.</w:t>
              </w:r>
            </w:hyperlink>
          </w:p>
        </w:tc>
        <w:tc>
          <w:tcPr>
            <w:tcW w:w="760" w:type="dxa"/>
            <w:vAlign w:val="bottom"/>
            <w:gridSpan w:val="6"/>
          </w:tcPr>
          <w:p>
            <w:pPr>
              <w:spacing w:after="0"/>
              <w:rPr>
                <w:sz w:val="17"/>
                <w:szCs w:val="17"/>
                <w:color w:val="auto"/>
              </w:rPr>
            </w:pPr>
          </w:p>
        </w:tc>
        <w:tc>
          <w:tcPr>
            <w:tcW w:w="5620" w:type="dxa"/>
            <w:vAlign w:val="bottom"/>
            <w:gridSpan w:val="22"/>
          </w:tcPr>
          <w:p>
            <w:pPr>
              <w:spacing w:after="0" w:line="202" w:lineRule="exact"/>
              <w:rPr>
                <w:rFonts w:ascii="Arial" w:cs="Arial" w:eastAsia="Arial" w:hAnsi="Arial"/>
                <w:sz w:val="18"/>
                <w:szCs w:val="18"/>
                <w:color w:val="0000FF"/>
                <w:w w:val="91"/>
              </w:rPr>
            </w:pPr>
            <w:hyperlink w:anchor="page61">
              <w:r>
                <w:rPr>
                  <w:rFonts w:ascii="Arial" w:cs="Arial" w:eastAsia="Arial" w:hAnsi="Arial"/>
                  <w:sz w:val="18"/>
                  <w:szCs w:val="18"/>
                  <w:color w:val="0000FF"/>
                  <w:w w:val="91"/>
                </w:rPr>
                <w:t>Management's Discussion and Analysis of Financial Condition and Results of</w:t>
              </w:r>
            </w:hyperlink>
          </w:p>
        </w:tc>
        <w:tc>
          <w:tcPr>
            <w:tcW w:w="1520" w:type="dxa"/>
            <w:vAlign w:val="bottom"/>
            <w:gridSpan w:val="4"/>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Operations</w:t>
              </w:r>
            </w:hyperlink>
          </w:p>
        </w:tc>
        <w:tc>
          <w:tcPr>
            <w:tcW w:w="15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Item 7A.</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Quantitative and Qualitative Disclosures About Market Risk</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Item 8.</w:t>
              </w:r>
            </w:hyperlink>
          </w:p>
        </w:tc>
        <w:tc>
          <w:tcPr>
            <w:tcW w:w="640" w:type="dxa"/>
            <w:vAlign w:val="bottom"/>
            <w:gridSpan w:val="4"/>
          </w:tcPr>
          <w:p>
            <w:pPr>
              <w:spacing w:after="0"/>
              <w:rPr>
                <w:sz w:val="17"/>
                <w:szCs w:val="17"/>
                <w:color w:val="auto"/>
              </w:rPr>
            </w:pPr>
          </w:p>
        </w:tc>
        <w:tc>
          <w:tcPr>
            <w:tcW w:w="4360" w:type="dxa"/>
            <w:vAlign w:val="bottom"/>
            <w:gridSpan w:val="20"/>
          </w:tcPr>
          <w:p>
            <w:pPr>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Financial Statements and Supplementary Data</w:t>
              </w:r>
            </w:hyperlink>
          </w:p>
        </w:tc>
        <w:tc>
          <w:tcPr>
            <w:tcW w:w="2780" w:type="dxa"/>
            <w:vAlign w:val="bottom"/>
            <w:gridSpan w:val="6"/>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Item 9.</w:t>
              </w:r>
            </w:hyperlink>
          </w:p>
        </w:tc>
        <w:tc>
          <w:tcPr>
            <w:tcW w:w="760" w:type="dxa"/>
            <w:vAlign w:val="bottom"/>
            <w:gridSpan w:val="6"/>
            <w:shd w:val="clear" w:color="auto" w:fill="CCEEFF"/>
          </w:tcPr>
          <w:p>
            <w:pPr>
              <w:spacing w:after="0"/>
              <w:rPr>
                <w:sz w:val="17"/>
                <w:szCs w:val="17"/>
                <w:color w:val="auto"/>
              </w:rPr>
            </w:pPr>
          </w:p>
        </w:tc>
        <w:tc>
          <w:tcPr>
            <w:tcW w:w="5680" w:type="dxa"/>
            <w:vAlign w:val="bottom"/>
            <w:gridSpan w:val="23"/>
            <w:shd w:val="clear" w:color="auto" w:fill="CCEEFF"/>
          </w:tcPr>
          <w:p>
            <w:pPr>
              <w:spacing w:after="0" w:line="202"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Changes in and Disagreements with Accountants on Accounting and Financial</w:t>
              </w:r>
            </w:hyperlink>
          </w:p>
        </w:tc>
        <w:tc>
          <w:tcPr>
            <w:tcW w:w="1460" w:type="dxa"/>
            <w:vAlign w:val="bottom"/>
            <w:gridSpan w:val="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Disclosure</w:t>
              </w:r>
            </w:hyperlink>
          </w:p>
        </w:tc>
        <w:tc>
          <w:tcPr>
            <w:tcW w:w="4900" w:type="dxa"/>
            <w:vAlign w:val="bottom"/>
            <w:tcBorders>
              <w:top w:val="single" w:sz="8" w:color="0000FF"/>
              <w:bottom w:val="single" w:sz="8" w:color="CCEEFF"/>
            </w:tcBorders>
            <w:gridSpan w:val="19"/>
            <w:shd w:val="clear" w:color="auto" w:fill="CCEEFF"/>
          </w:tcPr>
          <w:p>
            <w:pPr>
              <w:spacing w:after="0"/>
              <w:rPr>
                <w:sz w:val="21"/>
                <w:szCs w:val="21"/>
                <w:color w:val="auto"/>
              </w:rPr>
            </w:pPr>
          </w:p>
        </w:tc>
        <w:tc>
          <w:tcPr>
            <w:tcW w:w="146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9A.</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Controls and Procedures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9B.</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Other Information</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b w:val="1"/>
                <w:bCs w:val="1"/>
                <w:color w:val="0000FF"/>
              </w:rPr>
            </w:pPr>
            <w:hyperlink w:anchor="page77">
              <w:r>
                <w:rPr>
                  <w:rFonts w:ascii="Arial" w:cs="Arial" w:eastAsia="Arial" w:hAnsi="Arial"/>
                  <w:sz w:val="18"/>
                  <w:szCs w:val="18"/>
                  <w:b w:val="1"/>
                  <w:bCs w:val="1"/>
                  <w:color w:val="0000FF"/>
                </w:rPr>
                <w:t>PART III</w:t>
              </w:r>
            </w:hyperlink>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10.</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Directors, Executive Officers and Corporate Governance</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Item 11.</w:t>
              </w:r>
            </w:hyperlink>
          </w:p>
        </w:tc>
        <w:tc>
          <w:tcPr>
            <w:tcW w:w="680" w:type="dxa"/>
            <w:vAlign w:val="bottom"/>
            <w:gridSpan w:val="5"/>
            <w:shd w:val="clear" w:color="auto" w:fill="CCEEFF"/>
          </w:tcPr>
          <w:p>
            <w:pPr>
              <w:spacing w:after="0"/>
              <w:rPr>
                <w:sz w:val="17"/>
                <w:szCs w:val="17"/>
                <w:color w:val="auto"/>
              </w:rPr>
            </w:pPr>
          </w:p>
        </w:tc>
        <w:tc>
          <w:tcPr>
            <w:tcW w:w="1820" w:type="dxa"/>
            <w:vAlign w:val="bottom"/>
            <w:gridSpan w:val="13"/>
            <w:shd w:val="clear" w:color="auto" w:fill="CCEEFF"/>
          </w:tcPr>
          <w:p>
            <w:pPr>
              <w:spacing w:after="0" w:line="202"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Executive Compensation</w:t>
              </w:r>
            </w:hyperlink>
          </w:p>
        </w:tc>
        <w:tc>
          <w:tcPr>
            <w:tcW w:w="5320" w:type="dxa"/>
            <w:vAlign w:val="bottom"/>
            <w:gridSpan w:val="1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12.</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Security Ownership of Certain Beneficial Owners and Management and Related</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Stockholder Matters</w:t>
              </w:r>
            </w:hyperlink>
          </w:p>
        </w:tc>
        <w:tc>
          <w:tcPr>
            <w:tcW w:w="13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13.</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Certain Relationships and Related Transactions, and Director Independence</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14.</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Principal Accounting Fees and Services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7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b w:val="1"/>
                <w:bCs w:val="1"/>
                <w:color w:val="0000FF"/>
              </w:rPr>
            </w:pPr>
            <w:hyperlink w:anchor="page77">
              <w:r>
                <w:rPr>
                  <w:rFonts w:ascii="Arial" w:cs="Arial" w:eastAsia="Arial" w:hAnsi="Arial"/>
                  <w:sz w:val="18"/>
                  <w:szCs w:val="18"/>
                  <w:b w:val="1"/>
                  <w:bCs w:val="1"/>
                  <w:color w:val="0000FF"/>
                </w:rPr>
                <w:t>PART IV</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15.</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Item 16.</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Form 10-K Summary</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7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600" w:type="dxa"/>
            <w:vAlign w:val="bottom"/>
            <w:gridSpan w:val="8"/>
          </w:tcPr>
          <w:p>
            <w:pPr>
              <w:spacing w:after="0" w:line="202" w:lineRule="exact"/>
              <w:rPr>
                <w:rFonts w:ascii="Arial" w:cs="Arial" w:eastAsia="Arial" w:hAnsi="Arial"/>
                <w:sz w:val="18"/>
                <w:szCs w:val="18"/>
                <w:b w:val="1"/>
                <w:bCs w:val="1"/>
                <w:color w:val="0000FF"/>
                <w:w w:val="97"/>
              </w:rPr>
            </w:pPr>
            <w:hyperlink w:anchor="page84">
              <w:r>
                <w:rPr>
                  <w:rFonts w:ascii="Arial" w:cs="Arial" w:eastAsia="Arial" w:hAnsi="Arial"/>
                  <w:sz w:val="18"/>
                  <w:szCs w:val="18"/>
                  <w:b w:val="1"/>
                  <w:bCs w:val="1"/>
                  <w:color w:val="0000FF"/>
                  <w:w w:val="97"/>
                </w:rPr>
                <w:t>SIGNATURE PAGE</w:t>
              </w:r>
            </w:hyperlink>
          </w:p>
        </w:tc>
        <w:tc>
          <w:tcPr>
            <w:tcW w:w="6820" w:type="dxa"/>
            <w:vAlign w:val="bottom"/>
            <w:gridSpan w:val="25"/>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82</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40"/>
        <w:spacing w:after="0" w:line="21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"Libtayo</w:t>
      </w:r>
      <w:r>
        <w:rPr>
          <w:rFonts w:ascii="Arial" w:cs="Arial" w:eastAsia="Arial" w:hAnsi="Arial"/>
          <w:sz w:val="25"/>
          <w:szCs w:val="25"/>
          <w:color w:val="auto"/>
          <w:vertAlign w:val="superscript"/>
        </w:rPr>
        <w:t>®</w:t>
      </w:r>
      <w:r>
        <w:rPr>
          <w:rFonts w:ascii="Arial" w:cs="Arial" w:eastAsia="Arial" w:hAnsi="Arial"/>
          <w:sz w:val="18"/>
          <w:szCs w:val="18"/>
          <w:color w:val="auto"/>
        </w:rPr>
        <w:t>" (in the United States), "Regeneron</w:t>
      </w:r>
      <w:r>
        <w:rPr>
          <w:rFonts w:ascii="Arial" w:cs="Arial" w:eastAsia="Arial" w:hAnsi="Arial"/>
          <w:sz w:val="25"/>
          <w:szCs w:val="25"/>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xml:space="preserve">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280"/>
          </w:cols>
          <w:pgMar w:left="240" w:top="130" w:right="3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by us and/or our collaborators (collectively, "Regeneron's Products") and our product candidates and research and clinical programs now underway or planned, including without limitation EYLEA</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(aflibercept) Injection, Dupixent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(dupilumab) Injection, Libtayo</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(cemiplimab) Injection, Praluent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(alirocumab) Injection, Kevzara</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(sarilumab) Injection, fasinumab, evinacumab, REGN-EB3, garetosmab, pozelimab, and REGN1979; the likelihood and timing of achieving any of our anticipated clinical development milestones referenced in this report;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our late-stage product candidates and new indications for Regeneron's Products, including without limitation EYLEA, Dupixent, Libtayo, Praluent, Kevzara, fasinumab, evinacumab, REGN-EB3, garetosmab, pozelimab, and REGN1979; the extent to which the results from the research and development programs conducted by us or our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described further in Note 16 to our Consolidated Financial Statements included in this report), other litigation and other proceedings and governmental investigations relating to the Company and/or its operations (including without limitation those described in Note 16 to our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6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574"/>
        </w:trPr>
        <w:tc>
          <w:tcPr>
            <w:tcW w:w="5780" w:type="dxa"/>
            <w:vAlign w:val="bottom"/>
            <w:gridSpan w:val="3"/>
          </w:tcPr>
          <w:p>
            <w:pPr>
              <w:spacing w:after="0"/>
              <w:rPr>
                <w:sz w:val="20"/>
                <w:szCs w:val="20"/>
                <w:color w:val="auto"/>
              </w:rPr>
            </w:pPr>
            <w:r>
              <w:rPr>
                <w:rFonts w:ascii="Arial" w:cs="Arial" w:eastAsia="Arial" w:hAnsi="Arial"/>
                <w:sz w:val="18"/>
                <w:szCs w:val="18"/>
                <w:color w:val="auto"/>
              </w:rPr>
              <w:t>Selected financial information is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5,872.2</w:t>
            </w:r>
          </w:p>
        </w:tc>
      </w:tr>
      <w:tr>
        <w:trPr>
          <w:trHeight w:val="243"/>
        </w:trPr>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1,198.5</w:t>
            </w:r>
          </w:p>
        </w:tc>
      </w:tr>
      <w:tr>
        <w:trPr>
          <w:trHeight w:val="27"/>
        </w:trPr>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7"/>
        </w:trPr>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December 2019, we and Sanofi announced our intent to restructure the antibody collaboration for Kevzara and Praluent; completion of the proposed arrangement is expected to be finalized in the first quarter of 2020. Refer to "Collaboration Agreements - </w:t>
      </w:r>
      <w:r>
        <w:rPr>
          <w:rFonts w:ascii="Arial" w:cs="Arial" w:eastAsia="Arial" w:hAnsi="Arial"/>
          <w:sz w:val="18"/>
          <w:szCs w:val="18"/>
          <w:i w:val="1"/>
          <w:iCs w:val="1"/>
          <w:color w:val="auto"/>
        </w:rPr>
        <w:t>Collaborations with 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section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seven products that have received marketing approval, which are currently marketed by us, Bayer, and/or Sanofi:</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Territory</w:t>
            </w:r>
          </w:p>
        </w:tc>
        <w:tc>
          <w:tcPr>
            <w:tcW w:w="8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Product</w:t>
            </w:r>
          </w:p>
        </w:tc>
        <w:tc>
          <w:tcPr>
            <w:tcW w:w="120" w:type="dxa"/>
            <w:vAlign w:val="bottom"/>
            <w:tcBorders>
              <w:bottom w:val="single" w:sz="8" w:color="CCEEFF"/>
            </w:tcBorders>
          </w:tcPr>
          <w:p>
            <w:pPr>
              <w:spacing w:after="0"/>
              <w:rPr>
                <w:sz w:val="22"/>
                <w:szCs w:val="22"/>
                <w:color w:val="auto"/>
              </w:rPr>
            </w:pPr>
          </w:p>
        </w:tc>
        <w:tc>
          <w:tcPr>
            <w:tcW w:w="3560" w:type="dxa"/>
            <w:vAlign w:val="bottom"/>
            <w:tcBorders>
              <w:bottom w:val="single" w:sz="8" w:color="auto"/>
            </w:tcBorders>
          </w:tcPr>
          <w:p>
            <w:pPr>
              <w:ind w:left="1220"/>
              <w:spacing w:after="0" w:line="264"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EU</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(6)</w:t>
            </w:r>
          </w:p>
        </w:tc>
      </w:tr>
      <w:tr>
        <w:trPr>
          <w:trHeight w:val="222"/>
        </w:trPr>
        <w:tc>
          <w:tcPr>
            <w:tcW w:w="344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Neovascular age-related macular degeneration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("wet AMD")</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34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Diabetic macular edema ("DME")</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4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Macular edema following retinal vein occlusion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("RVO"), which includes macular edema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following central retinal vein occlusion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("CRVO") and macular edema following branch</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retinal vein occlusion ("BRVO")</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56"/>
        </w:trPr>
        <w:tc>
          <w:tcPr>
            <w:tcW w:w="34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Myopic choroidal neovascularization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("mCNV")</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7"/>
        </w:trPr>
        <w:tc>
          <w:tcPr>
            <w:tcW w:w="3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Diabetic retinopathy</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83"/>
        </w:trPr>
        <w:tc>
          <w:tcPr>
            <w:tcW w:w="3440" w:type="dxa"/>
            <w:vAlign w:val="bottom"/>
          </w:tcPr>
          <w:p>
            <w:pPr>
              <w:ind w:left="20"/>
              <w:spacing w:after="0" w:line="283"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3680" w:type="dxa"/>
            <w:vAlign w:val="bottom"/>
            <w:gridSpan w:val="2"/>
          </w:tcPr>
          <w:p>
            <w:pPr>
              <w:ind w:left="20"/>
              <w:spacing w:after="0" w:line="283" w:lineRule="exact"/>
              <w:rPr>
                <w:sz w:val="20"/>
                <w:szCs w:val="20"/>
                <w:color w:val="auto"/>
              </w:rPr>
            </w:pPr>
            <w:r>
              <w:rPr>
                <w:rFonts w:ascii="Arial" w:cs="Arial" w:eastAsia="Arial" w:hAnsi="Arial"/>
                <w:sz w:val="18"/>
                <w:szCs w:val="18"/>
                <w:color w:val="auto"/>
                <w:w w:val="94"/>
              </w:rPr>
              <w:t>- Atopic dermatitis (in adults and adolescents)</w:t>
            </w:r>
            <w:r>
              <w:rPr>
                <w:rFonts w:ascii="Arial" w:cs="Arial" w:eastAsia="Arial" w:hAnsi="Arial"/>
                <w:sz w:val="25"/>
                <w:szCs w:val="25"/>
                <w:color w:val="auto"/>
                <w:w w:val="94"/>
                <w:vertAlign w:val="superscript"/>
              </w:rPr>
              <w:t>(7)</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4"/>
                <w:szCs w:val="24"/>
                <w:color w:val="auto"/>
              </w:rPr>
            </w:pPr>
          </w:p>
        </w:tc>
        <w:tc>
          <w:tcPr>
            <w:tcW w:w="580" w:type="dxa"/>
            <w:vAlign w:val="bottom"/>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4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 Asthma (in adults and adolescents)</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0"/>
                <w:szCs w:val="20"/>
                <w:color w:val="auto"/>
              </w:rPr>
            </w:pPr>
          </w:p>
        </w:tc>
        <w:tc>
          <w:tcPr>
            <w:tcW w:w="580" w:type="dxa"/>
            <w:vAlign w:val="bottom"/>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44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 Chronic rhinosinusitis with nasal polyposis</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2"/>
                <w:szCs w:val="22"/>
                <w:color w:val="auto"/>
              </w:rPr>
            </w:pPr>
          </w:p>
        </w:tc>
        <w:tc>
          <w:tcPr>
            <w:tcW w:w="580" w:type="dxa"/>
            <w:vAlign w:val="bottom"/>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("CRSwNP")</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Libtayo (cemiplimab) Injection</w:t>
            </w:r>
            <w:r>
              <w:rPr>
                <w:rFonts w:ascii="Arial" w:cs="Arial" w:eastAsia="Arial" w:hAnsi="Arial"/>
                <w:sz w:val="25"/>
                <w:szCs w:val="25"/>
                <w:color w:val="auto"/>
                <w:vertAlign w:val="superscript"/>
              </w:rPr>
              <w:t>(3)(4)</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Metastatic or locally advanced cutaneous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squamous cell carcinoma ("CSCC")</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3440" w:type="dxa"/>
            <w:vAlign w:val="bottom"/>
          </w:tcPr>
          <w:p>
            <w:pPr>
              <w:ind w:left="2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 LDL-lowering in heterozygous familial</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580" w:type="dxa"/>
            <w:vAlign w:val="bottom"/>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hypercholesterolemia ("HeFH") or clinical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atherosclerotic cardiovascular disease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("ASCVD") (in adults)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344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w w:val="99"/>
              </w:rPr>
              <w:t>- Cardiovascular risk reduction in patients with</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2"/>
                <w:szCs w:val="22"/>
                <w:color w:val="auto"/>
              </w:rPr>
            </w:pPr>
          </w:p>
        </w:tc>
        <w:tc>
          <w:tcPr>
            <w:tcW w:w="580" w:type="dxa"/>
            <w:vAlign w:val="bottom"/>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established cardiovascular disease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 (sarilumab) Solution for</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Rheumatoid arthritis ("RA") (in adults)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4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9"/>
        </w:trPr>
        <w:tc>
          <w:tcPr>
            <w:tcW w:w="3440" w:type="dxa"/>
            <w:vAlign w:val="bottom"/>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 Cryopyrin-Associated Periodic Syndromes</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Subcutaneous Use</w:t>
            </w:r>
          </w:p>
        </w:tc>
        <w:tc>
          <w:tcPr>
            <w:tcW w:w="120" w:type="dxa"/>
            <w:vAlign w:val="bottom"/>
          </w:tcPr>
          <w:p>
            <w:pPr>
              <w:spacing w:after="0"/>
              <w:rPr>
                <w:sz w:val="18"/>
                <w:szCs w:val="18"/>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("CAPS"), including Familial Cold Auto-</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w w:val="94"/>
              </w:rPr>
              <w:t>inflammatory Syndrome ("FCAS") and Muckle-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Wells Syndrome ("MWS")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Metastatic colorectal cancer ("mCRC")</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4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Intravenous Infusion</w:t>
            </w:r>
            <w:r>
              <w:rPr>
                <w:rFonts w:ascii="Arial" w:cs="Arial" w:eastAsia="Arial" w:hAnsi="Arial"/>
                <w:sz w:val="25"/>
                <w:szCs w:val="25"/>
                <w:color w:val="auto"/>
                <w:vertAlign w:val="superscript"/>
              </w:rPr>
              <w:t>(5)</w:t>
            </w:r>
          </w:p>
        </w:tc>
        <w:tc>
          <w:tcPr>
            <w:tcW w:w="12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bl>
    <w:p>
      <w:pPr>
        <w:spacing w:after="0" w:line="130" w:lineRule="exact"/>
        <w:rPr>
          <w:sz w:val="20"/>
          <w:szCs w:val="20"/>
          <w:color w:val="auto"/>
        </w:rPr>
      </w:pPr>
    </w:p>
    <w:p>
      <w:pPr>
        <w:ind w:left="560" w:hanging="120"/>
        <w:spacing w:after="0"/>
        <w:tabs>
          <w:tab w:leader="none" w:pos="560" w:val="left"/>
        </w:tabs>
        <w:numPr>
          <w:ilvl w:val="0"/>
          <w:numId w:val="3"/>
        </w:numPr>
        <w:rPr>
          <w:rFonts w:ascii="Arial" w:cs="Arial" w:eastAsia="Arial" w:hAnsi="Arial"/>
          <w:sz w:val="9"/>
          <w:szCs w:val="9"/>
          <w:color w:val="auto"/>
        </w:rPr>
      </w:pPr>
      <w:r>
        <w:rPr>
          <w:rFonts w:ascii="Arial" w:cs="Arial" w:eastAsia="Arial" w:hAnsi="Arial"/>
          <w:sz w:val="14"/>
          <w:szCs w:val="14"/>
          <w:color w:val="auto"/>
        </w:rPr>
        <w:t>Refer to label information in each territory for specific indication</w:t>
      </w:r>
    </w:p>
    <w:p>
      <w:pPr>
        <w:spacing w:after="0" w:line="41" w:lineRule="exact"/>
        <w:rPr>
          <w:rFonts w:ascii="Arial" w:cs="Arial" w:eastAsia="Arial" w:hAnsi="Arial"/>
          <w:sz w:val="9"/>
          <w:szCs w:val="9"/>
          <w:color w:val="auto"/>
        </w:rPr>
      </w:pPr>
    </w:p>
    <w:p>
      <w:pPr>
        <w:ind w:left="560" w:hanging="120"/>
        <w:spacing w:after="0"/>
        <w:tabs>
          <w:tab w:leader="none" w:pos="560" w:val="left"/>
        </w:tabs>
        <w:numPr>
          <w:ilvl w:val="0"/>
          <w:numId w:val="3"/>
        </w:numPr>
        <w:rPr>
          <w:rFonts w:ascii="Arial" w:cs="Arial" w:eastAsia="Arial" w:hAnsi="Arial"/>
          <w:sz w:val="9"/>
          <w:szCs w:val="9"/>
          <w:color w:val="auto"/>
        </w:rPr>
      </w:pPr>
      <w:r>
        <w:rPr>
          <w:rFonts w:ascii="Arial" w:cs="Arial" w:eastAsia="Arial" w:hAnsi="Arial"/>
          <w:sz w:val="14"/>
          <w:szCs w:val="14"/>
          <w:color w:val="auto"/>
        </w:rPr>
        <w:t>In collaboration with Bayer (outside the United States)</w:t>
      </w:r>
    </w:p>
    <w:p>
      <w:pPr>
        <w:spacing w:after="0" w:line="41" w:lineRule="exact"/>
        <w:rPr>
          <w:rFonts w:ascii="Arial" w:cs="Arial" w:eastAsia="Arial" w:hAnsi="Arial"/>
          <w:sz w:val="9"/>
          <w:szCs w:val="9"/>
          <w:color w:val="auto"/>
        </w:rPr>
      </w:pPr>
    </w:p>
    <w:p>
      <w:pPr>
        <w:ind w:left="580" w:hanging="140"/>
        <w:spacing w:after="0"/>
        <w:tabs>
          <w:tab w:leader="none" w:pos="580" w:val="left"/>
        </w:tabs>
        <w:numPr>
          <w:ilvl w:val="0"/>
          <w:numId w:val="3"/>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560" w:hanging="120"/>
        <w:spacing w:after="0"/>
        <w:tabs>
          <w:tab w:leader="none" w:pos="560" w:val="left"/>
        </w:tabs>
        <w:numPr>
          <w:ilvl w:val="0"/>
          <w:numId w:val="3"/>
        </w:numPr>
        <w:rPr>
          <w:rFonts w:ascii="Arial" w:cs="Arial" w:eastAsia="Arial" w:hAnsi="Arial"/>
          <w:sz w:val="9"/>
          <w:szCs w:val="9"/>
          <w:color w:val="auto"/>
        </w:rPr>
      </w:pPr>
      <w:r>
        <w:rPr>
          <w:rFonts w:ascii="Arial" w:cs="Arial" w:eastAsia="Arial" w:hAnsi="Arial"/>
          <w:sz w:val="14"/>
          <w:szCs w:val="14"/>
          <w:color w:val="auto"/>
        </w:rPr>
        <w:t>Marketed as Libtayo (cemiplimab-rwlc) Injection in the United States</w:t>
      </w:r>
    </w:p>
    <w:p>
      <w:pPr>
        <w:spacing w:after="0" w:line="41" w:lineRule="exact"/>
        <w:rPr>
          <w:rFonts w:ascii="Arial" w:cs="Arial" w:eastAsia="Arial" w:hAnsi="Arial"/>
          <w:sz w:val="9"/>
          <w:szCs w:val="9"/>
          <w:color w:val="auto"/>
        </w:rPr>
      </w:pPr>
    </w:p>
    <w:p>
      <w:pPr>
        <w:ind w:left="440" w:right="100"/>
        <w:spacing w:after="0" w:line="253" w:lineRule="auto"/>
        <w:tabs>
          <w:tab w:leader="none" w:pos="581" w:val="left"/>
        </w:tabs>
        <w:numPr>
          <w:ilvl w:val="0"/>
          <w:numId w:val="3"/>
        </w:numPr>
        <w:rPr>
          <w:rFonts w:ascii="Arial" w:cs="Arial" w:eastAsia="Arial" w:hAnsi="Arial"/>
          <w:sz w:val="9"/>
          <w:szCs w:val="9"/>
          <w:color w:val="auto"/>
        </w:rPr>
      </w:pPr>
      <w:r>
        <w:rPr>
          <w:rFonts w:ascii="Arial" w:cs="Arial" w:eastAsia="Arial" w:hAnsi="Arial"/>
          <w:sz w:val="14"/>
          <w:szCs w:val="14"/>
          <w:color w:val="auto"/>
        </w:rPr>
        <w:t>Pursuant to a 2015 amended and restated ZALTRAP agreement, Sanofi is solely responsible for the development and commercialization of ZALTRAP, and Sanofi pays us a percentage of aggregate net sales of ZALTRAP</w:t>
      </w:r>
    </w:p>
    <w:p>
      <w:pPr>
        <w:spacing w:after="0" w:line="11" w:lineRule="exact"/>
        <w:rPr>
          <w:rFonts w:ascii="Arial" w:cs="Arial" w:eastAsia="Arial" w:hAnsi="Arial"/>
          <w:sz w:val="9"/>
          <w:szCs w:val="9"/>
          <w:color w:val="auto"/>
        </w:rPr>
      </w:pPr>
    </w:p>
    <w:p>
      <w:pPr>
        <w:ind w:left="580" w:hanging="140"/>
        <w:spacing w:after="0"/>
        <w:tabs>
          <w:tab w:leader="none" w:pos="580" w:val="left"/>
        </w:tabs>
        <w:numPr>
          <w:ilvl w:val="0"/>
          <w:numId w:val="3"/>
        </w:numPr>
        <w:rPr>
          <w:rFonts w:ascii="Arial" w:cs="Arial" w:eastAsia="Arial" w:hAnsi="Arial"/>
          <w:sz w:val="8"/>
          <w:szCs w:val="8"/>
          <w:color w:val="auto"/>
        </w:rPr>
      </w:pPr>
      <w:r>
        <w:rPr>
          <w:rFonts w:ascii="Arial" w:cs="Arial" w:eastAsia="Arial" w:hAnsi="Arial"/>
          <w:sz w:val="13"/>
          <w:szCs w:val="13"/>
          <w:color w:val="auto"/>
        </w:rPr>
        <w:t>Rest of world. Checkmark in this column indicates that the product has received marketing approval in at least one country outside of the United States, European Union (EU), or Japan</w:t>
      </w:r>
    </w:p>
    <w:p>
      <w:pPr>
        <w:spacing w:after="0" w:line="53" w:lineRule="exact"/>
        <w:rPr>
          <w:rFonts w:ascii="Arial" w:cs="Arial" w:eastAsia="Arial" w:hAnsi="Arial"/>
          <w:sz w:val="8"/>
          <w:szCs w:val="8"/>
          <w:color w:val="auto"/>
        </w:rPr>
      </w:pPr>
    </w:p>
    <w:p>
      <w:pPr>
        <w:ind w:left="580" w:hanging="140"/>
        <w:spacing w:after="0"/>
        <w:tabs>
          <w:tab w:leader="none" w:pos="580" w:val="left"/>
        </w:tabs>
        <w:numPr>
          <w:ilvl w:val="0"/>
          <w:numId w:val="3"/>
        </w:numPr>
        <w:rPr>
          <w:rFonts w:ascii="Arial" w:cs="Arial" w:eastAsia="Arial" w:hAnsi="Arial"/>
          <w:sz w:val="9"/>
          <w:szCs w:val="9"/>
          <w:color w:val="auto"/>
        </w:rPr>
      </w:pPr>
      <w:r>
        <w:rPr>
          <w:rFonts w:ascii="Arial" w:cs="Arial" w:eastAsia="Arial" w:hAnsi="Arial"/>
          <w:sz w:val="14"/>
          <w:szCs w:val="14"/>
          <w:color w:val="auto"/>
        </w:rPr>
        <w:t>Approval in Japan is for adults and adolescents 15 years of age and 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130" w:right="3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Net Product Sales of</w:t>
            </w:r>
          </w:p>
        </w:tc>
        <w:tc>
          <w:tcPr>
            <w:tcW w:w="7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Regeneron-Discovered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720" w:type="dxa"/>
            <w:vAlign w:val="bottom"/>
            <w:tcBorders>
              <w:top w:val="single" w:sz="8" w:color="auto"/>
            </w:tcBorders>
            <w:gridSpan w:val="3"/>
          </w:tcPr>
          <w:p>
            <w:pPr>
              <w:spacing w:after="0" w:line="197" w:lineRule="exact"/>
              <w:rPr>
                <w:sz w:val="20"/>
                <w:szCs w:val="20"/>
                <w:color w:val="auto"/>
              </w:rPr>
            </w:pPr>
            <w:r>
              <w:rPr>
                <w:rFonts w:ascii="Arial" w:cs="Arial" w:eastAsia="Arial" w:hAnsi="Arial"/>
                <w:sz w:val="16"/>
                <w:szCs w:val="16"/>
                <w:b w:val="1"/>
                <w:bCs w:val="1"/>
                <w:color w:val="auto"/>
              </w:rPr>
              <w:t>Products</w:t>
            </w:r>
            <w:r>
              <w:rPr>
                <w:rFonts w:ascii="Arial" w:cs="Arial" w:eastAsia="Arial" w:hAnsi="Arial"/>
                <w:sz w:val="22"/>
                <w:szCs w:val="22"/>
                <w:b w:val="1"/>
                <w:bCs w:val="1"/>
                <w:color w:val="auto"/>
                <w:vertAlign w:val="superscript"/>
              </w:rPr>
              <w:t>(1)</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8"/>
          </w:tcPr>
          <w:p>
            <w:pPr>
              <w:ind w:left="240"/>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260" w:type="dxa"/>
            <w:vAlign w:val="bottom"/>
            <w:gridSpan w:val="4"/>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4,644.2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7,541.6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4,076.7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2,668.9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6,745.6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3,701.9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2,226.9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5,928.8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gridSpan w:val="4"/>
          </w:tcPr>
          <w:p>
            <w:pPr>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60" w:type="dxa"/>
            <w:vAlign w:val="bottom"/>
            <w:gridSpan w:val="4"/>
          </w:tcPr>
          <w:p>
            <w:pPr>
              <w:spacing w:after="0"/>
              <w:rPr>
                <w:sz w:val="20"/>
                <w:szCs w:val="20"/>
                <w:color w:val="auto"/>
              </w:rPr>
            </w:pPr>
            <w:r>
              <w:rPr>
                <w:rFonts w:ascii="Arial" w:cs="Arial" w:eastAsia="Arial" w:hAnsi="Arial"/>
                <w:sz w:val="18"/>
                <w:szCs w:val="18"/>
                <w:color w:val="auto"/>
              </w:rPr>
              <w:t>Net product sales recorded</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4,834.4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6"/>
              </w:rPr>
              <w:t>4,106.2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6"/>
              </w:rPr>
              <w:t>3,718.5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by Regeneron</w:t>
            </w:r>
          </w:p>
        </w:tc>
        <w:tc>
          <w:tcPr>
            <w:tcW w:w="2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00" w:type="dxa"/>
            <w:vAlign w:val="bottom"/>
            <w:gridSpan w:val="6"/>
          </w:tcPr>
          <w:p>
            <w:pPr>
              <w:spacing w:after="0" w:line="270" w:lineRule="exact"/>
              <w:rPr>
                <w:sz w:val="20"/>
                <w:szCs w:val="20"/>
                <w:color w:val="auto"/>
              </w:rPr>
            </w:pPr>
            <w:r>
              <w:rPr>
                <w:rFonts w:ascii="Arial" w:cs="Arial" w:eastAsia="Arial" w:hAnsi="Arial"/>
                <w:sz w:val="18"/>
                <w:szCs w:val="18"/>
                <w:i w:val="1"/>
                <w:iCs w:val="1"/>
                <w:color w:val="auto"/>
                <w:w w:val="98"/>
              </w:rPr>
              <w:t>Net product sales recorded by Sanofi</w:t>
            </w:r>
            <w:r>
              <w:rPr>
                <w:rFonts w:ascii="Arial" w:cs="Arial" w:eastAsia="Arial" w:hAnsi="Arial"/>
                <w:sz w:val="25"/>
                <w:szCs w:val="25"/>
                <w:i w:val="1"/>
                <w:iCs w:val="1"/>
                <w:color w:val="auto"/>
                <w:w w:val="98"/>
                <w:vertAlign w:val="superscript"/>
              </w:rPr>
              <w:t>(1)</w:t>
            </w:r>
            <w:r>
              <w:rPr>
                <w:rFonts w:ascii="Arial" w:cs="Arial" w:eastAsia="Arial" w:hAnsi="Arial"/>
                <w:sz w:val="18"/>
                <w:szCs w:val="18"/>
                <w:i w:val="1"/>
                <w:iCs w:val="1"/>
                <w:color w:val="auto"/>
                <w:w w:val="98"/>
              </w:rPr>
              <w:t>:</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1,871.2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 w:right="80" w:hanging="2"/>
        <w:spacing w:after="0" w:line="253" w:lineRule="auto"/>
        <w:tabs>
          <w:tab w:leader="none" w:pos="421" w:val="left"/>
        </w:tabs>
        <w:numPr>
          <w:ilvl w:val="0"/>
          <w:numId w:val="4"/>
        </w:numPr>
        <w:rPr>
          <w:rFonts w:ascii="Arial" w:cs="Arial" w:eastAsia="Arial" w:hAnsi="Arial"/>
          <w:sz w:val="9"/>
          <w:szCs w:val="9"/>
          <w:color w:val="auto"/>
        </w:rPr>
      </w:pPr>
      <w:r>
        <w:rPr>
          <w:rFonts w:ascii="Arial" w:cs="Arial" w:eastAsia="Arial" w:hAnsi="Arial"/>
          <w:sz w:val="14"/>
          <w:szCs w:val="14"/>
          <w:color w:val="auto"/>
        </w:rPr>
        <w:t>Bayer records net product sales of EYLEA outside the U.S., and Sanofi records net product sales of Libtayo outside the U.S. and global net product sales of Dupixent, Praluent, Kevzara, and ZALTRAP. Refer to "Collaboration Agreements" section below for further details.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All 22 of our product candidates in clinical development, including the five U.S. Food and Drug Administration ("FDA") approved products which we are investigating in additional indications, were discovered in our research laboratories and are summarized in the table below. 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(refer to "Research and Development Technologies - </w:t>
      </w:r>
      <w:r>
        <w:rPr>
          <w:rFonts w:ascii="Arial" w:cs="Arial" w:eastAsia="Arial" w:hAnsi="Arial"/>
          <w:sz w:val="18"/>
          <w:szCs w:val="18"/>
          <w:i w:val="1"/>
          <w:iCs w:val="1"/>
          <w:color w:val="auto"/>
        </w:rPr>
        <w:t>VelociSuite</w:t>
      </w:r>
      <w:r>
        <w:rPr>
          <w:rFonts w:ascii="Arial" w:cs="Arial" w:eastAsia="Arial" w:hAnsi="Arial"/>
          <w:sz w:val="18"/>
          <w:szCs w:val="18"/>
          <w:color w:val="auto"/>
        </w:rPr>
        <w:t>" section below). We continue to invest in the development of enabling technologies to assist in our efforts to identify, develop, manufacture,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new product candidates.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 Refer to Part I, Item 1A. "Risk Factors" for a description of these and other risks and uncertainties that may affect our clinical programs.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Regulatory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2019 and 2020 Events to</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r>
      <w:tr>
        <w:trPr>
          <w:trHeight w:val="261"/>
        </w:trPr>
        <w:tc>
          <w:tcPr>
            <w:tcW w:w="1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Clinical Program</w:t>
            </w:r>
          </w:p>
        </w:tc>
        <w:tc>
          <w:tcPr>
            <w:tcW w:w="120" w:type="dxa"/>
            <w:vAlign w:val="bottom"/>
          </w:tcPr>
          <w:p>
            <w:pPr>
              <w:spacing w:after="0"/>
              <w:rPr>
                <w:sz w:val="22"/>
                <w:szCs w:val="22"/>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2"/>
                <w:szCs w:val="22"/>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2"/>
                <w:szCs w:val="22"/>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Phase 3</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Milestones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Ophthalmology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111760</wp:posOffset>
            </wp:positionV>
            <wp:extent cx="122618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6185" cy="7543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02044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75438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EYLEA</w:t>
            </w:r>
          </w:p>
        </w:tc>
        <w:tc>
          <w:tcPr>
            <w:tcW w:w="2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 High-dose</w:t>
            </w:r>
          </w:p>
        </w:tc>
        <w:tc>
          <w:tcPr>
            <w:tcW w:w="2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Retinopathy of</w:t>
            </w:r>
          </w:p>
        </w:tc>
        <w:tc>
          <w:tcPr>
            <w:tcW w:w="30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 Approved by FDA for the -</w:t>
            </w:r>
          </w:p>
        </w:tc>
      </w:tr>
      <w:tr>
        <w:trPr>
          <w:trHeight w:val="216"/>
        </w:trPr>
        <w:tc>
          <w:tcPr>
            <w:tcW w:w="1720" w:type="dxa"/>
            <w:vAlign w:val="bottom"/>
            <w:shd w:val="clear" w:color="auto" w:fill="CCEEFF"/>
          </w:tcPr>
          <w:p>
            <w:pPr>
              <w:spacing w:after="0"/>
              <w:rPr>
                <w:sz w:val="18"/>
                <w:szCs w:val="18"/>
                <w:color w:val="auto"/>
              </w:rPr>
            </w:pPr>
          </w:p>
        </w:tc>
        <w:tc>
          <w:tcPr>
            <w:tcW w:w="26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7"/>
              </w:rPr>
              <w:t>formulation in wet</w:t>
            </w:r>
          </w:p>
        </w:tc>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prematurity</w:t>
            </w:r>
          </w:p>
        </w:tc>
        <w:tc>
          <w:tcPr>
            <w:tcW w:w="30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treatment of diabetic</w:t>
            </w:r>
          </w:p>
        </w:tc>
      </w:tr>
      <w:tr>
        <w:trPr>
          <w:trHeight w:val="257"/>
        </w:trPr>
        <w:tc>
          <w:tcPr>
            <w:tcW w:w="1720" w:type="dxa"/>
            <w:vAlign w:val="bottom"/>
            <w:shd w:val="clear" w:color="auto" w:fill="CCEEFF"/>
          </w:tcPr>
          <w:p>
            <w:pPr>
              <w:spacing w:after="0"/>
              <w:rPr>
                <w:sz w:val="22"/>
                <w:szCs w:val="22"/>
                <w:color w:val="auto"/>
              </w:rPr>
            </w:pPr>
          </w:p>
        </w:tc>
        <w:tc>
          <w:tcPr>
            <w:tcW w:w="26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AMD</w:t>
            </w:r>
          </w:p>
        </w:tc>
        <w:tc>
          <w:tcPr>
            <w:tcW w:w="214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("ROP")</w:t>
            </w:r>
            <w:r>
              <w:rPr>
                <w:rFonts w:ascii="Arial" w:cs="Arial" w:eastAsia="Arial" w:hAnsi="Arial"/>
                <w:sz w:val="25"/>
                <w:szCs w:val="25"/>
                <w:color w:val="auto"/>
                <w:vertAlign w:val="superscript"/>
              </w:rPr>
              <w:t>(c)</w:t>
            </w:r>
          </w:p>
        </w:tc>
        <w:tc>
          <w:tcPr>
            <w:tcW w:w="30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retinopathy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0</wp:posOffset>
            </wp:positionV>
            <wp:extent cx="499999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9990" cy="308610"/>
                    </a:xfrm>
                    <a:prstGeom prst="rect">
                      <a:avLst/>
                    </a:prstGeom>
                    <a:noFill/>
                  </pic:spPr>
                </pic:pic>
              </a:graphicData>
            </a:graphic>
          </wp:anchor>
        </w:drawing>
      </w:r>
    </w:p>
    <w:p>
      <w:pPr>
        <w:jc w:val="right"/>
        <w:ind w:right="760"/>
        <w:spacing w:after="0"/>
        <w:rPr>
          <w:sz w:val="20"/>
          <w:szCs w:val="20"/>
          <w:color w:val="auto"/>
        </w:rPr>
      </w:pPr>
      <w:r>
        <w:rPr>
          <w:rFonts w:ascii="Arial" w:cs="Arial" w:eastAsia="Arial" w:hAnsi="Arial"/>
          <w:sz w:val="18"/>
          <w:szCs w:val="18"/>
          <w:color w:val="auto"/>
        </w:rPr>
        <w:t>- Pre-filled syringe</w:t>
      </w:r>
    </w:p>
    <w:p>
      <w:pPr>
        <w:spacing w:after="0" w:line="23"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approved by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Immunology &amp; Inflammatory Diseases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Initiate Phase 3 studies of a high-dose formulation of aflibercept in wet AMD and DME (mid-2020)</w:t>
      </w:r>
    </w:p>
    <w:p>
      <w:pPr>
        <w:spacing w:after="0" w:line="589" w:lineRule="exact"/>
        <w:rPr>
          <w:sz w:val="20"/>
          <w:szCs w:val="20"/>
          <w:color w:val="auto"/>
        </w:rPr>
      </w:pPr>
    </w:p>
    <w:p>
      <w:pPr>
        <w:sectPr>
          <w:pgSz w:w="11900" w:h="16838" w:orient="portrait"/>
          <w:cols w:equalWidth="0" w:num="2">
            <w:col w:w="9480" w:space="40"/>
            <w:col w:w="1900"/>
          </w:cols>
          <w:pgMar w:left="240" w:top="130"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Dupixent</w:t>
            </w:r>
          </w:p>
        </w:tc>
        <w:tc>
          <w:tcPr>
            <w:tcW w:w="1880" w:type="dxa"/>
            <w:vAlign w:val="bottom"/>
          </w:tcPr>
          <w:p>
            <w:pPr>
              <w:ind w:left="740"/>
              <w:spacing w:after="0"/>
              <w:rPr>
                <w:sz w:val="20"/>
                <w:szCs w:val="20"/>
                <w:color w:val="auto"/>
              </w:rPr>
            </w:pPr>
            <w:r>
              <w:rPr>
                <w:rFonts w:ascii="Arial" w:cs="Arial" w:eastAsia="Arial" w:hAnsi="Arial"/>
                <w:sz w:val="18"/>
                <w:szCs w:val="18"/>
                <w:color w:val="auto"/>
                <w:w w:val="95"/>
              </w:rPr>
              <w:t>- Grass allergy</w:t>
            </w:r>
          </w:p>
        </w:tc>
        <w:tc>
          <w:tcPr>
            <w:tcW w:w="0" w:type="dxa"/>
            <w:vAlign w:val="bottom"/>
          </w:tcPr>
          <w:p>
            <w:pPr>
              <w:spacing w:after="0"/>
              <w:rPr>
                <w:sz w:val="1"/>
                <w:szCs w:val="1"/>
                <w:color w:val="auto"/>
              </w:rPr>
            </w:pPr>
          </w:p>
        </w:tc>
      </w:tr>
      <w:tr>
        <w:trPr>
          <w:trHeight w:val="220"/>
        </w:trPr>
        <w:tc>
          <w:tcPr>
            <w:tcW w:w="2020" w:type="dxa"/>
            <w:vAlign w:val="bottom"/>
          </w:tcPr>
          <w:p>
            <w:pPr>
              <w:spacing w:after="0" w:line="220" w:lineRule="exact"/>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Antibody to IL-4R</w:t>
            </w:r>
          </w:p>
        </w:tc>
        <w:tc>
          <w:tcPr>
            <w:tcW w:w="1880" w:type="dxa"/>
            <w:vAlign w:val="bottom"/>
            <w:vMerge w:val="restart"/>
          </w:tcPr>
          <w:p>
            <w:pPr>
              <w:ind w:left="740"/>
              <w:spacing w:after="0"/>
              <w:rPr>
                <w:sz w:val="20"/>
                <w:szCs w:val="20"/>
                <w:color w:val="auto"/>
              </w:rPr>
            </w:pPr>
            <w:r>
              <w:rPr>
                <w:rFonts w:ascii="Arial" w:cs="Arial" w:eastAsia="Arial" w:hAnsi="Arial"/>
                <w:sz w:val="18"/>
                <w:szCs w:val="18"/>
                <w:color w:val="auto"/>
                <w:w w:val="88"/>
              </w:rPr>
              <w:t>- Peanut allergy</w:t>
            </w:r>
          </w:p>
        </w:tc>
        <w:tc>
          <w:tcPr>
            <w:tcW w:w="0" w:type="dxa"/>
            <w:vAlign w:val="bottom"/>
          </w:tcPr>
          <w:p>
            <w:pPr>
              <w:spacing w:after="0"/>
              <w:rPr>
                <w:sz w:val="1"/>
                <w:szCs w:val="1"/>
                <w:color w:val="auto"/>
              </w:rPr>
            </w:pPr>
          </w:p>
        </w:tc>
      </w:tr>
      <w:tr>
        <w:trPr>
          <w:trHeight w:val="149"/>
        </w:trPr>
        <w:tc>
          <w:tcPr>
            <w:tcW w:w="2020" w:type="dxa"/>
            <w:vAlign w:val="bottom"/>
            <w:vMerge w:val="restart"/>
          </w:tcPr>
          <w:p>
            <w:pPr>
              <w:spacing w:after="0"/>
              <w:rPr>
                <w:sz w:val="20"/>
                <w:szCs w:val="20"/>
                <w:color w:val="auto"/>
              </w:rPr>
            </w:pPr>
            <w:r>
              <w:rPr>
                <w:rFonts w:ascii="Arial" w:cs="Arial" w:eastAsia="Arial" w:hAnsi="Arial"/>
                <w:sz w:val="18"/>
                <w:szCs w:val="18"/>
                <w:i w:val="1"/>
                <w:iCs w:val="1"/>
                <w:color w:val="auto"/>
              </w:rPr>
              <w:t>alpha subunit</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2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16" w:right="60" w:hanging="116"/>
        <w:spacing w:after="0" w:line="329" w:lineRule="auto"/>
        <w:tabs>
          <w:tab w:leader="none" w:pos="116" w:val="left"/>
        </w:tabs>
        <w:numPr>
          <w:ilvl w:val="0"/>
          <w:numId w:val="5"/>
        </w:numPr>
        <w:rPr>
          <w:rFonts w:ascii="Arial" w:cs="Arial" w:eastAsia="Arial" w:hAnsi="Arial"/>
          <w:sz w:val="15"/>
          <w:szCs w:val="15"/>
          <w:color w:val="auto"/>
        </w:rPr>
      </w:pPr>
      <w:r>
        <w:rPr>
          <w:rFonts w:ascii="Arial" w:cs="Arial" w:eastAsia="Arial" w:hAnsi="Arial"/>
          <w:sz w:val="15"/>
          <w:szCs w:val="15"/>
          <w:color w:val="auto"/>
        </w:rPr>
        <w:t>Atopic dermatitis in pediatrics (6 months–5 years of age) (Phase 2/3)</w:t>
      </w:r>
      <w:r>
        <w:rPr>
          <w:rFonts w:ascii="Arial" w:cs="Arial" w:eastAsia="Arial" w:hAnsi="Arial"/>
          <w:sz w:val="21"/>
          <w:szCs w:val="21"/>
          <w:color w:val="auto"/>
          <w:vertAlign w:val="superscript"/>
        </w:rPr>
        <w:t>(d)</w:t>
      </w:r>
    </w:p>
    <w:p>
      <w:pPr>
        <w:spacing w:after="0" w:line="94" w:lineRule="exact"/>
        <w:rPr>
          <w:rFonts w:ascii="Arial" w:cs="Arial" w:eastAsia="Arial" w:hAnsi="Arial"/>
          <w:sz w:val="15"/>
          <w:szCs w:val="15"/>
          <w:color w:val="auto"/>
        </w:rPr>
      </w:pPr>
    </w:p>
    <w:p>
      <w:pPr>
        <w:ind w:left="116" w:right="240" w:hanging="116"/>
        <w:spacing w:after="0" w:line="305" w:lineRule="auto"/>
        <w:tabs>
          <w:tab w:leader="none" w:pos="116" w:val="left"/>
        </w:tabs>
        <w:numPr>
          <w:ilvl w:val="0"/>
          <w:numId w:val="5"/>
        </w:numPr>
        <w:rPr>
          <w:rFonts w:ascii="Arial" w:cs="Arial" w:eastAsia="Arial" w:hAnsi="Arial"/>
          <w:sz w:val="16"/>
          <w:szCs w:val="16"/>
          <w:color w:val="auto"/>
        </w:rPr>
      </w:pPr>
      <w:r>
        <w:rPr>
          <w:rFonts w:ascii="Arial" w:cs="Arial" w:eastAsia="Arial" w:hAnsi="Arial"/>
          <w:sz w:val="16"/>
          <w:szCs w:val="16"/>
          <w:color w:val="auto"/>
        </w:rPr>
        <w:t>Asthma in pediatrics (6–11 years of age)</w:t>
      </w:r>
    </w:p>
    <w:p>
      <w:pPr>
        <w:ind w:left="116" w:right="480" w:hanging="116"/>
        <w:spacing w:after="0" w:line="287" w:lineRule="auto"/>
        <w:tabs>
          <w:tab w:leader="none" w:pos="116" w:val="left"/>
        </w:tabs>
        <w:numPr>
          <w:ilvl w:val="0"/>
          <w:numId w:val="5"/>
        </w:numPr>
        <w:rPr>
          <w:rFonts w:ascii="Arial" w:cs="Arial" w:eastAsia="Arial" w:hAnsi="Arial"/>
          <w:sz w:val="17"/>
          <w:szCs w:val="17"/>
          <w:color w:val="auto"/>
        </w:rPr>
      </w:pPr>
      <w:r>
        <w:rPr>
          <w:rFonts w:ascii="Arial" w:cs="Arial" w:eastAsia="Arial" w:hAnsi="Arial"/>
          <w:sz w:val="17"/>
          <w:szCs w:val="17"/>
          <w:color w:val="auto"/>
        </w:rPr>
        <w:t>Eosinophilic esophagitis ("EOE")</w:t>
      </w:r>
      <w:r>
        <w:rPr>
          <w:rFonts w:ascii="Arial" w:cs="Arial" w:eastAsia="Arial" w:hAnsi="Arial"/>
          <w:sz w:val="24"/>
          <w:szCs w:val="24"/>
          <w:color w:val="auto"/>
          <w:vertAlign w:val="superscript"/>
        </w:rPr>
        <w:t>(c)</w:t>
      </w:r>
    </w:p>
    <w:p>
      <w:pPr>
        <w:spacing w:after="0" w:line="120" w:lineRule="exact"/>
        <w:rPr>
          <w:rFonts w:ascii="Arial" w:cs="Arial" w:eastAsia="Arial" w:hAnsi="Arial"/>
          <w:sz w:val="17"/>
          <w:szCs w:val="17"/>
          <w:color w:val="auto"/>
        </w:rPr>
      </w:pPr>
    </w:p>
    <w:p>
      <w:pPr>
        <w:ind w:left="116" w:right="40" w:hanging="116"/>
        <w:spacing w:after="0" w:line="279" w:lineRule="auto"/>
        <w:tabs>
          <w:tab w:leader="none" w:pos="116" w:val="left"/>
        </w:tabs>
        <w:numPr>
          <w:ilvl w:val="0"/>
          <w:numId w:val="5"/>
        </w:numPr>
        <w:rPr>
          <w:rFonts w:ascii="Arial" w:cs="Arial" w:eastAsia="Arial" w:hAnsi="Arial"/>
          <w:sz w:val="17"/>
          <w:szCs w:val="17"/>
          <w:color w:val="auto"/>
        </w:rPr>
      </w:pPr>
      <w:r>
        <w:rPr>
          <w:rFonts w:ascii="Arial" w:cs="Arial" w:eastAsia="Arial" w:hAnsi="Arial"/>
          <w:sz w:val="17"/>
          <w:szCs w:val="17"/>
          <w:color w:val="auto"/>
        </w:rPr>
        <w:t>Chronic obstructive pulmonary disease ("COPD")</w:t>
      </w:r>
    </w:p>
    <w:p>
      <w:pPr>
        <w:spacing w:after="0" w:line="9" w:lineRule="exact"/>
        <w:rPr>
          <w:rFonts w:ascii="Arial" w:cs="Arial" w:eastAsia="Arial" w:hAnsi="Arial"/>
          <w:sz w:val="17"/>
          <w:szCs w:val="17"/>
          <w:color w:val="auto"/>
        </w:rPr>
      </w:pPr>
    </w:p>
    <w:p>
      <w:pPr>
        <w:ind w:left="116" w:hanging="116"/>
        <w:spacing w:after="0" w:line="245"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Bullous pemphigoid (Phase 2/3)</w:t>
      </w:r>
      <w:r>
        <w:rPr>
          <w:rFonts w:ascii="Arial" w:cs="Arial" w:eastAsia="Arial" w:hAnsi="Arial"/>
          <w:sz w:val="25"/>
          <w:szCs w:val="25"/>
          <w:color w:val="auto"/>
          <w:vertAlign w:val="superscript"/>
        </w:rPr>
        <w:t>(c)</w:t>
      </w:r>
    </w:p>
    <w:p>
      <w:pPr>
        <w:spacing w:after="0" w:line="2" w:lineRule="exact"/>
        <w:rPr>
          <w:rFonts w:ascii="Arial" w:cs="Arial" w:eastAsia="Arial" w:hAnsi="Arial"/>
          <w:sz w:val="18"/>
          <w:szCs w:val="18"/>
          <w:color w:val="auto"/>
        </w:rPr>
      </w:pPr>
    </w:p>
    <w:p>
      <w:pPr>
        <w:ind w:left="116" w:right="500" w:hanging="116"/>
        <w:spacing w:after="0" w:line="318" w:lineRule="auto"/>
        <w:tabs>
          <w:tab w:leader="none" w:pos="116" w:val="left"/>
        </w:tabs>
        <w:numPr>
          <w:ilvl w:val="0"/>
          <w:numId w:val="5"/>
        </w:numPr>
        <w:rPr>
          <w:rFonts w:ascii="Arial" w:cs="Arial" w:eastAsia="Arial" w:hAnsi="Arial"/>
          <w:sz w:val="15"/>
          <w:szCs w:val="15"/>
          <w:color w:val="auto"/>
        </w:rPr>
      </w:pPr>
      <w:r>
        <w:rPr>
          <w:rFonts w:ascii="Arial" w:cs="Arial" w:eastAsia="Arial" w:hAnsi="Arial"/>
          <w:sz w:val="15"/>
          <w:szCs w:val="15"/>
          <w:color w:val="auto"/>
        </w:rPr>
        <w:t>Chronic spontaneous urticaria</w:t>
      </w:r>
    </w:p>
    <w:p>
      <w:pPr>
        <w:ind w:left="116" w:hanging="116"/>
        <w:spacing w:after="0"/>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Prurigo nodularis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 Atopic</w:t>
            </w:r>
          </w:p>
        </w:tc>
        <w:tc>
          <w:tcPr>
            <w:tcW w:w="2020" w:type="dxa"/>
            <w:vAlign w:val="bottom"/>
          </w:tcPr>
          <w:p>
            <w:pPr>
              <w:ind w:left="40"/>
              <w:spacing w:after="0"/>
              <w:rPr>
                <w:sz w:val="20"/>
                <w:szCs w:val="20"/>
                <w:color w:val="auto"/>
              </w:rPr>
            </w:pPr>
            <w:r>
              <w:rPr>
                <w:rFonts w:ascii="Arial" w:cs="Arial" w:eastAsia="Arial" w:hAnsi="Arial"/>
                <w:sz w:val="18"/>
                <w:szCs w:val="18"/>
                <w:color w:val="auto"/>
              </w:rPr>
              <w:t>- Approved by FDA and</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rPr>
              <w:t>dermatitis in</w:t>
            </w:r>
          </w:p>
        </w:tc>
        <w:tc>
          <w:tcPr>
            <w:tcW w:w="2020" w:type="dxa"/>
            <w:vAlign w:val="bottom"/>
          </w:tcPr>
          <w:p>
            <w:pPr>
              <w:ind w:left="160"/>
              <w:spacing w:after="0"/>
              <w:rPr>
                <w:sz w:val="20"/>
                <w:szCs w:val="20"/>
                <w:color w:val="auto"/>
              </w:rPr>
            </w:pPr>
            <w:r>
              <w:rPr>
                <w:rFonts w:ascii="Arial" w:cs="Arial" w:eastAsia="Arial" w:hAnsi="Arial"/>
                <w:sz w:val="18"/>
                <w:szCs w:val="18"/>
                <w:color w:val="auto"/>
              </w:rPr>
              <w:t>European Commission</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w w:val="92"/>
              </w:rPr>
              <w:t>pediatrics (6–11</w:t>
            </w:r>
          </w:p>
        </w:tc>
        <w:tc>
          <w:tcPr>
            <w:tcW w:w="2020" w:type="dxa"/>
            <w:vAlign w:val="bottom"/>
          </w:tcPr>
          <w:p>
            <w:pPr>
              <w:ind w:left="160"/>
              <w:spacing w:after="0"/>
              <w:rPr>
                <w:sz w:val="20"/>
                <w:szCs w:val="20"/>
                <w:color w:val="auto"/>
              </w:rPr>
            </w:pPr>
            <w:r>
              <w:rPr>
                <w:rFonts w:ascii="Arial" w:cs="Arial" w:eastAsia="Arial" w:hAnsi="Arial"/>
                <w:sz w:val="18"/>
                <w:szCs w:val="18"/>
                <w:color w:val="auto"/>
              </w:rPr>
              <w:t>("EC") for expanded</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rPr>
              <w:t>years of age)</w:t>
            </w:r>
          </w:p>
        </w:tc>
        <w:tc>
          <w:tcPr>
            <w:tcW w:w="2020" w:type="dxa"/>
            <w:vAlign w:val="bottom"/>
          </w:tcPr>
          <w:p>
            <w:pPr>
              <w:ind w:left="160"/>
              <w:spacing w:after="0"/>
              <w:rPr>
                <w:sz w:val="20"/>
                <w:szCs w:val="20"/>
                <w:color w:val="auto"/>
              </w:rPr>
            </w:pPr>
            <w:r>
              <w:rPr>
                <w:rFonts w:ascii="Arial" w:cs="Arial" w:eastAsia="Arial" w:hAnsi="Arial"/>
                <w:sz w:val="18"/>
                <w:szCs w:val="18"/>
                <w:color w:val="auto"/>
              </w:rPr>
              <w:t>atopic dermatitis</w:t>
            </w:r>
          </w:p>
        </w:tc>
      </w:tr>
      <w:tr>
        <w:trPr>
          <w:trHeight w:val="216"/>
        </w:trPr>
        <w:tc>
          <w:tcPr>
            <w:tcW w:w="1320" w:type="dxa"/>
            <w:vAlign w:val="bottom"/>
          </w:tcPr>
          <w:p>
            <w:pPr>
              <w:ind w:left="120"/>
              <w:spacing w:after="0" w:line="216" w:lineRule="exact"/>
              <w:rPr>
                <w:sz w:val="20"/>
                <w:szCs w:val="20"/>
                <w:color w:val="auto"/>
              </w:rPr>
            </w:pPr>
            <w:r>
              <w:rPr>
                <w:rFonts w:ascii="Arial" w:cs="Arial" w:eastAsia="Arial" w:hAnsi="Arial"/>
                <w:sz w:val="18"/>
                <w:szCs w:val="18"/>
                <w:color w:val="auto"/>
                <w:w w:val="89"/>
              </w:rPr>
              <w:t>(U.S. and EU)</w:t>
            </w:r>
            <w:r>
              <w:rPr>
                <w:rFonts w:ascii="Arial" w:cs="Arial" w:eastAsia="Arial" w:hAnsi="Arial"/>
                <w:sz w:val="25"/>
                <w:szCs w:val="25"/>
                <w:color w:val="auto"/>
                <w:w w:val="89"/>
                <w:vertAlign w:val="superscript"/>
              </w:rPr>
              <w:t>(d)</w:t>
            </w:r>
          </w:p>
        </w:tc>
        <w:tc>
          <w:tcPr>
            <w:tcW w:w="2020" w:type="dxa"/>
            <w:vAlign w:val="bottom"/>
          </w:tcPr>
          <w:p>
            <w:pPr>
              <w:ind w:left="160"/>
              <w:spacing w:after="0"/>
              <w:rPr>
                <w:sz w:val="20"/>
                <w:szCs w:val="20"/>
                <w:color w:val="auto"/>
              </w:rPr>
            </w:pPr>
            <w:r>
              <w:rPr>
                <w:rFonts w:ascii="Arial" w:cs="Arial" w:eastAsia="Arial" w:hAnsi="Arial"/>
                <w:sz w:val="18"/>
                <w:szCs w:val="18"/>
                <w:color w:val="auto"/>
                <w:w w:val="98"/>
              </w:rPr>
              <w:t>indication in adolescent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 CRSwNP</w:t>
            </w:r>
          </w:p>
        </w:tc>
        <w:tc>
          <w:tcPr>
            <w:tcW w:w="2020" w:type="dxa"/>
            <w:vAlign w:val="bottom"/>
          </w:tcPr>
          <w:p>
            <w:pPr>
              <w:ind w:left="160"/>
              <w:spacing w:after="0"/>
              <w:rPr>
                <w:sz w:val="20"/>
                <w:szCs w:val="20"/>
                <w:color w:val="auto"/>
              </w:rPr>
            </w:pPr>
            <w:r>
              <w:rPr>
                <w:rFonts w:ascii="Arial" w:cs="Arial" w:eastAsia="Arial" w:hAnsi="Arial"/>
                <w:sz w:val="18"/>
                <w:szCs w:val="18"/>
                <w:color w:val="auto"/>
                <w:w w:val="95"/>
              </w:rPr>
              <w:t>patients (12–17 years of</w:t>
            </w:r>
          </w:p>
        </w:tc>
      </w:tr>
      <w:tr>
        <w:trPr>
          <w:trHeight w:val="270"/>
        </w:trPr>
        <w:tc>
          <w:tcPr>
            <w:tcW w:w="1320" w:type="dxa"/>
            <w:vAlign w:val="bottom"/>
          </w:tcPr>
          <w:p>
            <w:pPr>
              <w:ind w:left="120"/>
              <w:spacing w:after="0"/>
              <w:rPr>
                <w:sz w:val="20"/>
                <w:szCs w:val="20"/>
                <w:color w:val="auto"/>
              </w:rPr>
            </w:pPr>
            <w:r>
              <w:rPr>
                <w:rFonts w:ascii="Arial" w:cs="Arial" w:eastAsia="Arial" w:hAnsi="Arial"/>
                <w:sz w:val="18"/>
                <w:szCs w:val="18"/>
                <w:color w:val="auto"/>
              </w:rPr>
              <w:t>(Japan)</w:t>
            </w:r>
          </w:p>
        </w:tc>
        <w:tc>
          <w:tcPr>
            <w:tcW w:w="2020" w:type="dxa"/>
            <w:vAlign w:val="bottom"/>
          </w:tcPr>
          <w:p>
            <w:pPr>
              <w:ind w:left="160"/>
              <w:spacing w:after="0"/>
              <w:rPr>
                <w:sz w:val="20"/>
                <w:szCs w:val="20"/>
                <w:color w:val="auto"/>
              </w:rPr>
            </w:pPr>
            <w:r>
              <w:rPr>
                <w:rFonts w:ascii="Arial" w:cs="Arial" w:eastAsia="Arial" w:hAnsi="Arial"/>
                <w:sz w:val="18"/>
                <w:szCs w:val="18"/>
                <w:color w:val="auto"/>
              </w:rPr>
              <w:t>age)</w:t>
            </w:r>
          </w:p>
        </w:tc>
      </w:tr>
      <w:tr>
        <w:trPr>
          <w:trHeight w:val="472"/>
        </w:trPr>
        <w:tc>
          <w:tcPr>
            <w:tcW w:w="1320" w:type="dxa"/>
            <w:vAlign w:val="bottom"/>
          </w:tcPr>
          <w:p>
            <w:pPr>
              <w:spacing w:after="0"/>
              <w:rPr>
                <w:sz w:val="20"/>
                <w:szCs w:val="20"/>
                <w:color w:val="auto"/>
              </w:rPr>
            </w:pPr>
            <w:r>
              <w:rPr>
                <w:rFonts w:ascii="Arial" w:cs="Arial" w:eastAsia="Arial" w:hAnsi="Arial"/>
                <w:sz w:val="18"/>
                <w:szCs w:val="18"/>
                <w:color w:val="auto"/>
              </w:rPr>
              <w:t>- Auto-injector</w:t>
            </w:r>
          </w:p>
        </w:tc>
        <w:tc>
          <w:tcPr>
            <w:tcW w:w="2020" w:type="dxa"/>
            <w:vAlign w:val="bottom"/>
          </w:tcPr>
          <w:p>
            <w:pPr>
              <w:ind w:left="40"/>
              <w:spacing w:after="0"/>
              <w:rPr>
                <w:sz w:val="20"/>
                <w:szCs w:val="20"/>
                <w:color w:val="auto"/>
              </w:rPr>
            </w:pPr>
            <w:r>
              <w:rPr>
                <w:rFonts w:ascii="Arial" w:cs="Arial" w:eastAsia="Arial" w:hAnsi="Arial"/>
                <w:sz w:val="18"/>
                <w:szCs w:val="18"/>
                <w:color w:val="auto"/>
              </w:rPr>
              <w:t>- Reported that Phase 3</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w w:val="90"/>
              </w:rPr>
              <w:t>for 300 mg dose</w:t>
            </w:r>
          </w:p>
        </w:tc>
        <w:tc>
          <w:tcPr>
            <w:tcW w:w="2020" w:type="dxa"/>
            <w:vAlign w:val="bottom"/>
          </w:tcPr>
          <w:p>
            <w:pPr>
              <w:ind w:left="160"/>
              <w:spacing w:after="0"/>
              <w:rPr>
                <w:sz w:val="20"/>
                <w:szCs w:val="20"/>
                <w:color w:val="auto"/>
              </w:rPr>
            </w:pPr>
            <w:r>
              <w:rPr>
                <w:rFonts w:ascii="Arial" w:cs="Arial" w:eastAsia="Arial" w:hAnsi="Arial"/>
                <w:sz w:val="18"/>
                <w:szCs w:val="18"/>
                <w:color w:val="auto"/>
                <w:w w:val="90"/>
              </w:rPr>
              <w:t>study in pediatric patients</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rPr>
              <w:t>(U.S. and</w:t>
            </w:r>
          </w:p>
        </w:tc>
        <w:tc>
          <w:tcPr>
            <w:tcW w:w="2020" w:type="dxa"/>
            <w:vAlign w:val="bottom"/>
          </w:tcPr>
          <w:p>
            <w:pPr>
              <w:ind w:left="160"/>
              <w:spacing w:after="0"/>
              <w:rPr>
                <w:sz w:val="20"/>
                <w:szCs w:val="20"/>
                <w:color w:val="auto"/>
              </w:rPr>
            </w:pPr>
            <w:r>
              <w:rPr>
                <w:rFonts w:ascii="Arial" w:cs="Arial" w:eastAsia="Arial" w:hAnsi="Arial"/>
                <w:sz w:val="18"/>
                <w:szCs w:val="18"/>
                <w:color w:val="auto"/>
                <w:w w:val="95"/>
              </w:rPr>
              <w:t>(6–11 years of age) with</w:t>
            </w:r>
          </w:p>
        </w:tc>
      </w:tr>
      <w:tr>
        <w:trPr>
          <w:trHeight w:val="216"/>
        </w:trPr>
        <w:tc>
          <w:tcPr>
            <w:tcW w:w="1320" w:type="dxa"/>
            <w:vAlign w:val="bottom"/>
          </w:tcPr>
          <w:p>
            <w:pPr>
              <w:ind w:left="120"/>
              <w:spacing w:after="0"/>
              <w:rPr>
                <w:sz w:val="20"/>
                <w:szCs w:val="20"/>
                <w:color w:val="auto"/>
              </w:rPr>
            </w:pPr>
            <w:r>
              <w:rPr>
                <w:rFonts w:ascii="Arial" w:cs="Arial" w:eastAsia="Arial" w:hAnsi="Arial"/>
                <w:sz w:val="18"/>
                <w:szCs w:val="18"/>
                <w:color w:val="auto"/>
              </w:rPr>
              <w:t>Japan)</w:t>
            </w:r>
          </w:p>
        </w:tc>
        <w:tc>
          <w:tcPr>
            <w:tcW w:w="2020" w:type="dxa"/>
            <w:vAlign w:val="bottom"/>
          </w:tcPr>
          <w:p>
            <w:pPr>
              <w:ind w:left="160"/>
              <w:spacing w:after="0"/>
              <w:rPr>
                <w:sz w:val="20"/>
                <w:szCs w:val="20"/>
                <w:color w:val="auto"/>
              </w:rPr>
            </w:pPr>
            <w:r>
              <w:rPr>
                <w:rFonts w:ascii="Arial" w:cs="Arial" w:eastAsia="Arial" w:hAnsi="Arial"/>
                <w:sz w:val="18"/>
                <w:szCs w:val="18"/>
                <w:color w:val="auto"/>
                <w:w w:val="96"/>
              </w:rPr>
              <w:t>severe atopic dermatitis</w:t>
            </w:r>
          </w:p>
        </w:tc>
      </w:tr>
      <w:tr>
        <w:trPr>
          <w:trHeight w:val="216"/>
        </w:trPr>
        <w:tc>
          <w:tcPr>
            <w:tcW w:w="13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met its primary and</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secondary endpoints</w:t>
            </w:r>
          </w:p>
        </w:tc>
      </w:tr>
      <w:tr>
        <w:trPr>
          <w:trHeight w:val="742"/>
        </w:trPr>
        <w:tc>
          <w:tcPr>
            <w:tcW w:w="132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 Approved by EC for</w:t>
            </w:r>
          </w:p>
        </w:tc>
      </w:tr>
      <w:tr>
        <w:trPr>
          <w:trHeight w:val="216"/>
        </w:trPr>
        <w:tc>
          <w:tcPr>
            <w:tcW w:w="13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treatment of asthma in</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9"/>
              </w:rPr>
              <w:t>adults and adolescents</w:t>
            </w:r>
          </w:p>
        </w:tc>
      </w:tr>
      <w:tr>
        <w:trPr>
          <w:trHeight w:val="958"/>
        </w:trPr>
        <w:tc>
          <w:tcPr>
            <w:tcW w:w="132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 Approved by FDA and</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EC for CRSwNP</w:t>
            </w:r>
          </w:p>
        </w:tc>
      </w:tr>
      <w:tr>
        <w:trPr>
          <w:trHeight w:val="256"/>
        </w:trPr>
        <w:tc>
          <w:tcPr>
            <w:tcW w:w="132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w w:val="97"/>
              </w:rPr>
              <w:t>- EU approval for 200 mg</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2"/>
              </w:rPr>
              <w:t>and 300 mg auto-injector</w:t>
            </w:r>
          </w:p>
        </w:tc>
      </w:tr>
      <w:tr>
        <w:trPr>
          <w:trHeight w:val="472"/>
        </w:trPr>
        <w:tc>
          <w:tcPr>
            <w:tcW w:w="132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 FDA issued Complete</w:t>
            </w:r>
          </w:p>
        </w:tc>
      </w:tr>
      <w:tr>
        <w:trPr>
          <w:trHeight w:val="216"/>
        </w:trPr>
        <w:tc>
          <w:tcPr>
            <w:tcW w:w="13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2"/>
              </w:rPr>
              <w:t>Response Letter ("CRL")</w:t>
            </w:r>
          </w:p>
        </w:tc>
      </w:tr>
      <w:tr>
        <w:trPr>
          <w:trHeight w:val="216"/>
        </w:trPr>
        <w:tc>
          <w:tcPr>
            <w:tcW w:w="13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on sBLA for 200 mg</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auto-injector</w:t>
            </w:r>
          </w:p>
        </w:tc>
      </w:tr>
      <w:tr>
        <w:trPr>
          <w:trHeight w:val="472"/>
        </w:trPr>
        <w:tc>
          <w:tcPr>
            <w:tcW w:w="1320" w:type="dxa"/>
            <w:vAlign w:val="bottom"/>
          </w:tcPr>
          <w:p>
            <w:pPr>
              <w:spacing w:after="0"/>
              <w:rPr>
                <w:sz w:val="24"/>
                <w:szCs w:val="24"/>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w w:val="91"/>
              </w:rPr>
              <w:t>- Completed Phase 2a trial</w:t>
            </w:r>
          </w:p>
        </w:tc>
      </w:tr>
      <w:tr>
        <w:trPr>
          <w:trHeight w:val="230"/>
        </w:trPr>
        <w:tc>
          <w:tcPr>
            <w:tcW w:w="13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in grass allergy</w:t>
            </w:r>
          </w:p>
        </w:tc>
      </w:tr>
    </w:tbl>
    <w:p>
      <w:pPr>
        <w:spacing w:after="0" w:line="20" w:lineRule="exact"/>
        <w:rPr>
          <w:sz w:val="20"/>
          <w:szCs w:val="20"/>
          <w:color w:val="auto"/>
        </w:rPr>
      </w:pPr>
      <w:r>
        <w:rPr>
          <w:sz w:val="20"/>
          <w:szCs w:val="20"/>
          <w:color w:val="auto"/>
        </w:rPr>
        <w:br w:type="column"/>
      </w:r>
    </w:p>
    <w:p>
      <w:pPr>
        <w:ind w:left="126" w:right="120" w:hanging="126"/>
        <w:spacing w:after="0" w:line="269" w:lineRule="auto"/>
        <w:tabs>
          <w:tab w:leader="none" w:pos="126" w:val="left"/>
        </w:tabs>
        <w:numPr>
          <w:ilvl w:val="0"/>
          <w:numId w:val="6"/>
        </w:numPr>
        <w:rPr>
          <w:rFonts w:ascii="Arial" w:cs="Arial" w:eastAsia="Arial" w:hAnsi="Arial"/>
          <w:sz w:val="17"/>
          <w:szCs w:val="17"/>
          <w:color w:val="auto"/>
        </w:rPr>
      </w:pPr>
      <w:r>
        <w:rPr>
          <w:rFonts w:ascii="Arial" w:cs="Arial" w:eastAsia="Arial" w:hAnsi="Arial"/>
          <w:sz w:val="17"/>
          <w:szCs w:val="17"/>
          <w:color w:val="auto"/>
        </w:rPr>
        <w:t>FDA decision (target action date of May 26, 2020) on supplemental Biologics License Application ("sBLA") and EC decision (second half 2020) for expanded atopic dermatitis indication in pediatric patients (6–11 years of age)</w:t>
      </w:r>
    </w:p>
    <w:p>
      <w:pPr>
        <w:spacing w:after="0" w:line="345" w:lineRule="exact"/>
        <w:rPr>
          <w:rFonts w:ascii="Arial" w:cs="Arial" w:eastAsia="Arial" w:hAnsi="Arial"/>
          <w:sz w:val="17"/>
          <w:szCs w:val="17"/>
          <w:color w:val="auto"/>
        </w:rPr>
      </w:pPr>
    </w:p>
    <w:p>
      <w:pPr>
        <w:ind w:left="126" w:right="40" w:hanging="126"/>
        <w:spacing w:after="0" w:line="276" w:lineRule="auto"/>
        <w:tabs>
          <w:tab w:leader="none" w:pos="126"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Report results from Phase 3 study for atopic dermatitis in pediatric patients (6 months–5 years of age) (2022)</w:t>
      </w: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126" w:right="40" w:hanging="126"/>
        <w:spacing w:after="0" w:line="276" w:lineRule="auto"/>
        <w:tabs>
          <w:tab w:leader="none" w:pos="126"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Report results from Phase 3 study for asthma in pediatric patients (6–11 years of age) (second half 2020)</w:t>
      </w:r>
    </w:p>
    <w:p>
      <w:pPr>
        <w:spacing w:after="0" w:line="64" w:lineRule="exact"/>
        <w:rPr>
          <w:rFonts w:ascii="Arial" w:cs="Arial" w:eastAsia="Arial" w:hAnsi="Arial"/>
          <w:sz w:val="17"/>
          <w:szCs w:val="17"/>
          <w:color w:val="auto"/>
        </w:rPr>
      </w:pPr>
    </w:p>
    <w:p>
      <w:pPr>
        <w:ind w:left="126" w:right="100" w:hanging="126"/>
        <w:spacing w:after="0" w:line="305" w:lineRule="auto"/>
        <w:tabs>
          <w:tab w:leader="none" w:pos="126" w:val="left"/>
        </w:tabs>
        <w:numPr>
          <w:ilvl w:val="0"/>
          <w:numId w:val="6"/>
        </w:numPr>
        <w:rPr>
          <w:rFonts w:ascii="Arial" w:cs="Arial" w:eastAsia="Arial" w:hAnsi="Arial"/>
          <w:sz w:val="16"/>
          <w:szCs w:val="16"/>
          <w:color w:val="auto"/>
        </w:rPr>
      </w:pPr>
      <w:r>
        <w:rPr>
          <w:rFonts w:ascii="Arial" w:cs="Arial" w:eastAsia="Arial" w:hAnsi="Arial"/>
          <w:sz w:val="16"/>
          <w:szCs w:val="16"/>
          <w:color w:val="auto"/>
        </w:rPr>
        <w:t>Japan decision on application for CRSwNP (first half 2020)</w:t>
      </w:r>
    </w:p>
    <w:p>
      <w:pPr>
        <w:ind w:left="126" w:right="140" w:hanging="126"/>
        <w:spacing w:after="0" w:line="257" w:lineRule="auto"/>
        <w:tabs>
          <w:tab w:leader="none" w:pos="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decision on application for 300 mg auto-injector (target action date of March 20, 2020)</w:t>
      </w:r>
    </w:p>
    <w:p>
      <w:pPr>
        <w:spacing w:after="0" w:line="26" w:lineRule="exact"/>
        <w:rPr>
          <w:rFonts w:ascii="Arial" w:cs="Arial" w:eastAsia="Arial" w:hAnsi="Arial"/>
          <w:sz w:val="18"/>
          <w:szCs w:val="18"/>
          <w:color w:val="auto"/>
        </w:rPr>
      </w:pPr>
    </w:p>
    <w:p>
      <w:pPr>
        <w:ind w:left="126" w:right="160" w:hanging="126"/>
        <w:spacing w:after="0" w:line="264" w:lineRule="auto"/>
        <w:tabs>
          <w:tab w:leader="none" w:pos="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Resubmit sBLA for 200 mg auto-injector (first half 2020)</w:t>
      </w:r>
    </w:p>
    <w:p>
      <w:pPr>
        <w:spacing w:after="0" w:line="19" w:lineRule="exact"/>
        <w:rPr>
          <w:rFonts w:ascii="Arial" w:cs="Arial" w:eastAsia="Arial" w:hAnsi="Arial"/>
          <w:sz w:val="18"/>
          <w:szCs w:val="18"/>
          <w:color w:val="auto"/>
        </w:rPr>
      </w:pPr>
    </w:p>
    <w:p>
      <w:pPr>
        <w:ind w:left="126" w:right="140" w:hanging="126"/>
        <w:spacing w:after="0" w:line="302" w:lineRule="auto"/>
        <w:tabs>
          <w:tab w:leader="none" w:pos="126"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Present results from Phase 2a trial in grass allergy at medical meeting (first half 2020)</w:t>
      </w:r>
    </w:p>
    <w:p>
      <w:pPr>
        <w:spacing w:after="0" w:line="200" w:lineRule="exact"/>
        <w:rPr>
          <w:sz w:val="20"/>
          <w:szCs w:val="20"/>
          <w:color w:val="auto"/>
        </w:rPr>
      </w:pPr>
    </w:p>
    <w:p>
      <w:pPr>
        <w:sectPr>
          <w:pgSz w:w="11900" w:h="16838" w:orient="portrait"/>
          <w:cols w:equalWidth="0" w:num="4">
            <w:col w:w="3940" w:space="444"/>
            <w:col w:w="1516" w:space="80"/>
            <w:col w:w="3340" w:space="74"/>
            <w:col w:w="2026"/>
          </w:cols>
          <w:pgMar w:left="240" w:top="130"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Clinical Program</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2019 and 2020 Events to</w:t>
            </w:r>
          </w:p>
        </w:tc>
        <w:tc>
          <w:tcPr>
            <w:tcW w:w="12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b w:val="1"/>
                <w:bCs w:val="1"/>
                <w:color w:val="auto"/>
              </w:rPr>
              <w:t>Select Upcoming</w:t>
            </w:r>
          </w:p>
        </w:tc>
      </w:tr>
      <w:tr>
        <w:trPr>
          <w:trHeight w:val="261"/>
        </w:trPr>
        <w:tc>
          <w:tcPr>
            <w:tcW w:w="1760" w:type="dxa"/>
            <w:vAlign w:val="bottom"/>
            <w:gridSpan w:val="2"/>
          </w:tcPr>
          <w:p>
            <w:pPr>
              <w:jc w:val="center"/>
              <w:ind w:right="140"/>
              <w:spacing w:after="0"/>
              <w:rPr>
                <w:sz w:val="20"/>
                <w:szCs w:val="20"/>
                <w:color w:val="auto"/>
              </w:rPr>
            </w:pPr>
            <w:r>
              <w:rPr>
                <w:rFonts w:ascii="Arial" w:cs="Arial" w:eastAsia="Arial" w:hAnsi="Arial"/>
                <w:sz w:val="18"/>
                <w:szCs w:val="18"/>
                <w:b w:val="1"/>
                <w:bCs w:val="1"/>
                <w:i w:val="1"/>
                <w:iCs w:val="1"/>
                <w:color w:val="auto"/>
                <w:w w:val="87"/>
              </w:rPr>
              <w:t>(continued)</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Phase 1</w:t>
            </w: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3</w:t>
            </w:r>
          </w:p>
        </w:tc>
        <w:tc>
          <w:tcPr>
            <w:tcW w:w="136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2"/>
                <w:szCs w:val="22"/>
                <w:color w:val="auto"/>
              </w:rPr>
            </w:pPr>
          </w:p>
        </w:tc>
        <w:tc>
          <w:tcPr>
            <w:tcW w:w="1940" w:type="dxa"/>
            <w:vAlign w:val="bottom"/>
          </w:tcPr>
          <w:p>
            <w:pPr>
              <w:ind w:left="560"/>
              <w:spacing w:after="0"/>
              <w:rPr>
                <w:sz w:val="20"/>
                <w:szCs w:val="20"/>
                <w:color w:val="auto"/>
              </w:rPr>
            </w:pPr>
            <w:r>
              <w:rPr>
                <w:rFonts w:ascii="Arial" w:cs="Arial" w:eastAsia="Arial" w:hAnsi="Arial"/>
                <w:sz w:val="18"/>
                <w:szCs w:val="18"/>
                <w:b w:val="1"/>
                <w:bCs w:val="1"/>
                <w:color w:val="auto"/>
              </w:rPr>
              <w:t>Milestones</w:t>
            </w:r>
          </w:p>
        </w:tc>
      </w:tr>
      <w:tr>
        <w:trPr>
          <w:trHeight w:val="222"/>
        </w:trPr>
        <w:tc>
          <w:tcPr>
            <w:tcW w:w="1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Report results from Phase</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w w:val="96"/>
              </w:rPr>
              <w:t>2 study in peanut allergy</w:t>
            </w:r>
          </w:p>
        </w:tc>
      </w:tr>
      <w:tr>
        <w:trPr>
          <w:trHeight w:val="230"/>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(first half 2021)</w:t>
            </w:r>
          </w:p>
        </w:tc>
      </w:tr>
      <w:tr>
        <w:trPr>
          <w:trHeight w:val="256"/>
        </w:trPr>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8"/>
              </w:rPr>
              <w:t>- Initiate Phase 3 study in</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pediatric patients with</w:t>
            </w:r>
          </w:p>
        </w:tc>
      </w:tr>
      <w:tr>
        <w:trPr>
          <w:trHeight w:val="230"/>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w w:val="97"/>
              </w:rPr>
              <w:t>EOE (second half 2020)</w:t>
            </w:r>
          </w:p>
        </w:tc>
      </w:tr>
      <w:tr>
        <w:trPr>
          <w:trHeight w:val="256"/>
        </w:trPr>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0"/>
              </w:rPr>
              <w:t>- Report results from Phase</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2 portion of Phase 2/3</w:t>
            </w:r>
          </w:p>
        </w:tc>
      </w:tr>
      <w:tr>
        <w:trPr>
          <w:trHeight w:val="230"/>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w w:val="95"/>
              </w:rPr>
              <w:t>study in EOE (mid-2020)</w:t>
            </w:r>
          </w:p>
        </w:tc>
      </w:tr>
      <w:tr>
        <w:trPr>
          <w:trHeight w:val="256"/>
        </w:trPr>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w w:val="92"/>
              </w:rPr>
              <w:t>- Initiate Phase 3 studies in</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hand and foot atopic</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dermatitis and allergic</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bronchopulmonary</w:t>
            </w:r>
          </w:p>
        </w:tc>
      </w:tr>
      <w:tr>
        <w:trPr>
          <w:trHeight w:val="216"/>
        </w:trPr>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aspergillosis ("ABPA")</w:t>
            </w:r>
          </w:p>
        </w:tc>
      </w:tr>
      <w:tr>
        <w:trPr>
          <w:trHeight w:val="230"/>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(first half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wp:posOffset>
            </wp:positionV>
            <wp:extent cx="622617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58293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Kevzara</w:t>
            </w:r>
          </w:p>
        </w:tc>
        <w:tc>
          <w:tcPr>
            <w:tcW w:w="2560" w:type="dxa"/>
            <w:vAlign w:val="bottom"/>
          </w:tcPr>
          <w:p>
            <w:pPr>
              <w:ind w:left="1040"/>
              <w:spacing w:after="0"/>
              <w:rPr>
                <w:sz w:val="20"/>
                <w:szCs w:val="20"/>
                <w:color w:val="auto"/>
              </w:rPr>
            </w:pPr>
            <w:r>
              <w:rPr>
                <w:rFonts w:ascii="Arial" w:cs="Arial" w:eastAsia="Arial" w:hAnsi="Arial"/>
                <w:sz w:val="18"/>
                <w:szCs w:val="18"/>
                <w:color w:val="auto"/>
              </w:rPr>
              <w:t>- Polyarticular-</w:t>
            </w:r>
          </w:p>
        </w:tc>
        <w:tc>
          <w:tcPr>
            <w:tcW w:w="1500" w:type="dxa"/>
            <w:vAlign w:val="bottom"/>
          </w:tcPr>
          <w:p>
            <w:pPr>
              <w:ind w:left="80"/>
              <w:spacing w:after="0"/>
              <w:rPr>
                <w:sz w:val="20"/>
                <w:szCs w:val="20"/>
                <w:color w:val="auto"/>
              </w:rPr>
            </w:pPr>
            <w:r>
              <w:rPr>
                <w:rFonts w:ascii="Arial" w:cs="Arial" w:eastAsia="Arial" w:hAnsi="Arial"/>
                <w:sz w:val="18"/>
                <w:szCs w:val="18"/>
                <w:color w:val="auto"/>
              </w:rPr>
              <w:t>- Polymyalgia</w:t>
            </w:r>
          </w:p>
        </w:tc>
      </w:tr>
      <w:tr>
        <w:trPr>
          <w:trHeight w:val="220"/>
        </w:trPr>
        <w:tc>
          <w:tcPr>
            <w:tcW w:w="1760" w:type="dxa"/>
            <w:vAlign w:val="bottom"/>
            <w:shd w:val="clear" w:color="auto" w:fill="CCEEFF"/>
          </w:tcPr>
          <w:p>
            <w:pPr>
              <w:ind w:left="40"/>
              <w:spacing w:after="0" w:line="220" w:lineRule="exact"/>
              <w:rPr>
                <w:sz w:val="20"/>
                <w:szCs w:val="20"/>
                <w:color w:val="auto"/>
              </w:rPr>
            </w:pPr>
            <w:r>
              <w:rPr>
                <w:rFonts w:ascii="Arial" w:cs="Arial" w:eastAsia="Arial" w:hAnsi="Arial"/>
                <w:sz w:val="18"/>
                <w:szCs w:val="18"/>
                <w:b w:val="1"/>
                <w:bCs w:val="1"/>
                <w:color w:val="auto"/>
              </w:rPr>
              <w:t>(sarilumab)</w:t>
            </w:r>
            <w:r>
              <w:rPr>
                <w:rFonts w:ascii="Arial" w:cs="Arial" w:eastAsia="Arial" w:hAnsi="Arial"/>
                <w:sz w:val="25"/>
                <w:szCs w:val="25"/>
                <w:b w:val="1"/>
                <w:bCs w:val="1"/>
                <w:color w:val="auto"/>
                <w:vertAlign w:val="superscript"/>
              </w:rPr>
              <w:t>(a)</w:t>
            </w:r>
          </w:p>
        </w:tc>
        <w:tc>
          <w:tcPr>
            <w:tcW w:w="2560" w:type="dxa"/>
            <w:vAlign w:val="bottom"/>
          </w:tcPr>
          <w:p>
            <w:pPr>
              <w:ind w:left="1160"/>
              <w:spacing w:after="0"/>
              <w:rPr>
                <w:sz w:val="20"/>
                <w:szCs w:val="20"/>
                <w:color w:val="auto"/>
              </w:rPr>
            </w:pPr>
            <w:r>
              <w:rPr>
                <w:rFonts w:ascii="Arial" w:cs="Arial" w:eastAsia="Arial" w:hAnsi="Arial"/>
                <w:sz w:val="18"/>
                <w:szCs w:val="18"/>
                <w:color w:val="auto"/>
              </w:rPr>
              <w:t>course juvenile</w:t>
            </w:r>
          </w:p>
        </w:tc>
        <w:tc>
          <w:tcPr>
            <w:tcW w:w="1500" w:type="dxa"/>
            <w:vAlign w:val="bottom"/>
          </w:tcPr>
          <w:p>
            <w:pPr>
              <w:ind w:left="200"/>
              <w:spacing w:after="0"/>
              <w:rPr>
                <w:sz w:val="20"/>
                <w:szCs w:val="20"/>
                <w:color w:val="auto"/>
              </w:rPr>
            </w:pPr>
            <w:r>
              <w:rPr>
                <w:rFonts w:ascii="Arial" w:cs="Arial" w:eastAsia="Arial" w:hAnsi="Arial"/>
                <w:sz w:val="18"/>
                <w:szCs w:val="18"/>
                <w:color w:val="auto"/>
              </w:rPr>
              <w:t>rheumatica</w:t>
            </w: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IL-6R</w:t>
            </w:r>
          </w:p>
        </w:tc>
        <w:tc>
          <w:tcPr>
            <w:tcW w:w="2560" w:type="dxa"/>
            <w:vAlign w:val="bottom"/>
          </w:tcPr>
          <w:p>
            <w:pPr>
              <w:ind w:left="1160"/>
              <w:spacing w:after="0"/>
              <w:rPr>
                <w:sz w:val="20"/>
                <w:szCs w:val="20"/>
                <w:color w:val="auto"/>
              </w:rPr>
            </w:pPr>
            <w:r>
              <w:rPr>
                <w:rFonts w:ascii="Arial" w:cs="Arial" w:eastAsia="Arial" w:hAnsi="Arial"/>
                <w:sz w:val="18"/>
                <w:szCs w:val="18"/>
                <w:color w:val="auto"/>
                <w:w w:val="98"/>
              </w:rPr>
              <w:t>idiopathic arthritis</w:t>
            </w:r>
          </w:p>
        </w:tc>
        <w:tc>
          <w:tcPr>
            <w:tcW w:w="1500" w:type="dxa"/>
            <w:vAlign w:val="bottom"/>
          </w:tcPr>
          <w:p>
            <w:pPr>
              <w:ind w:left="200"/>
              <w:spacing w:after="0"/>
              <w:rPr>
                <w:sz w:val="20"/>
                <w:szCs w:val="20"/>
                <w:color w:val="auto"/>
              </w:rPr>
            </w:pPr>
            <w:r>
              <w:rPr>
                <w:rFonts w:ascii="Arial" w:cs="Arial" w:eastAsia="Arial" w:hAnsi="Arial"/>
                <w:sz w:val="18"/>
                <w:szCs w:val="18"/>
                <w:color w:val="auto"/>
              </w:rPr>
              <w:t>("PMR")</w:t>
            </w:r>
          </w:p>
        </w:tc>
      </w:tr>
      <w:tr>
        <w:trPr>
          <w:trHeight w:val="230"/>
        </w:trPr>
        <w:tc>
          <w:tcPr>
            <w:tcW w:w="1760" w:type="dxa"/>
            <w:vAlign w:val="bottom"/>
            <w:shd w:val="clear" w:color="auto" w:fill="CCEEFF"/>
          </w:tcPr>
          <w:p>
            <w:pPr>
              <w:spacing w:after="0"/>
              <w:rPr>
                <w:sz w:val="20"/>
                <w:szCs w:val="20"/>
                <w:color w:val="auto"/>
              </w:rPr>
            </w:pPr>
          </w:p>
        </w:tc>
        <w:tc>
          <w:tcPr>
            <w:tcW w:w="2560" w:type="dxa"/>
            <w:vAlign w:val="bottom"/>
          </w:tcPr>
          <w:p>
            <w:pPr>
              <w:ind w:left="1160"/>
              <w:spacing w:after="0"/>
              <w:rPr>
                <w:sz w:val="20"/>
                <w:szCs w:val="20"/>
                <w:color w:val="auto"/>
              </w:rPr>
            </w:pPr>
            <w:r>
              <w:rPr>
                <w:rFonts w:ascii="Arial" w:cs="Arial" w:eastAsia="Arial" w:hAnsi="Arial"/>
                <w:sz w:val="18"/>
                <w:szCs w:val="18"/>
                <w:color w:val="auto"/>
              </w:rPr>
              <w:t>("pcJIA")</w:t>
            </w:r>
          </w:p>
        </w:tc>
        <w:tc>
          <w:tcPr>
            <w:tcW w:w="1500" w:type="dxa"/>
            <w:vAlign w:val="bottom"/>
          </w:tcPr>
          <w:p>
            <w:pPr>
              <w:spacing w:after="0"/>
              <w:rPr>
                <w:sz w:val="20"/>
                <w:szCs w:val="20"/>
                <w:color w:val="auto"/>
              </w:rPr>
            </w:pPr>
          </w:p>
        </w:tc>
      </w:tr>
      <w:tr>
        <w:trPr>
          <w:trHeight w:val="256"/>
        </w:trPr>
        <w:tc>
          <w:tcPr>
            <w:tcW w:w="1760" w:type="dxa"/>
            <w:vAlign w:val="bottom"/>
            <w:shd w:val="clear" w:color="auto" w:fill="CCEEFF"/>
          </w:tcPr>
          <w:p>
            <w:pPr>
              <w:spacing w:after="0"/>
              <w:rPr>
                <w:sz w:val="22"/>
                <w:szCs w:val="22"/>
                <w:color w:val="auto"/>
              </w:rPr>
            </w:pPr>
          </w:p>
        </w:tc>
        <w:tc>
          <w:tcPr>
            <w:tcW w:w="2560" w:type="dxa"/>
            <w:vAlign w:val="bottom"/>
          </w:tcPr>
          <w:p>
            <w:pPr>
              <w:ind w:left="1040"/>
              <w:spacing w:after="0"/>
              <w:rPr>
                <w:sz w:val="20"/>
                <w:szCs w:val="20"/>
                <w:color w:val="auto"/>
              </w:rPr>
            </w:pPr>
            <w:r>
              <w:rPr>
                <w:rFonts w:ascii="Arial" w:cs="Arial" w:eastAsia="Arial" w:hAnsi="Arial"/>
                <w:sz w:val="18"/>
                <w:szCs w:val="18"/>
                <w:color w:val="auto"/>
                <w:w w:val="99"/>
              </w:rPr>
              <w:t>- Systemic juvenile</w:t>
            </w:r>
          </w:p>
        </w:tc>
        <w:tc>
          <w:tcPr>
            <w:tcW w:w="1500" w:type="dxa"/>
            <w:vAlign w:val="bottom"/>
          </w:tcPr>
          <w:p>
            <w:pPr>
              <w:ind w:left="80"/>
              <w:spacing w:after="0"/>
              <w:rPr>
                <w:sz w:val="20"/>
                <w:szCs w:val="20"/>
                <w:color w:val="auto"/>
              </w:rPr>
            </w:pPr>
            <w:r>
              <w:rPr>
                <w:rFonts w:ascii="Arial" w:cs="Arial" w:eastAsia="Arial" w:hAnsi="Arial"/>
                <w:sz w:val="18"/>
                <w:szCs w:val="18"/>
                <w:color w:val="auto"/>
                <w:w w:val="93"/>
              </w:rPr>
              <w:t>- Giant cell arteritis</w:t>
            </w:r>
          </w:p>
        </w:tc>
      </w:tr>
      <w:tr>
        <w:trPr>
          <w:trHeight w:val="216"/>
        </w:trPr>
        <w:tc>
          <w:tcPr>
            <w:tcW w:w="1760" w:type="dxa"/>
            <w:vAlign w:val="bottom"/>
            <w:shd w:val="clear" w:color="auto" w:fill="CCEEFF"/>
          </w:tcPr>
          <w:p>
            <w:pPr>
              <w:spacing w:after="0"/>
              <w:rPr>
                <w:sz w:val="18"/>
                <w:szCs w:val="18"/>
                <w:color w:val="auto"/>
              </w:rPr>
            </w:pPr>
          </w:p>
        </w:tc>
        <w:tc>
          <w:tcPr>
            <w:tcW w:w="2560" w:type="dxa"/>
            <w:vAlign w:val="bottom"/>
          </w:tcPr>
          <w:p>
            <w:pPr>
              <w:ind w:left="1160"/>
              <w:spacing w:after="0"/>
              <w:rPr>
                <w:sz w:val="20"/>
                <w:szCs w:val="20"/>
                <w:color w:val="auto"/>
              </w:rPr>
            </w:pPr>
            <w:r>
              <w:rPr>
                <w:rFonts w:ascii="Arial" w:cs="Arial" w:eastAsia="Arial" w:hAnsi="Arial"/>
                <w:sz w:val="18"/>
                <w:szCs w:val="18"/>
                <w:color w:val="auto"/>
                <w:w w:val="98"/>
              </w:rPr>
              <w:t>idiopathic arthritis</w:t>
            </w:r>
          </w:p>
        </w:tc>
        <w:tc>
          <w:tcPr>
            <w:tcW w:w="1500" w:type="dxa"/>
            <w:vAlign w:val="bottom"/>
          </w:tcPr>
          <w:p>
            <w:pPr>
              <w:ind w:left="200"/>
              <w:spacing w:after="0"/>
              <w:rPr>
                <w:sz w:val="20"/>
                <w:szCs w:val="20"/>
                <w:color w:val="auto"/>
              </w:rPr>
            </w:pPr>
            <w:r>
              <w:rPr>
                <w:rFonts w:ascii="Arial" w:cs="Arial" w:eastAsia="Arial" w:hAnsi="Arial"/>
                <w:sz w:val="18"/>
                <w:szCs w:val="18"/>
                <w:color w:val="auto"/>
              </w:rPr>
              <w:t>("GCA")</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2560" w:type="dxa"/>
            <w:vAlign w:val="bottom"/>
          </w:tcPr>
          <w:p>
            <w:pPr>
              <w:ind w:left="1160"/>
              <w:spacing w:after="0"/>
              <w:rPr>
                <w:sz w:val="20"/>
                <w:szCs w:val="20"/>
                <w:color w:val="auto"/>
              </w:rPr>
            </w:pPr>
            <w:r>
              <w:rPr>
                <w:rFonts w:ascii="Arial" w:cs="Arial" w:eastAsia="Arial" w:hAnsi="Arial"/>
                <w:sz w:val="18"/>
                <w:szCs w:val="18"/>
                <w:color w:val="auto"/>
              </w:rPr>
              <w:t>("sJIA")</w:t>
            </w:r>
          </w:p>
        </w:tc>
        <w:tc>
          <w:tcPr>
            <w:tcW w:w="1500" w:type="dxa"/>
            <w:vAlign w:val="bottom"/>
          </w:tcPr>
          <w:p>
            <w:pPr>
              <w:spacing w:after="0"/>
              <w:rPr>
                <w:sz w:val="20"/>
                <w:szCs w:val="20"/>
                <w:color w:val="auto"/>
              </w:rPr>
            </w:pPr>
          </w:p>
        </w:tc>
      </w:tr>
      <w:tr>
        <w:trPr>
          <w:trHeight w:val="229"/>
        </w:trPr>
        <w:tc>
          <w:tcPr>
            <w:tcW w:w="17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tc>
        <w:tc>
          <w:tcPr>
            <w:tcW w:w="2560" w:type="dxa"/>
            <w:vAlign w:val="bottom"/>
          </w:tcPr>
          <w:p>
            <w:pPr>
              <w:ind w:left="1040"/>
              <w:spacing w:after="0"/>
              <w:rPr>
                <w:sz w:val="20"/>
                <w:szCs w:val="20"/>
                <w:color w:val="auto"/>
              </w:rPr>
            </w:pPr>
            <w:r>
              <w:rPr>
                <w:rFonts w:ascii="Arial" w:cs="Arial" w:eastAsia="Arial" w:hAnsi="Arial"/>
                <w:sz w:val="18"/>
                <w:szCs w:val="18"/>
                <w:color w:val="auto"/>
              </w:rPr>
              <w:t>- Asthma</w:t>
            </w:r>
          </w:p>
        </w:tc>
        <w:tc>
          <w:tcPr>
            <w:tcW w:w="1500" w:type="dxa"/>
            <w:vAlign w:val="bottom"/>
          </w:tcPr>
          <w:p>
            <w:pPr>
              <w:spacing w:after="0"/>
              <w:rPr>
                <w:sz w:val="19"/>
                <w:szCs w:val="19"/>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Antibody to IL-33.</w:t>
            </w: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Studied as</w:t>
            </w:r>
          </w:p>
        </w:tc>
        <w:tc>
          <w:tcPr>
            <w:tcW w:w="2560" w:type="dxa"/>
            <w:vAlign w:val="bottom"/>
          </w:tcPr>
          <w:p>
            <w:pPr>
              <w:ind w:left="1040"/>
              <w:spacing w:after="0"/>
              <w:rPr>
                <w:sz w:val="20"/>
                <w:szCs w:val="20"/>
                <w:color w:val="auto"/>
              </w:rPr>
            </w:pPr>
            <w:r>
              <w:rPr>
                <w:rFonts w:ascii="Arial" w:cs="Arial" w:eastAsia="Arial" w:hAnsi="Arial"/>
                <w:sz w:val="18"/>
                <w:szCs w:val="18"/>
                <w:color w:val="auto"/>
              </w:rPr>
              <w:t>- COPD</w:t>
            </w:r>
          </w:p>
        </w:tc>
        <w:tc>
          <w:tcPr>
            <w:tcW w:w="1500" w:type="dxa"/>
            <w:vAlign w:val="bottom"/>
          </w:tcPr>
          <w:p>
            <w:pPr>
              <w:spacing w:after="0"/>
              <w:rPr>
                <w:sz w:val="18"/>
                <w:szCs w:val="18"/>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monotherapy and in</w:t>
            </w:r>
          </w:p>
        </w:tc>
        <w:tc>
          <w:tcPr>
            <w:tcW w:w="25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combination with</w:t>
            </w:r>
          </w:p>
        </w:tc>
        <w:tc>
          <w:tcPr>
            <w:tcW w:w="2560" w:type="dxa"/>
            <w:vAlign w:val="bottom"/>
          </w:tcPr>
          <w:p>
            <w:pPr>
              <w:ind w:left="1040"/>
              <w:spacing w:after="0"/>
              <w:rPr>
                <w:sz w:val="20"/>
                <w:szCs w:val="20"/>
                <w:color w:val="auto"/>
              </w:rPr>
            </w:pPr>
            <w:r>
              <w:rPr>
                <w:rFonts w:ascii="Arial" w:cs="Arial" w:eastAsia="Arial" w:hAnsi="Arial"/>
                <w:sz w:val="18"/>
                <w:szCs w:val="18"/>
                <w:color w:val="auto"/>
              </w:rPr>
              <w:t>- Atopic dermatitis</w:t>
            </w:r>
          </w:p>
        </w:tc>
        <w:tc>
          <w:tcPr>
            <w:tcW w:w="1500" w:type="dxa"/>
            <w:vAlign w:val="bottom"/>
          </w:tcPr>
          <w:p>
            <w:pPr>
              <w:spacing w:after="0"/>
              <w:rPr>
                <w:sz w:val="20"/>
                <w:szCs w:val="20"/>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i w:val="1"/>
                <w:iCs w:val="1"/>
                <w:color w:val="auto"/>
              </w:rPr>
              <w:t>Dupixent.</w:t>
            </w:r>
          </w:p>
        </w:tc>
        <w:tc>
          <w:tcPr>
            <w:tcW w:w="25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9" w:right="140" w:hanging="119"/>
        <w:spacing w:after="0" w:line="299" w:lineRule="auto"/>
        <w:tabs>
          <w:tab w:leader="none" w:pos="11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Reported that Phase 2 study in asthma met its primary and key secondary endpoints</w:t>
      </w:r>
    </w:p>
    <w:p>
      <w:pPr>
        <w:spacing w:after="0" w:line="1" w:lineRule="exact"/>
        <w:rPr>
          <w:rFonts w:ascii="Arial" w:cs="Arial" w:eastAsia="Arial" w:hAnsi="Arial"/>
          <w:sz w:val="16"/>
          <w:szCs w:val="16"/>
          <w:color w:val="auto"/>
        </w:rPr>
      </w:pPr>
    </w:p>
    <w:p>
      <w:pPr>
        <w:ind w:left="119" w:hanging="119"/>
        <w:spacing w:after="0" w:line="289" w:lineRule="auto"/>
        <w:tabs>
          <w:tab w:leader="none" w:pos="119" w:val="left"/>
        </w:tabs>
        <w:numPr>
          <w:ilvl w:val="0"/>
          <w:numId w:val="7"/>
        </w:numPr>
        <w:rPr>
          <w:rFonts w:ascii="Arial" w:cs="Arial" w:eastAsia="Arial" w:hAnsi="Arial"/>
          <w:sz w:val="16"/>
          <w:szCs w:val="16"/>
          <w:color w:val="auto"/>
        </w:rPr>
      </w:pPr>
      <w:r>
        <w:rPr>
          <w:rFonts w:ascii="Arial" w:cs="Arial" w:eastAsia="Arial" w:hAnsi="Arial"/>
          <w:sz w:val="16"/>
          <w:szCs w:val="16"/>
          <w:color w:val="auto"/>
        </w:rPr>
        <w:t>Sanofi reported that Phase 2 study in COPD demonstrated reduced exacerbations in the overall study population, but results were not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-2021205</wp:posOffset>
            </wp:positionV>
            <wp:extent cx="614045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4045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 w:right="40" w:hanging="126"/>
        <w:spacing w:after="0" w:line="259" w:lineRule="auto"/>
        <w:tabs>
          <w:tab w:leader="none" w:pos="12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 results from Phase 2 study in atopic dermatitis (second half 2020)</w:t>
      </w:r>
    </w:p>
    <w:p>
      <w:pPr>
        <w:spacing w:after="0" w:line="24" w:lineRule="exact"/>
        <w:rPr>
          <w:rFonts w:ascii="Arial" w:cs="Arial" w:eastAsia="Arial" w:hAnsi="Arial"/>
          <w:sz w:val="18"/>
          <w:szCs w:val="18"/>
          <w:color w:val="auto"/>
        </w:rPr>
      </w:pPr>
    </w:p>
    <w:p>
      <w:pPr>
        <w:ind w:left="126" w:right="80" w:hanging="126"/>
        <w:spacing w:after="0" w:line="264" w:lineRule="auto"/>
        <w:tabs>
          <w:tab w:leader="none" w:pos="1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Phase 2b study in asthma (second half 2020)</w:t>
      </w:r>
    </w:p>
    <w:p>
      <w:pPr>
        <w:spacing w:after="0" w:line="868" w:lineRule="exact"/>
        <w:rPr>
          <w:sz w:val="20"/>
          <w:szCs w:val="20"/>
          <w:color w:val="auto"/>
        </w:rPr>
      </w:pPr>
    </w:p>
    <w:p>
      <w:pPr>
        <w:sectPr>
          <w:pgSz w:w="11900" w:h="16838" w:orient="portrait"/>
          <w:cols w:equalWidth="0" w:num="3">
            <w:col w:w="6621" w:space="720"/>
            <w:col w:w="1919" w:space="134"/>
            <w:col w:w="2026"/>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15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b w:val="1"/>
                <w:bCs w:val="1"/>
                <w:color w:val="auto"/>
                <w:w w:val="96"/>
              </w:rPr>
              <w:t>REGN1908-1909</w:t>
            </w:r>
            <w:r>
              <w:rPr>
                <w:rFonts w:ascii="Arial" w:cs="Arial" w:eastAsia="Arial" w:hAnsi="Arial"/>
                <w:sz w:val="25"/>
                <w:szCs w:val="25"/>
                <w:b w:val="1"/>
                <w:bCs w:val="1"/>
                <w:color w:val="auto"/>
                <w:w w:val="96"/>
                <w:vertAlign w:val="superscript"/>
              </w:rPr>
              <w:t>(f)</w:t>
            </w:r>
          </w:p>
        </w:tc>
        <w:tc>
          <w:tcPr>
            <w:tcW w:w="50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 Cat allergy</w:t>
            </w:r>
          </w:p>
        </w:tc>
        <w:tc>
          <w:tcPr>
            <w:tcW w:w="4860" w:type="dxa"/>
            <w:vAlign w:val="bottom"/>
            <w:shd w:val="clear" w:color="auto" w:fill="CCEEFF"/>
          </w:tcPr>
          <w:p>
            <w:pPr>
              <w:ind w:left="2840"/>
              <w:spacing w:after="0"/>
              <w:rPr>
                <w:sz w:val="20"/>
                <w:szCs w:val="20"/>
                <w:color w:val="auto"/>
              </w:rPr>
            </w:pPr>
            <w:r>
              <w:rPr>
                <w:rFonts w:ascii="Arial" w:cs="Arial" w:eastAsia="Arial" w:hAnsi="Arial"/>
                <w:sz w:val="18"/>
                <w:szCs w:val="18"/>
                <w:color w:val="auto"/>
                <w:w w:val="90"/>
              </w:rPr>
              <w:t>- Report results from Phase</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Multi-antibody</w:t>
            </w:r>
          </w:p>
        </w:tc>
        <w:tc>
          <w:tcPr>
            <w:tcW w:w="5000" w:type="dxa"/>
            <w:vAlign w:val="bottom"/>
            <w:shd w:val="clear" w:color="auto" w:fill="CCEEFF"/>
          </w:tcPr>
          <w:p>
            <w:pPr>
              <w:spacing w:after="0"/>
              <w:rPr>
                <w:sz w:val="18"/>
                <w:szCs w:val="18"/>
                <w:color w:val="auto"/>
              </w:rPr>
            </w:pPr>
          </w:p>
        </w:tc>
        <w:tc>
          <w:tcPr>
            <w:tcW w:w="486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2 study in cat allergic</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therapy to Feld1</w:t>
            </w:r>
          </w:p>
        </w:tc>
        <w:tc>
          <w:tcPr>
            <w:tcW w:w="5000" w:type="dxa"/>
            <w:vAlign w:val="bottom"/>
            <w:shd w:val="clear" w:color="auto" w:fill="CCEEFF"/>
          </w:tcPr>
          <w:p>
            <w:pPr>
              <w:spacing w:after="0"/>
              <w:rPr>
                <w:sz w:val="18"/>
                <w:szCs w:val="18"/>
                <w:color w:val="auto"/>
              </w:rPr>
            </w:pPr>
          </w:p>
        </w:tc>
        <w:tc>
          <w:tcPr>
            <w:tcW w:w="486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asthmatics (first half</w:t>
            </w:r>
          </w:p>
        </w:tc>
      </w:tr>
      <w:tr>
        <w:trPr>
          <w:trHeight w:val="237"/>
        </w:trPr>
        <w:tc>
          <w:tcPr>
            <w:tcW w:w="156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2020)</w:t>
            </w:r>
          </w:p>
        </w:tc>
      </w:tr>
      <w:tr>
        <w:trPr>
          <w:trHeight w:val="225"/>
        </w:trPr>
        <w:tc>
          <w:tcPr>
            <w:tcW w:w="1560" w:type="dxa"/>
            <w:vAlign w:val="bottom"/>
          </w:tcPr>
          <w:p>
            <w:pPr>
              <w:ind w:left="40"/>
              <w:spacing w:after="0"/>
              <w:rPr>
                <w:sz w:val="20"/>
                <w:szCs w:val="20"/>
                <w:color w:val="auto"/>
              </w:rPr>
            </w:pPr>
            <w:r>
              <w:rPr>
                <w:rFonts w:ascii="Arial" w:cs="Arial" w:eastAsia="Arial" w:hAnsi="Arial"/>
                <w:sz w:val="18"/>
                <w:szCs w:val="18"/>
                <w:b w:val="1"/>
                <w:bCs w:val="1"/>
                <w:color w:val="auto"/>
              </w:rPr>
              <w:t>REGN5713-5714-</w:t>
            </w:r>
          </w:p>
        </w:tc>
        <w:tc>
          <w:tcPr>
            <w:tcW w:w="5000" w:type="dxa"/>
            <w:vAlign w:val="bottom"/>
          </w:tcPr>
          <w:p>
            <w:pPr>
              <w:ind w:left="80"/>
              <w:spacing w:after="0"/>
              <w:rPr>
                <w:sz w:val="20"/>
                <w:szCs w:val="20"/>
                <w:color w:val="auto"/>
              </w:rPr>
            </w:pPr>
            <w:r>
              <w:rPr>
                <w:rFonts w:ascii="Arial" w:cs="Arial" w:eastAsia="Arial" w:hAnsi="Arial"/>
                <w:sz w:val="18"/>
                <w:szCs w:val="18"/>
                <w:color w:val="auto"/>
              </w:rPr>
              <w:t>- Birch allergy</w:t>
            </w:r>
          </w:p>
        </w:tc>
        <w:tc>
          <w:tcPr>
            <w:tcW w:w="4860" w:type="dxa"/>
            <w:vAlign w:val="bottom"/>
          </w:tcPr>
          <w:p>
            <w:pPr>
              <w:spacing w:after="0"/>
              <w:rPr>
                <w:sz w:val="19"/>
                <w:szCs w:val="19"/>
                <w:color w:val="auto"/>
              </w:rPr>
            </w:pPr>
          </w:p>
        </w:tc>
      </w:tr>
      <w:tr>
        <w:trPr>
          <w:trHeight w:val="220"/>
        </w:trPr>
        <w:tc>
          <w:tcPr>
            <w:tcW w:w="1560" w:type="dxa"/>
            <w:vAlign w:val="bottom"/>
          </w:tcPr>
          <w:p>
            <w:pPr>
              <w:ind w:left="40"/>
              <w:spacing w:after="0"/>
              <w:rPr>
                <w:sz w:val="20"/>
                <w:szCs w:val="20"/>
                <w:color w:val="auto"/>
              </w:rPr>
            </w:pPr>
            <w:r>
              <w:rPr>
                <w:rFonts w:ascii="Arial" w:cs="Arial" w:eastAsia="Arial" w:hAnsi="Arial"/>
                <w:sz w:val="18"/>
                <w:szCs w:val="18"/>
                <w:b w:val="1"/>
                <w:bCs w:val="1"/>
                <w:color w:val="auto"/>
              </w:rPr>
              <w:t>5715</w:t>
            </w:r>
          </w:p>
        </w:tc>
        <w:tc>
          <w:tcPr>
            <w:tcW w:w="50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30"/>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Antibody to Betv1</w:t>
            </w:r>
          </w:p>
        </w:tc>
        <w:tc>
          <w:tcPr>
            <w:tcW w:w="500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Clinical Program</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2019 and 2020 Events to</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r>
      <w:tr>
        <w:trPr>
          <w:trHeight w:val="261"/>
        </w:trPr>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87"/>
              </w:rPr>
              <w:t>(continued)</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Phase 1</w:t>
            </w: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3</w:t>
            </w:r>
          </w:p>
        </w:tc>
        <w:tc>
          <w:tcPr>
            <w:tcW w:w="136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Milestones</w:t>
            </w:r>
          </w:p>
        </w:tc>
      </w:tr>
      <w:tr>
        <w:trPr>
          <w:trHeight w:val="115"/>
        </w:trPr>
        <w:tc>
          <w:tcPr>
            <w:tcW w:w="1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r>
      <w:tr>
        <w:trPr>
          <w:trHeight w:val="243"/>
        </w:trPr>
        <w:tc>
          <w:tcPr>
            <w:tcW w:w="158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1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46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560" w:type="dxa"/>
            <w:vAlign w:val="bottom"/>
            <w:gridSpan w:val="2"/>
            <w:shd w:val="clear" w:color="auto" w:fill="ACACAC"/>
          </w:tcPr>
          <w:p>
            <w:pPr>
              <w:ind w:left="800"/>
              <w:spacing w:after="0"/>
              <w:rPr>
                <w:sz w:val="20"/>
                <w:szCs w:val="20"/>
                <w:color w:val="auto"/>
              </w:rPr>
            </w:pPr>
            <w:r>
              <w:rPr>
                <w:rFonts w:ascii="Arial" w:cs="Arial" w:eastAsia="Arial" w:hAnsi="Arial"/>
                <w:sz w:val="18"/>
                <w:szCs w:val="18"/>
                <w:b w:val="1"/>
                <w:bCs w:val="1"/>
                <w:color w:val="auto"/>
                <w:w w:val="89"/>
              </w:rPr>
              <w:t>Oncology</w:t>
            </w:r>
          </w:p>
        </w:tc>
        <w:tc>
          <w:tcPr>
            <w:tcW w:w="124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920" w:type="dxa"/>
            <w:vAlign w:val="bottom"/>
            <w:shd w:val="clear" w:color="auto" w:fill="ACACAC"/>
          </w:tcPr>
          <w:p>
            <w:pPr>
              <w:spacing w:after="0"/>
              <w:rPr>
                <w:sz w:val="21"/>
                <w:szCs w:val="21"/>
                <w:color w:val="auto"/>
              </w:rPr>
            </w:pPr>
          </w:p>
        </w:tc>
        <w:tc>
          <w:tcPr>
            <w:tcW w:w="120" w:type="dxa"/>
            <w:vAlign w:val="bottom"/>
            <w:shd w:val="clear" w:color="auto" w:fill="ACACAC"/>
          </w:tcPr>
          <w:p>
            <w:pPr>
              <w:spacing w:after="0"/>
              <w:rPr>
                <w:sz w:val="21"/>
                <w:szCs w:val="21"/>
                <w:color w:val="auto"/>
              </w:rPr>
            </w:pPr>
          </w:p>
        </w:tc>
        <w:tc>
          <w:tcPr>
            <w:tcW w:w="1920" w:type="dxa"/>
            <w:vAlign w:val="bottom"/>
            <w:shd w:val="clear" w:color="auto" w:fill="ACACAC"/>
          </w:tcPr>
          <w:p>
            <w:pPr>
              <w:spacing w:after="0"/>
              <w:rPr>
                <w:sz w:val="21"/>
                <w:szCs w:val="21"/>
                <w:color w:val="auto"/>
              </w:rPr>
            </w:pPr>
          </w:p>
        </w:tc>
      </w:tr>
      <w:tr>
        <w:trPr>
          <w:trHeight w:val="27"/>
        </w:trPr>
        <w:tc>
          <w:tcPr>
            <w:tcW w:w="158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14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46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460" w:type="dxa"/>
            <w:vAlign w:val="bottom"/>
            <w:shd w:val="clear" w:color="auto" w:fill="ACACAC"/>
          </w:tcPr>
          <w:p>
            <w:pPr>
              <w:spacing w:after="0"/>
              <w:rPr>
                <w:sz w:val="2"/>
                <w:szCs w:val="2"/>
                <w:color w:val="auto"/>
              </w:rPr>
            </w:pPr>
          </w:p>
        </w:tc>
        <w:tc>
          <w:tcPr>
            <w:tcW w:w="100" w:type="dxa"/>
            <w:vAlign w:val="bottom"/>
            <w:shd w:val="clear" w:color="auto" w:fill="ACACAC"/>
          </w:tcPr>
          <w:p>
            <w:pPr>
              <w:spacing w:after="0"/>
              <w:rPr>
                <w:sz w:val="2"/>
                <w:szCs w:val="2"/>
                <w:color w:val="auto"/>
              </w:rPr>
            </w:pPr>
          </w:p>
        </w:tc>
        <w:tc>
          <w:tcPr>
            <w:tcW w:w="124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92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9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2195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19519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Libtayo</w:t>
            </w:r>
          </w:p>
        </w:tc>
        <w:tc>
          <w:tcPr>
            <w:tcW w:w="1300" w:type="dxa"/>
            <w:vAlign w:val="bottom"/>
          </w:tcPr>
          <w:p>
            <w:pPr>
              <w:ind w:left="120"/>
              <w:spacing w:after="0"/>
              <w:rPr>
                <w:sz w:val="20"/>
                <w:szCs w:val="20"/>
                <w:color w:val="auto"/>
              </w:rPr>
            </w:pPr>
            <w:r>
              <w:rPr>
                <w:rFonts w:ascii="Arial" w:cs="Arial" w:eastAsia="Arial" w:hAnsi="Arial"/>
                <w:sz w:val="18"/>
                <w:szCs w:val="18"/>
                <w:color w:val="auto"/>
              </w:rPr>
              <w:t>- Solid tumors</w:t>
            </w:r>
          </w:p>
        </w:tc>
        <w:tc>
          <w:tcPr>
            <w:tcW w:w="1620" w:type="dxa"/>
            <w:vAlign w:val="bottom"/>
          </w:tcPr>
          <w:p>
            <w:pPr>
              <w:ind w:left="100"/>
              <w:spacing w:after="0"/>
              <w:rPr>
                <w:sz w:val="20"/>
                <w:szCs w:val="20"/>
                <w:color w:val="auto"/>
              </w:rPr>
            </w:pPr>
            <w:r>
              <w:rPr>
                <w:rFonts w:ascii="Arial" w:cs="Arial" w:eastAsia="Arial" w:hAnsi="Arial"/>
                <w:sz w:val="18"/>
                <w:szCs w:val="18"/>
                <w:color w:val="auto"/>
              </w:rPr>
              <w:t>- Basal cell</w:t>
            </w:r>
          </w:p>
        </w:tc>
        <w:tc>
          <w:tcPr>
            <w:tcW w:w="1540" w:type="dxa"/>
            <w:vAlign w:val="bottom"/>
          </w:tcPr>
          <w:p>
            <w:pPr>
              <w:ind w:left="60"/>
              <w:spacing w:after="0"/>
              <w:rPr>
                <w:sz w:val="20"/>
                <w:szCs w:val="20"/>
                <w:color w:val="auto"/>
              </w:rPr>
            </w:pPr>
            <w:r>
              <w:rPr>
                <w:rFonts w:ascii="Arial" w:cs="Arial" w:eastAsia="Arial" w:hAnsi="Arial"/>
                <w:sz w:val="18"/>
                <w:szCs w:val="18"/>
                <w:color w:val="auto"/>
              </w:rPr>
              <w:t>- First-line non-</w:t>
            </w:r>
          </w:p>
        </w:tc>
      </w:tr>
      <w:tr>
        <w:trPr>
          <w:trHeight w:val="220"/>
        </w:trPr>
        <w:tc>
          <w:tcPr>
            <w:tcW w:w="1440" w:type="dxa"/>
            <w:vAlign w:val="bottom"/>
          </w:tcPr>
          <w:p>
            <w:pPr>
              <w:spacing w:after="0" w:line="220" w:lineRule="exact"/>
              <w:rPr>
                <w:sz w:val="20"/>
                <w:szCs w:val="20"/>
                <w:color w:val="auto"/>
              </w:rPr>
            </w:pPr>
            <w:r>
              <w:rPr>
                <w:rFonts w:ascii="Arial" w:cs="Arial" w:eastAsia="Arial" w:hAnsi="Arial"/>
                <w:sz w:val="18"/>
                <w:szCs w:val="18"/>
                <w:b w:val="1"/>
                <w:bCs w:val="1"/>
                <w:color w:val="auto"/>
                <w:w w:val="92"/>
              </w:rPr>
              <w:t>(cemiplimab)</w:t>
            </w:r>
            <w:r>
              <w:rPr>
                <w:rFonts w:ascii="Arial" w:cs="Arial" w:eastAsia="Arial" w:hAnsi="Arial"/>
                <w:sz w:val="25"/>
                <w:szCs w:val="25"/>
                <w:b w:val="1"/>
                <w:bCs w:val="1"/>
                <w:color w:val="auto"/>
                <w:w w:val="92"/>
                <w:vertAlign w:val="superscript"/>
              </w:rPr>
              <w:t>(a)(h)</w:t>
            </w:r>
          </w:p>
        </w:tc>
        <w:tc>
          <w:tcPr>
            <w:tcW w:w="1300" w:type="dxa"/>
            <w:vAlign w:val="bottom"/>
          </w:tcPr>
          <w:p>
            <w:pPr>
              <w:ind w:left="240"/>
              <w:spacing w:after="0"/>
              <w:rPr>
                <w:sz w:val="20"/>
                <w:szCs w:val="20"/>
                <w:color w:val="auto"/>
              </w:rPr>
            </w:pPr>
            <w:r>
              <w:rPr>
                <w:rFonts w:ascii="Arial" w:cs="Arial" w:eastAsia="Arial" w:hAnsi="Arial"/>
                <w:sz w:val="18"/>
                <w:szCs w:val="18"/>
                <w:color w:val="auto"/>
                <w:w w:val="91"/>
              </w:rPr>
              <w:t>and advanced</w:t>
            </w:r>
          </w:p>
        </w:tc>
        <w:tc>
          <w:tcPr>
            <w:tcW w:w="1620" w:type="dxa"/>
            <w:vAlign w:val="bottom"/>
          </w:tcPr>
          <w:p>
            <w:pPr>
              <w:ind w:left="220"/>
              <w:spacing w:after="0"/>
              <w:rPr>
                <w:sz w:val="20"/>
                <w:szCs w:val="20"/>
                <w:color w:val="auto"/>
              </w:rPr>
            </w:pPr>
            <w:r>
              <w:rPr>
                <w:rFonts w:ascii="Arial" w:cs="Arial" w:eastAsia="Arial" w:hAnsi="Arial"/>
                <w:sz w:val="18"/>
                <w:szCs w:val="18"/>
                <w:color w:val="auto"/>
              </w:rPr>
              <w:t>carcinoma</w:t>
            </w:r>
          </w:p>
        </w:tc>
        <w:tc>
          <w:tcPr>
            <w:tcW w:w="1540" w:type="dxa"/>
            <w:vAlign w:val="bottom"/>
          </w:tcPr>
          <w:p>
            <w:pPr>
              <w:ind w:left="180"/>
              <w:spacing w:after="0"/>
              <w:rPr>
                <w:sz w:val="20"/>
                <w:szCs w:val="20"/>
                <w:color w:val="auto"/>
              </w:rPr>
            </w:pPr>
            <w:r>
              <w:rPr>
                <w:rFonts w:ascii="Arial" w:cs="Arial" w:eastAsia="Arial" w:hAnsi="Arial"/>
                <w:sz w:val="18"/>
                <w:szCs w:val="18"/>
                <w:color w:val="auto"/>
              </w:rPr>
              <w:t>small cell lung</w:t>
            </w: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Antibody to PD-1</w:t>
            </w:r>
          </w:p>
        </w:tc>
        <w:tc>
          <w:tcPr>
            <w:tcW w:w="1300" w:type="dxa"/>
            <w:vAlign w:val="bottom"/>
          </w:tcPr>
          <w:p>
            <w:pPr>
              <w:ind w:left="240"/>
              <w:spacing w:after="0"/>
              <w:rPr>
                <w:sz w:val="20"/>
                <w:szCs w:val="20"/>
                <w:color w:val="auto"/>
              </w:rPr>
            </w:pPr>
            <w:r>
              <w:rPr>
                <w:rFonts w:ascii="Arial" w:cs="Arial" w:eastAsia="Arial" w:hAnsi="Arial"/>
                <w:sz w:val="18"/>
                <w:szCs w:val="18"/>
                <w:color w:val="auto"/>
              </w:rPr>
              <w:t>hematologic</w:t>
            </w:r>
          </w:p>
        </w:tc>
        <w:tc>
          <w:tcPr>
            <w:tcW w:w="1620" w:type="dxa"/>
            <w:vAlign w:val="bottom"/>
          </w:tcPr>
          <w:p>
            <w:pPr>
              <w:ind w:left="220"/>
              <w:spacing w:after="0"/>
              <w:rPr>
                <w:sz w:val="20"/>
                <w:szCs w:val="20"/>
                <w:color w:val="auto"/>
              </w:rPr>
            </w:pPr>
            <w:r>
              <w:rPr>
                <w:rFonts w:ascii="Arial" w:cs="Arial" w:eastAsia="Arial" w:hAnsi="Arial"/>
                <w:sz w:val="18"/>
                <w:szCs w:val="18"/>
                <w:color w:val="auto"/>
              </w:rPr>
              <w:t>("BCC")</w:t>
            </w:r>
          </w:p>
        </w:tc>
        <w:tc>
          <w:tcPr>
            <w:tcW w:w="1540" w:type="dxa"/>
            <w:vAlign w:val="bottom"/>
          </w:tcPr>
          <w:p>
            <w:pPr>
              <w:ind w:left="180"/>
              <w:spacing w:after="0"/>
              <w:rPr>
                <w:sz w:val="20"/>
                <w:szCs w:val="20"/>
                <w:color w:val="auto"/>
              </w:rPr>
            </w:pPr>
            <w:r>
              <w:rPr>
                <w:rFonts w:ascii="Arial" w:cs="Arial" w:eastAsia="Arial" w:hAnsi="Arial"/>
                <w:sz w:val="18"/>
                <w:szCs w:val="18"/>
                <w:color w:val="auto"/>
                <w:w w:val="92"/>
              </w:rPr>
              <w:t>cancer ("NSCLC")</w:t>
            </w:r>
          </w:p>
        </w:tc>
      </w:tr>
      <w:tr>
        <w:trPr>
          <w:trHeight w:val="216"/>
        </w:trPr>
        <w:tc>
          <w:tcPr>
            <w:tcW w:w="144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Arial" w:cs="Arial" w:eastAsia="Arial" w:hAnsi="Arial"/>
                <w:sz w:val="18"/>
                <w:szCs w:val="18"/>
                <w:color w:val="auto"/>
                <w:w w:val="98"/>
              </w:rPr>
              <w:t>malignancies</w:t>
            </w:r>
          </w:p>
        </w:tc>
        <w:tc>
          <w:tcPr>
            <w:tcW w:w="1620" w:type="dxa"/>
            <w:vAlign w:val="bottom"/>
          </w:tcPr>
          <w:p>
            <w:pPr>
              <w:ind w:left="220"/>
              <w:spacing w:after="0"/>
              <w:rPr>
                <w:sz w:val="20"/>
                <w:szCs w:val="20"/>
                <w:color w:val="auto"/>
              </w:rPr>
            </w:pPr>
            <w:r>
              <w:rPr>
                <w:rFonts w:ascii="Arial" w:cs="Arial" w:eastAsia="Arial" w:hAnsi="Arial"/>
                <w:sz w:val="18"/>
                <w:szCs w:val="18"/>
                <w:color w:val="auto"/>
                <w:w w:val="95"/>
              </w:rPr>
              <w:t>(potentially pivotal</w:t>
            </w:r>
          </w:p>
        </w:tc>
        <w:tc>
          <w:tcPr>
            <w:tcW w:w="15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study)</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 Conditionally approved</w:t>
      </w:r>
      <w:r>
        <w:rPr>
          <w:sz w:val="20"/>
          <w:szCs w:val="20"/>
          <w:color w:val="auto"/>
        </w:rPr>
        <w:tab/>
      </w:r>
      <w:r>
        <w:rPr>
          <w:rFonts w:ascii="Arial" w:cs="Arial" w:eastAsia="Arial" w:hAnsi="Arial"/>
          <w:sz w:val="16"/>
          <w:szCs w:val="16"/>
          <w:color w:val="auto"/>
        </w:rPr>
        <w:t>- Report results from</w:t>
      </w:r>
    </w:p>
    <w:p>
      <w:pPr>
        <w:spacing w:after="0" w:line="23" w:lineRule="exact"/>
        <w:rPr>
          <w:sz w:val="20"/>
          <w:szCs w:val="20"/>
          <w:color w:val="auto"/>
        </w:rPr>
      </w:pPr>
    </w:p>
    <w:p>
      <w:pPr>
        <w:ind w:left="140"/>
        <w:spacing w:after="0"/>
        <w:tabs>
          <w:tab w:leader="none" w:pos="2140" w:val="left"/>
        </w:tabs>
        <w:rPr>
          <w:sz w:val="20"/>
          <w:szCs w:val="20"/>
          <w:color w:val="auto"/>
        </w:rPr>
      </w:pPr>
      <w:r>
        <w:rPr>
          <w:rFonts w:ascii="Arial" w:cs="Arial" w:eastAsia="Arial" w:hAnsi="Arial"/>
          <w:sz w:val="18"/>
          <w:szCs w:val="18"/>
          <w:color w:val="auto"/>
        </w:rPr>
        <w:t>by EC for treatment of</w:t>
      </w:r>
      <w:r>
        <w:rPr>
          <w:sz w:val="20"/>
          <w:szCs w:val="20"/>
          <w:color w:val="auto"/>
        </w:rPr>
        <w:tab/>
      </w:r>
      <w:r>
        <w:rPr>
          <w:rFonts w:ascii="Arial" w:cs="Arial" w:eastAsia="Arial" w:hAnsi="Arial"/>
          <w:sz w:val="16"/>
          <w:szCs w:val="16"/>
          <w:color w:val="auto"/>
        </w:rPr>
        <w:t>potentially pivotal Phase</w:t>
      </w:r>
    </w:p>
    <w:p>
      <w:pPr>
        <w:spacing w:after="0" w:line="9" w:lineRule="exact"/>
        <w:rPr>
          <w:sz w:val="20"/>
          <w:szCs w:val="20"/>
          <w:color w:val="auto"/>
        </w:rPr>
      </w:pPr>
    </w:p>
    <w:p>
      <w:pPr>
        <w:ind w:left="140"/>
        <w:spacing w:after="0"/>
        <w:tabs>
          <w:tab w:leader="none" w:pos="2140" w:val="left"/>
        </w:tabs>
        <w:rPr>
          <w:sz w:val="20"/>
          <w:szCs w:val="20"/>
          <w:color w:val="auto"/>
        </w:rPr>
      </w:pPr>
      <w:r>
        <w:rPr>
          <w:rFonts w:ascii="Arial" w:cs="Arial" w:eastAsia="Arial" w:hAnsi="Arial"/>
          <w:sz w:val="18"/>
          <w:szCs w:val="18"/>
          <w:color w:val="auto"/>
        </w:rPr>
        <w:t>advanced CSCC</w:t>
      </w:r>
      <w:r>
        <w:rPr>
          <w:sz w:val="20"/>
          <w:szCs w:val="20"/>
          <w:color w:val="auto"/>
        </w:rPr>
        <w:tab/>
      </w:r>
      <w:r>
        <w:rPr>
          <w:rFonts w:ascii="Arial" w:cs="Arial" w:eastAsia="Arial" w:hAnsi="Arial"/>
          <w:sz w:val="16"/>
          <w:szCs w:val="16"/>
          <w:color w:val="auto"/>
        </w:rPr>
        <w:t>2 study in BCC (mid-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2020)</w:t>
      </w:r>
    </w:p>
    <w:p>
      <w:pPr>
        <w:spacing w:after="0" w:line="252" w:lineRule="exact"/>
        <w:rPr>
          <w:sz w:val="20"/>
          <w:szCs w:val="20"/>
          <w:color w:val="auto"/>
        </w:rPr>
      </w:pPr>
    </w:p>
    <w:p>
      <w:pPr>
        <w:sectPr>
          <w:pgSz w:w="11900" w:h="16838" w:orient="portrait"/>
          <w:cols w:equalWidth="0" w:num="2">
            <w:col w:w="6640" w:space="720"/>
            <w:col w:w="4060"/>
          </w:cols>
          <w:pgMar w:left="240" w:top="130" w:right="239" w:bottom="1440" w:gutter="0" w:footer="0" w:header="0"/>
          <w:type w:val="continuous"/>
        </w:sectPr>
      </w:pPr>
    </w:p>
    <w:tbl>
      <w:tblPr>
        <w:tblLayout w:type="fixed"/>
        <w:tblInd w:w="2840" w:type="dxa"/>
        <w:tblCellMar>
          <w:top w:w="0" w:type="dxa"/>
          <w:left w:w="0" w:type="dxa"/>
          <w:bottom w:w="0" w:type="dxa"/>
          <w:right w:w="0" w:type="dxa"/>
        </w:tblCellMar>
      </w:tblPr>
      <w:tr>
        <w:trPr>
          <w:trHeight w:val="229"/>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Metastatic or</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 Second-line</w:t>
            </w:r>
          </w:p>
        </w:tc>
      </w:tr>
      <w:tr>
        <w:trPr>
          <w:trHeight w:val="216"/>
        </w:trPr>
        <w:tc>
          <w:tcPr>
            <w:tcW w:w="120" w:type="dxa"/>
            <w:vAlign w:val="bottom"/>
          </w:tcPr>
          <w:p>
            <w:pPr>
              <w:spacing w:after="0"/>
              <w:rPr>
                <w:sz w:val="18"/>
                <w:szCs w:val="18"/>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locally advanced</w:t>
            </w:r>
          </w:p>
        </w:tc>
        <w:tc>
          <w:tcPr>
            <w:tcW w:w="120" w:type="dxa"/>
            <w:vAlign w:val="bottom"/>
          </w:tcPr>
          <w:p>
            <w:pPr>
              <w:spacing w:after="0"/>
              <w:rPr>
                <w:sz w:val="18"/>
                <w:szCs w:val="18"/>
                <w:color w:val="auto"/>
              </w:rPr>
            </w:pPr>
          </w:p>
        </w:tc>
        <w:tc>
          <w:tcPr>
            <w:tcW w:w="1260" w:type="dxa"/>
            <w:vAlign w:val="bottom"/>
          </w:tcPr>
          <w:p>
            <w:pPr>
              <w:ind w:left="40"/>
              <w:spacing w:after="0" w:line="216" w:lineRule="exact"/>
              <w:rPr>
                <w:sz w:val="20"/>
                <w:szCs w:val="20"/>
                <w:color w:val="auto"/>
              </w:rPr>
            </w:pPr>
            <w:r>
              <w:rPr>
                <w:rFonts w:ascii="Arial" w:cs="Arial" w:eastAsia="Arial" w:hAnsi="Arial"/>
                <w:sz w:val="18"/>
                <w:szCs w:val="18"/>
                <w:color w:val="auto"/>
                <w:w w:val="85"/>
              </w:rPr>
              <w:t>cervical cancer</w:t>
            </w:r>
            <w:r>
              <w:rPr>
                <w:rFonts w:ascii="Arial" w:cs="Arial" w:eastAsia="Arial" w:hAnsi="Arial"/>
                <w:sz w:val="25"/>
                <w:szCs w:val="25"/>
                <w:color w:val="auto"/>
                <w:w w:val="85"/>
                <w:vertAlign w:val="superscript"/>
              </w:rPr>
              <w:t>(e)</w:t>
            </w:r>
          </w:p>
        </w:tc>
      </w:tr>
      <w:tr>
        <w:trPr>
          <w:trHeight w:val="257"/>
        </w:trPr>
        <w:tc>
          <w:tcPr>
            <w:tcW w:w="120" w:type="dxa"/>
            <w:vAlign w:val="bottom"/>
          </w:tcPr>
          <w:p>
            <w:pPr>
              <w:spacing w:after="0"/>
              <w:rPr>
                <w:sz w:val="22"/>
                <w:szCs w:val="22"/>
                <w:color w:val="auto"/>
              </w:rPr>
            </w:pPr>
          </w:p>
        </w:tc>
        <w:tc>
          <w:tcPr>
            <w:tcW w:w="14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CSCC</w:t>
            </w:r>
            <w:r>
              <w:rPr>
                <w:rFonts w:ascii="Arial" w:cs="Arial" w:eastAsia="Arial" w:hAnsi="Arial"/>
                <w:sz w:val="25"/>
                <w:szCs w:val="25"/>
                <w:color w:val="auto"/>
                <w:vertAlign w:val="superscript"/>
              </w:rPr>
              <w:t>(d)</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Neoadjuvant</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40"/>
              <w:spacing w:after="0"/>
              <w:rPr>
                <w:sz w:val="20"/>
                <w:szCs w:val="20"/>
                <w:color w:val="auto"/>
              </w:rPr>
            </w:pPr>
            <w:r>
              <w:rPr>
                <w:rFonts w:ascii="Arial" w:cs="Arial" w:eastAsia="Arial" w:hAnsi="Arial"/>
                <w:sz w:val="18"/>
                <w:szCs w:val="18"/>
                <w:color w:val="auto"/>
                <w:w w:val="95"/>
              </w:rPr>
              <w:t>Adjuvant CSCC</w:t>
            </w:r>
          </w:p>
        </w:tc>
      </w:tr>
      <w:tr>
        <w:trPr>
          <w:trHeight w:val="230"/>
        </w:trPr>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CSCC</w:t>
            </w:r>
          </w:p>
        </w:tc>
        <w:tc>
          <w:tcPr>
            <w:tcW w:w="1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1161"/>
        </w:trPr>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132" w:hanging="132"/>
        <w:spacing w:after="0" w:line="290" w:lineRule="auto"/>
        <w:tabs>
          <w:tab w:leader="none" w:pos="1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Independent data monitoring committee conducted an interim analysis for overall survival in a Phase 3 NSCLC trial, and recommended trial continue as planned</w:t>
      </w:r>
    </w:p>
    <w:p>
      <w:pPr>
        <w:spacing w:after="0" w:line="20" w:lineRule="exact"/>
        <w:rPr>
          <w:sz w:val="20"/>
          <w:szCs w:val="20"/>
          <w:color w:val="auto"/>
        </w:rPr>
      </w:pPr>
      <w:r>
        <w:rPr>
          <w:sz w:val="20"/>
          <w:szCs w:val="20"/>
          <w:color w:val="auto"/>
        </w:rPr>
        <w:br w:type="column"/>
      </w:r>
    </w:p>
    <w:p>
      <w:pPr>
        <w:ind w:left="112" w:right="100" w:hanging="112"/>
        <w:spacing w:after="0" w:line="312" w:lineRule="auto"/>
        <w:tabs>
          <w:tab w:leader="none" w:pos="1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Report results from Phase 3 study in cervical cancer (first half 2021)</w:t>
      </w: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112" w:right="380" w:hanging="112"/>
        <w:spacing w:after="0" w:line="276" w:lineRule="auto"/>
        <w:tabs>
          <w:tab w:leader="none" w:pos="1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Interim analysis of overall survival from Phase 3 NSCLC monotherapy study (2020)</w:t>
      </w:r>
    </w:p>
    <w:p>
      <w:pPr>
        <w:spacing w:after="0" w:line="6" w:lineRule="exact"/>
        <w:rPr>
          <w:sz w:val="20"/>
          <w:szCs w:val="20"/>
          <w:color w:val="auto"/>
        </w:rPr>
      </w:pPr>
    </w:p>
    <w:p>
      <w:pPr>
        <w:sectPr>
          <w:pgSz w:w="11900" w:h="16838" w:orient="portrait"/>
          <w:cols w:equalWidth="0" w:num="3">
            <w:col w:w="6648" w:space="720"/>
            <w:col w:w="1732" w:space="308"/>
            <w:col w:w="2012"/>
          </w:cols>
          <w:pgMar w:left="240" w:top="130" w:right="239" w:bottom="1440" w:gutter="0" w:footer="0" w:header="0"/>
          <w:type w:val="continuous"/>
        </w:sectPr>
      </w:pPr>
    </w:p>
    <w:tbl>
      <w:tblPr>
        <w:tblLayout w:type="fixed"/>
        <w:tblInd w:w="40" w:type="dxa"/>
        <w:tblCellMar>
          <w:top w:w="0" w:type="dxa"/>
          <w:left w:w="0" w:type="dxa"/>
          <w:bottom w:w="0" w:type="dxa"/>
          <w:right w:w="0" w:type="dxa"/>
        </w:tblCellMar>
      </w:tblPr>
      <w:tr>
        <w:trPr>
          <w:trHeight w:val="220"/>
        </w:trPr>
        <w:tc>
          <w:tcPr>
            <w:tcW w:w="1500" w:type="dxa"/>
            <w:vAlign w:val="bottom"/>
          </w:tcPr>
          <w:p>
            <w:pPr>
              <w:spacing w:after="0"/>
              <w:rPr>
                <w:sz w:val="20"/>
                <w:szCs w:val="20"/>
                <w:color w:val="auto"/>
              </w:rPr>
            </w:pPr>
            <w:r>
              <w:rPr>
                <w:rFonts w:ascii="Arial" w:cs="Arial" w:eastAsia="Arial" w:hAnsi="Arial"/>
                <w:sz w:val="18"/>
                <w:szCs w:val="18"/>
                <w:b w:val="1"/>
                <w:bCs w:val="1"/>
                <w:color w:val="auto"/>
              </w:rPr>
              <w:t>REGN1979</w:t>
            </w:r>
          </w:p>
        </w:tc>
        <w:tc>
          <w:tcPr>
            <w:tcW w:w="1300" w:type="dxa"/>
            <w:vAlign w:val="bottom"/>
          </w:tcPr>
          <w:p>
            <w:pPr>
              <w:ind w:left="60"/>
              <w:spacing w:after="0"/>
              <w:rPr>
                <w:sz w:val="20"/>
                <w:szCs w:val="20"/>
                <w:color w:val="auto"/>
              </w:rPr>
            </w:pPr>
            <w:r>
              <w:rPr>
                <w:rFonts w:ascii="Arial" w:cs="Arial" w:eastAsia="Arial" w:hAnsi="Arial"/>
                <w:sz w:val="18"/>
                <w:szCs w:val="18"/>
                <w:color w:val="auto"/>
              </w:rPr>
              <w:t>- Certain B-cell</w:t>
            </w:r>
          </w:p>
        </w:tc>
        <w:tc>
          <w:tcPr>
            <w:tcW w:w="3020" w:type="dxa"/>
            <w:vAlign w:val="bottom"/>
          </w:tcPr>
          <w:p>
            <w:pPr>
              <w:ind w:left="40"/>
              <w:spacing w:after="0"/>
              <w:rPr>
                <w:sz w:val="20"/>
                <w:szCs w:val="20"/>
                <w:color w:val="auto"/>
              </w:rPr>
            </w:pPr>
            <w:r>
              <w:rPr>
                <w:rFonts w:ascii="Arial" w:cs="Arial" w:eastAsia="Arial" w:hAnsi="Arial"/>
                <w:sz w:val="18"/>
                <w:szCs w:val="18"/>
                <w:color w:val="auto"/>
              </w:rPr>
              <w:t>- B-cell non-</w:t>
            </w:r>
          </w:p>
        </w:tc>
        <w:tc>
          <w:tcPr>
            <w:tcW w:w="3420" w:type="dxa"/>
            <w:vAlign w:val="bottom"/>
          </w:tcPr>
          <w:p>
            <w:pPr>
              <w:ind w:left="1500"/>
              <w:spacing w:after="0"/>
              <w:rPr>
                <w:sz w:val="20"/>
                <w:szCs w:val="20"/>
                <w:color w:val="auto"/>
              </w:rPr>
            </w:pPr>
            <w:r>
              <w:rPr>
                <w:rFonts w:ascii="Arial" w:cs="Arial" w:eastAsia="Arial" w:hAnsi="Arial"/>
                <w:sz w:val="18"/>
                <w:szCs w:val="18"/>
                <w:color w:val="auto"/>
                <w:w w:val="89"/>
              </w:rPr>
              <w:t>- Reported updated results</w:t>
            </w:r>
          </w:p>
        </w:tc>
      </w:tr>
      <w:tr>
        <w:trPr>
          <w:trHeight w:val="216"/>
        </w:trPr>
        <w:tc>
          <w:tcPr>
            <w:tcW w:w="1500" w:type="dxa"/>
            <w:vAlign w:val="bottom"/>
          </w:tcPr>
          <w:p>
            <w:pPr>
              <w:spacing w:after="0"/>
              <w:rPr>
                <w:sz w:val="20"/>
                <w:szCs w:val="20"/>
                <w:color w:val="auto"/>
              </w:rPr>
            </w:pPr>
            <w:r>
              <w:rPr>
                <w:rFonts w:ascii="Arial" w:cs="Arial" w:eastAsia="Arial" w:hAnsi="Arial"/>
                <w:sz w:val="18"/>
                <w:szCs w:val="18"/>
                <w:i w:val="1"/>
                <w:iCs w:val="1"/>
                <w:color w:val="auto"/>
                <w:w w:val="99"/>
              </w:rPr>
              <w:t>Bispecific antibody</w:t>
            </w:r>
          </w:p>
        </w:tc>
        <w:tc>
          <w:tcPr>
            <w:tcW w:w="1300" w:type="dxa"/>
            <w:vAlign w:val="bottom"/>
          </w:tcPr>
          <w:p>
            <w:pPr>
              <w:ind w:left="180"/>
              <w:spacing w:after="0" w:line="216" w:lineRule="exact"/>
              <w:rPr>
                <w:sz w:val="20"/>
                <w:szCs w:val="20"/>
                <w:color w:val="auto"/>
              </w:rPr>
            </w:pPr>
            <w:r>
              <w:rPr>
                <w:rFonts w:ascii="Arial" w:cs="Arial" w:eastAsia="Arial" w:hAnsi="Arial"/>
                <w:sz w:val="18"/>
                <w:szCs w:val="18"/>
                <w:color w:val="auto"/>
                <w:w w:val="88"/>
              </w:rPr>
              <w:t>malignancies</w:t>
            </w:r>
            <w:r>
              <w:rPr>
                <w:rFonts w:ascii="Arial" w:cs="Arial" w:eastAsia="Arial" w:hAnsi="Arial"/>
                <w:sz w:val="25"/>
                <w:szCs w:val="25"/>
                <w:color w:val="auto"/>
                <w:w w:val="88"/>
                <w:vertAlign w:val="superscript"/>
              </w:rPr>
              <w:t>(c)</w:t>
            </w:r>
          </w:p>
        </w:tc>
        <w:tc>
          <w:tcPr>
            <w:tcW w:w="3020" w:type="dxa"/>
            <w:vAlign w:val="bottom"/>
          </w:tcPr>
          <w:p>
            <w:pPr>
              <w:ind w:left="160"/>
              <w:spacing w:after="0"/>
              <w:rPr>
                <w:sz w:val="20"/>
                <w:szCs w:val="20"/>
                <w:color w:val="auto"/>
              </w:rPr>
            </w:pPr>
            <w:r>
              <w:rPr>
                <w:rFonts w:ascii="Arial" w:cs="Arial" w:eastAsia="Arial" w:hAnsi="Arial"/>
                <w:sz w:val="18"/>
                <w:szCs w:val="18"/>
                <w:color w:val="auto"/>
              </w:rPr>
              <w:t>Hodgkin</w:t>
            </w:r>
          </w:p>
        </w:tc>
        <w:tc>
          <w:tcPr>
            <w:tcW w:w="3420" w:type="dxa"/>
            <w:vAlign w:val="bottom"/>
          </w:tcPr>
          <w:p>
            <w:pPr>
              <w:ind w:left="1640"/>
              <w:spacing w:after="0"/>
              <w:rPr>
                <w:sz w:val="20"/>
                <w:szCs w:val="20"/>
                <w:color w:val="auto"/>
              </w:rPr>
            </w:pPr>
            <w:r>
              <w:rPr>
                <w:rFonts w:ascii="Arial" w:cs="Arial" w:eastAsia="Arial" w:hAnsi="Arial"/>
                <w:sz w:val="18"/>
                <w:szCs w:val="18"/>
                <w:color w:val="auto"/>
                <w:w w:val="96"/>
              </w:rPr>
              <w:t>from Phase 1 trial in B-</w:t>
            </w:r>
          </w:p>
        </w:tc>
      </w:tr>
      <w:tr>
        <w:trPr>
          <w:trHeight w:val="216"/>
        </w:trPr>
        <w:tc>
          <w:tcPr>
            <w:tcW w:w="1500" w:type="dxa"/>
            <w:vAlign w:val="bottom"/>
          </w:tcPr>
          <w:p>
            <w:pPr>
              <w:spacing w:after="0"/>
              <w:rPr>
                <w:sz w:val="20"/>
                <w:szCs w:val="20"/>
                <w:color w:val="auto"/>
              </w:rPr>
            </w:pPr>
            <w:r>
              <w:rPr>
                <w:rFonts w:ascii="Arial" w:cs="Arial" w:eastAsia="Arial" w:hAnsi="Arial"/>
                <w:sz w:val="18"/>
                <w:szCs w:val="18"/>
                <w:i w:val="1"/>
                <w:iCs w:val="1"/>
                <w:color w:val="auto"/>
                <w:w w:val="94"/>
              </w:rPr>
              <w:t>targeting CD20 and</w:t>
            </w:r>
          </w:p>
        </w:tc>
        <w:tc>
          <w:tcPr>
            <w:tcW w:w="1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lymphoma ("B-</w:t>
            </w:r>
          </w:p>
        </w:tc>
        <w:tc>
          <w:tcPr>
            <w:tcW w:w="3420" w:type="dxa"/>
            <w:vAlign w:val="bottom"/>
          </w:tcPr>
          <w:p>
            <w:pPr>
              <w:ind w:left="1640"/>
              <w:spacing w:after="0"/>
              <w:rPr>
                <w:sz w:val="20"/>
                <w:szCs w:val="20"/>
                <w:color w:val="auto"/>
              </w:rPr>
            </w:pPr>
            <w:r>
              <w:rPr>
                <w:rFonts w:ascii="Arial" w:cs="Arial" w:eastAsia="Arial" w:hAnsi="Arial"/>
                <w:sz w:val="18"/>
                <w:szCs w:val="18"/>
                <w:color w:val="auto"/>
              </w:rPr>
              <w:t>cell malignancies</w:t>
            </w:r>
          </w:p>
        </w:tc>
      </w:tr>
      <w:tr>
        <w:trPr>
          <w:trHeight w:val="216"/>
        </w:trPr>
        <w:tc>
          <w:tcPr>
            <w:tcW w:w="1500" w:type="dxa"/>
            <w:vAlign w:val="bottom"/>
          </w:tcPr>
          <w:p>
            <w:pPr>
              <w:spacing w:after="0"/>
              <w:rPr>
                <w:sz w:val="20"/>
                <w:szCs w:val="20"/>
                <w:color w:val="auto"/>
              </w:rPr>
            </w:pPr>
            <w:r>
              <w:rPr>
                <w:rFonts w:ascii="Arial" w:cs="Arial" w:eastAsia="Arial" w:hAnsi="Arial"/>
                <w:sz w:val="18"/>
                <w:szCs w:val="18"/>
                <w:i w:val="1"/>
                <w:iCs w:val="1"/>
                <w:color w:val="auto"/>
              </w:rPr>
              <w:t>CD3</w:t>
            </w:r>
          </w:p>
        </w:tc>
        <w:tc>
          <w:tcPr>
            <w:tcW w:w="1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NHL") (potentially</w:t>
            </w:r>
          </w:p>
        </w:tc>
        <w:tc>
          <w:tcPr>
            <w:tcW w:w="3420" w:type="dxa"/>
            <w:vAlign w:val="bottom"/>
          </w:tcPr>
          <w:p>
            <w:pPr>
              <w:spacing w:after="0"/>
              <w:rPr>
                <w:sz w:val="18"/>
                <w:szCs w:val="18"/>
                <w:color w:val="auto"/>
              </w:rPr>
            </w:pPr>
          </w:p>
        </w:tc>
      </w:tr>
      <w:tr>
        <w:trPr>
          <w:trHeight w:val="270"/>
        </w:trPr>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pivotal study)</w:t>
            </w:r>
          </w:p>
        </w:tc>
        <w:tc>
          <w:tcPr>
            <w:tcW w:w="3420" w:type="dxa"/>
            <w:vAlign w:val="bottom"/>
          </w:tcPr>
          <w:p>
            <w:pPr>
              <w:ind w:left="1500"/>
              <w:spacing w:after="0"/>
              <w:rPr>
                <w:sz w:val="20"/>
                <w:szCs w:val="20"/>
                <w:color w:val="auto"/>
              </w:rPr>
            </w:pPr>
            <w:r>
              <w:rPr>
                <w:rFonts w:ascii="Arial" w:cs="Arial" w:eastAsia="Arial" w:hAnsi="Arial"/>
                <w:sz w:val="18"/>
                <w:szCs w:val="18"/>
                <w:color w:val="auto"/>
              </w:rPr>
              <w:t>- Continued to expand</w:t>
            </w:r>
          </w:p>
        </w:tc>
      </w:tr>
      <w:tr>
        <w:trPr>
          <w:trHeight w:val="216"/>
        </w:trPr>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20" w:type="dxa"/>
            <w:vAlign w:val="bottom"/>
          </w:tcPr>
          <w:p>
            <w:pPr>
              <w:ind w:left="1640"/>
              <w:spacing w:after="0"/>
              <w:rPr>
                <w:sz w:val="20"/>
                <w:szCs w:val="20"/>
                <w:color w:val="auto"/>
              </w:rPr>
            </w:pPr>
            <w:r>
              <w:rPr>
                <w:rFonts w:ascii="Arial" w:cs="Arial" w:eastAsia="Arial" w:hAnsi="Arial"/>
                <w:sz w:val="18"/>
                <w:szCs w:val="18"/>
                <w:color w:val="auto"/>
                <w:w w:val="90"/>
              </w:rPr>
              <w:t>potentially pivotal Phase</w:t>
            </w:r>
          </w:p>
        </w:tc>
      </w:tr>
      <w:tr>
        <w:trPr>
          <w:trHeight w:val="216"/>
        </w:trPr>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20" w:type="dxa"/>
            <w:vAlign w:val="bottom"/>
          </w:tcPr>
          <w:p>
            <w:pPr>
              <w:ind w:left="1640"/>
              <w:spacing w:after="0"/>
              <w:rPr>
                <w:sz w:val="20"/>
                <w:szCs w:val="20"/>
                <w:color w:val="auto"/>
              </w:rPr>
            </w:pPr>
            <w:r>
              <w:rPr>
                <w:rFonts w:ascii="Arial" w:cs="Arial" w:eastAsia="Arial" w:hAnsi="Arial"/>
                <w:sz w:val="18"/>
                <w:szCs w:val="18"/>
                <w:color w:val="auto"/>
                <w:w w:val="93"/>
              </w:rPr>
              <w:t>2 program with different</w:t>
            </w:r>
          </w:p>
        </w:tc>
      </w:tr>
      <w:tr>
        <w:trPr>
          <w:trHeight w:val="230"/>
        </w:trPr>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20" w:type="dxa"/>
            <w:vAlign w:val="bottom"/>
          </w:tcPr>
          <w:p>
            <w:pPr>
              <w:ind w:left="1640"/>
              <w:spacing w:after="0"/>
              <w:rPr>
                <w:sz w:val="20"/>
                <w:szCs w:val="20"/>
                <w:color w:val="auto"/>
              </w:rPr>
            </w:pPr>
            <w:r>
              <w:rPr>
                <w:rFonts w:ascii="Arial" w:cs="Arial" w:eastAsia="Arial" w:hAnsi="Arial"/>
                <w:sz w:val="18"/>
                <w:szCs w:val="18"/>
                <w:color w:val="auto"/>
              </w:rPr>
              <w:t>subtypes of NHL</w:t>
            </w:r>
          </w:p>
        </w:tc>
      </w:tr>
    </w:tbl>
    <w:p>
      <w:pPr>
        <w:spacing w:after="0" w:line="20" w:lineRule="exact"/>
        <w:rPr>
          <w:sz w:val="20"/>
          <w:szCs w:val="20"/>
          <w:color w:val="auto"/>
        </w:rPr>
      </w:pPr>
      <w:r>
        <w:rPr>
          <w:sz w:val="20"/>
          <w:szCs w:val="20"/>
          <w:color w:val="auto"/>
        </w:rPr>
        <w:br w:type="column"/>
      </w:r>
    </w:p>
    <w:p>
      <w:pPr>
        <w:ind w:left="112" w:right="280" w:hanging="112"/>
        <w:spacing w:after="0" w:line="279" w:lineRule="auto"/>
        <w:tabs>
          <w:tab w:leader="none" w:pos="1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 updated results from initial study in certain B-cell malignancies (2020)</w:t>
      </w:r>
    </w:p>
    <w:p>
      <w:pPr>
        <w:spacing w:after="0" w:line="9" w:lineRule="exact"/>
        <w:rPr>
          <w:rFonts w:ascii="Arial" w:cs="Arial" w:eastAsia="Arial" w:hAnsi="Arial"/>
          <w:sz w:val="17"/>
          <w:szCs w:val="17"/>
          <w:color w:val="auto"/>
        </w:rPr>
      </w:pPr>
    </w:p>
    <w:p>
      <w:pPr>
        <w:ind w:left="112" w:right="120" w:hanging="112"/>
        <w:spacing w:after="0" w:line="264" w:lineRule="auto"/>
        <w:tabs>
          <w:tab w:leader="none" w:pos="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expand potentially pivotal Phase 2 study (2020)</w:t>
      </w:r>
    </w:p>
    <w:p>
      <w:pPr>
        <w:spacing w:after="0" w:line="196" w:lineRule="exact"/>
        <w:rPr>
          <w:sz w:val="20"/>
          <w:szCs w:val="20"/>
          <w:color w:val="auto"/>
        </w:rPr>
      </w:pPr>
    </w:p>
    <w:p>
      <w:pPr>
        <w:sectPr>
          <w:pgSz w:w="11900" w:h="16838" w:orient="portrait"/>
          <w:cols w:equalWidth="0" w:num="2">
            <w:col w:w="9280" w:space="128"/>
            <w:col w:w="2012"/>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15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REGN5458</w:t>
            </w:r>
            <w:r>
              <w:rPr>
                <w:rFonts w:ascii="Arial" w:cs="Arial" w:eastAsia="Arial" w:hAnsi="Arial"/>
                <w:sz w:val="25"/>
                <w:szCs w:val="25"/>
                <w:b w:val="1"/>
                <w:bCs w:val="1"/>
                <w:color w:val="auto"/>
                <w:vertAlign w:val="superscript"/>
              </w:rPr>
              <w:t>(a)</w:t>
            </w:r>
          </w:p>
        </w:tc>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Multiple</w:t>
            </w:r>
          </w:p>
        </w:tc>
        <w:tc>
          <w:tcPr>
            <w:tcW w:w="424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 Reported positive</w:t>
            </w:r>
          </w:p>
        </w:tc>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Report updated results</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myeloma</w:t>
            </w:r>
          </w:p>
        </w:tc>
        <w:tc>
          <w:tcPr>
            <w:tcW w:w="4240" w:type="dxa"/>
            <w:vAlign w:val="bottom"/>
            <w:shd w:val="clear" w:color="auto" w:fill="CCEEFF"/>
          </w:tcPr>
          <w:p>
            <w:pPr>
              <w:ind w:left="2420"/>
              <w:spacing w:after="0"/>
              <w:rPr>
                <w:sz w:val="20"/>
                <w:szCs w:val="20"/>
                <w:color w:val="auto"/>
              </w:rPr>
            </w:pPr>
            <w:r>
              <w:rPr>
                <w:rFonts w:ascii="Arial" w:cs="Arial" w:eastAsia="Arial" w:hAnsi="Arial"/>
                <w:sz w:val="18"/>
                <w:szCs w:val="18"/>
                <w:color w:val="auto"/>
                <w:w w:val="96"/>
              </w:rPr>
              <w:t>preliminary results from</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initial study in</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2"/>
              </w:rPr>
              <w:t>targeting BCMA and</w:t>
            </w:r>
          </w:p>
        </w:tc>
        <w:tc>
          <w:tcPr>
            <w:tcW w:w="3520" w:type="dxa"/>
            <w:vAlign w:val="bottom"/>
            <w:shd w:val="clear" w:color="auto" w:fill="CCEEFF"/>
          </w:tcPr>
          <w:p>
            <w:pPr>
              <w:spacing w:after="0"/>
              <w:rPr>
                <w:sz w:val="18"/>
                <w:szCs w:val="18"/>
                <w:color w:val="auto"/>
              </w:rPr>
            </w:pPr>
          </w:p>
        </w:tc>
        <w:tc>
          <w:tcPr>
            <w:tcW w:w="4240" w:type="dxa"/>
            <w:vAlign w:val="bottom"/>
            <w:shd w:val="clear" w:color="auto" w:fill="CCEEFF"/>
          </w:tcPr>
          <w:p>
            <w:pPr>
              <w:ind w:left="2420"/>
              <w:spacing w:after="0"/>
              <w:rPr>
                <w:sz w:val="20"/>
                <w:szCs w:val="20"/>
                <w:color w:val="auto"/>
              </w:rPr>
            </w:pPr>
            <w:r>
              <w:rPr>
                <w:rFonts w:ascii="Arial" w:cs="Arial" w:eastAsia="Arial" w:hAnsi="Arial"/>
                <w:sz w:val="18"/>
                <w:szCs w:val="18"/>
                <w:color w:val="auto"/>
                <w:w w:val="96"/>
              </w:rPr>
              <w:t>Phase 1 trial in multiple</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multiple myeloma (2020)</w:t>
            </w:r>
          </w:p>
        </w:tc>
      </w:tr>
      <w:tr>
        <w:trPr>
          <w:trHeight w:val="237"/>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CD3</w:t>
            </w:r>
          </w:p>
        </w:tc>
        <w:tc>
          <w:tcPr>
            <w:tcW w:w="35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8"/>
                <w:szCs w:val="18"/>
                <w:color w:val="auto"/>
              </w:rPr>
              <w:t>myeloma</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15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REGN5459</w:t>
            </w:r>
            <w:r>
              <w:rPr>
                <w:rFonts w:ascii="Arial" w:cs="Arial" w:eastAsia="Arial" w:hAnsi="Arial"/>
                <w:sz w:val="25"/>
                <w:szCs w:val="25"/>
                <w:b w:val="1"/>
                <w:bCs w:val="1"/>
                <w:color w:val="auto"/>
                <w:vertAlign w:val="superscript"/>
              </w:rPr>
              <w:t>(a)</w:t>
            </w:r>
          </w:p>
        </w:tc>
        <w:tc>
          <w:tcPr>
            <w:tcW w:w="3520" w:type="dxa"/>
            <w:vAlign w:val="bottom"/>
          </w:tcPr>
          <w:p>
            <w:pPr>
              <w:ind w:left="40"/>
              <w:spacing w:after="0"/>
              <w:rPr>
                <w:sz w:val="20"/>
                <w:szCs w:val="20"/>
                <w:color w:val="auto"/>
              </w:rPr>
            </w:pPr>
            <w:r>
              <w:rPr>
                <w:rFonts w:ascii="Arial" w:cs="Arial" w:eastAsia="Arial" w:hAnsi="Arial"/>
                <w:sz w:val="18"/>
                <w:szCs w:val="18"/>
                <w:color w:val="auto"/>
              </w:rPr>
              <w:t>- Multiple</w:t>
            </w:r>
          </w:p>
        </w:tc>
        <w:tc>
          <w:tcPr>
            <w:tcW w:w="42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3520" w:type="dxa"/>
            <w:vAlign w:val="bottom"/>
          </w:tcPr>
          <w:p>
            <w:pPr>
              <w:ind w:left="160"/>
              <w:spacing w:after="0"/>
              <w:rPr>
                <w:sz w:val="20"/>
                <w:szCs w:val="20"/>
                <w:color w:val="auto"/>
              </w:rPr>
            </w:pPr>
            <w:r>
              <w:rPr>
                <w:rFonts w:ascii="Arial" w:cs="Arial" w:eastAsia="Arial" w:hAnsi="Arial"/>
                <w:sz w:val="18"/>
                <w:szCs w:val="18"/>
                <w:color w:val="auto"/>
              </w:rPr>
              <w:t>myeloma</w:t>
            </w: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w w:val="92"/>
              </w:rPr>
              <w:t>targeting BCMA and</w:t>
            </w:r>
          </w:p>
        </w:tc>
        <w:tc>
          <w:tcPr>
            <w:tcW w:w="35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CD3</w:t>
            </w:r>
          </w:p>
        </w:tc>
        <w:tc>
          <w:tcPr>
            <w:tcW w:w="35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15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tc>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Platinum-</w:t>
            </w:r>
          </w:p>
        </w:tc>
        <w:tc>
          <w:tcPr>
            <w:tcW w:w="42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resistant</w:t>
            </w:r>
          </w:p>
        </w:tc>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targeting MUC16</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ovarian cancer</w:t>
            </w:r>
          </w:p>
        </w:tc>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7"/>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and CD3</w:t>
            </w:r>
          </w:p>
        </w:tc>
        <w:tc>
          <w:tcPr>
            <w:tcW w:w="35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1560" w:type="dxa"/>
            <w:vAlign w:val="bottom"/>
          </w:tcPr>
          <w:p>
            <w:pPr>
              <w:ind w:left="40"/>
              <w:spacing w:after="0"/>
              <w:rPr>
                <w:sz w:val="20"/>
                <w:szCs w:val="20"/>
                <w:color w:val="auto"/>
              </w:rPr>
            </w:pPr>
            <w:r>
              <w:rPr>
                <w:rFonts w:ascii="Arial" w:cs="Arial" w:eastAsia="Arial" w:hAnsi="Arial"/>
                <w:sz w:val="18"/>
                <w:szCs w:val="18"/>
                <w:b w:val="1"/>
                <w:bCs w:val="1"/>
                <w:color w:val="auto"/>
              </w:rPr>
              <w:t>REGN5678</w:t>
            </w:r>
          </w:p>
        </w:tc>
        <w:tc>
          <w:tcPr>
            <w:tcW w:w="3520" w:type="dxa"/>
            <w:vAlign w:val="bottom"/>
          </w:tcPr>
          <w:p>
            <w:pPr>
              <w:ind w:left="40"/>
              <w:spacing w:after="0"/>
              <w:rPr>
                <w:sz w:val="20"/>
                <w:szCs w:val="20"/>
                <w:color w:val="auto"/>
              </w:rPr>
            </w:pPr>
            <w:r>
              <w:rPr>
                <w:rFonts w:ascii="Arial" w:cs="Arial" w:eastAsia="Arial" w:hAnsi="Arial"/>
                <w:sz w:val="18"/>
                <w:szCs w:val="18"/>
                <w:color w:val="auto"/>
              </w:rPr>
              <w:t>- Prostate</w:t>
            </w:r>
          </w:p>
        </w:tc>
        <w:tc>
          <w:tcPr>
            <w:tcW w:w="42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3520" w:type="dxa"/>
            <w:vAlign w:val="bottom"/>
          </w:tcPr>
          <w:p>
            <w:pPr>
              <w:ind w:left="160"/>
              <w:spacing w:after="0"/>
              <w:rPr>
                <w:sz w:val="20"/>
                <w:szCs w:val="20"/>
                <w:color w:val="auto"/>
              </w:rPr>
            </w:pPr>
            <w:r>
              <w:rPr>
                <w:rFonts w:ascii="Arial" w:cs="Arial" w:eastAsia="Arial" w:hAnsi="Arial"/>
                <w:sz w:val="18"/>
                <w:szCs w:val="18"/>
                <w:color w:val="auto"/>
              </w:rPr>
              <w:t>cancer</w:t>
            </w: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w w:val="93"/>
              </w:rPr>
              <w:t>targeting PSMA and</w:t>
            </w:r>
          </w:p>
        </w:tc>
        <w:tc>
          <w:tcPr>
            <w:tcW w:w="35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CD28</w:t>
            </w:r>
          </w:p>
        </w:tc>
        <w:tc>
          <w:tcPr>
            <w:tcW w:w="35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REGN5093</w:t>
            </w:r>
          </w:p>
        </w:tc>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MET-altered</w:t>
            </w:r>
          </w:p>
        </w:tc>
        <w:tc>
          <w:tcPr>
            <w:tcW w:w="42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Bispecific antibody</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advanced</w:t>
            </w:r>
          </w:p>
        </w:tc>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targeting two</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NSCLC</w:t>
            </w:r>
          </w:p>
        </w:tc>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distinct MET</w:t>
            </w:r>
          </w:p>
        </w:tc>
        <w:tc>
          <w:tcPr>
            <w:tcW w:w="35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7"/>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epitopes</w:t>
            </w:r>
          </w:p>
        </w:tc>
        <w:tc>
          <w:tcPr>
            <w:tcW w:w="35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156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(f)</w:t>
            </w:r>
          </w:p>
        </w:tc>
        <w:tc>
          <w:tcPr>
            <w:tcW w:w="3520" w:type="dxa"/>
            <w:vAlign w:val="bottom"/>
          </w:tcPr>
          <w:p>
            <w:pPr>
              <w:ind w:left="40"/>
              <w:spacing w:after="0"/>
              <w:rPr>
                <w:sz w:val="20"/>
                <w:szCs w:val="20"/>
                <w:color w:val="auto"/>
              </w:rPr>
            </w:pPr>
            <w:r>
              <w:rPr>
                <w:rFonts w:ascii="Arial" w:cs="Arial" w:eastAsia="Arial" w:hAnsi="Arial"/>
                <w:sz w:val="18"/>
                <w:szCs w:val="18"/>
                <w:color w:val="auto"/>
              </w:rPr>
              <w:t>- Solid tumors</w:t>
            </w:r>
          </w:p>
        </w:tc>
        <w:tc>
          <w:tcPr>
            <w:tcW w:w="42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Antibody to LAG-3</w:t>
            </w:r>
          </w:p>
        </w:tc>
        <w:tc>
          <w:tcPr>
            <w:tcW w:w="3520" w:type="dxa"/>
            <w:vAlign w:val="bottom"/>
          </w:tcPr>
          <w:p>
            <w:pPr>
              <w:ind w:left="160"/>
              <w:spacing w:after="0"/>
              <w:rPr>
                <w:sz w:val="20"/>
                <w:szCs w:val="20"/>
                <w:color w:val="auto"/>
              </w:rPr>
            </w:pPr>
            <w:r>
              <w:rPr>
                <w:rFonts w:ascii="Arial" w:cs="Arial" w:eastAsia="Arial" w:hAnsi="Arial"/>
                <w:sz w:val="18"/>
                <w:szCs w:val="18"/>
                <w:color w:val="auto"/>
              </w:rPr>
              <w:t>and advanced</w:t>
            </w: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hematologic</w:t>
            </w:r>
          </w:p>
        </w:tc>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malignancies</w:t>
            </w:r>
          </w:p>
        </w:tc>
        <w:tc>
          <w:tcPr>
            <w:tcW w:w="424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ind w:left="120"/>
              <w:spacing w:after="0"/>
              <w:rPr>
                <w:sz w:val="20"/>
                <w:szCs w:val="20"/>
                <w:color w:val="auto"/>
              </w:rPr>
            </w:pPr>
            <w:r>
              <w:rPr>
                <w:rFonts w:ascii="Arial" w:cs="Arial" w:eastAsia="Arial" w:hAnsi="Arial"/>
                <w:sz w:val="18"/>
                <w:szCs w:val="18"/>
                <w:b w:val="1"/>
                <w:bCs w:val="1"/>
                <w:color w:val="auto"/>
                <w:w w:val="99"/>
              </w:rPr>
              <w:t>Clinical Program</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Arial" w:cs="Arial" w:eastAsia="Arial" w:hAnsi="Arial"/>
                <w:sz w:val="18"/>
                <w:szCs w:val="18"/>
                <w:b w:val="1"/>
                <w:bCs w:val="1"/>
                <w:color w:val="auto"/>
                <w:w w:val="94"/>
              </w:rPr>
              <w:t>2019 and 2020 Events</w:t>
            </w:r>
          </w:p>
        </w:tc>
        <w:tc>
          <w:tcPr>
            <w:tcW w:w="12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r>
      <w:tr>
        <w:trPr>
          <w:trHeight w:val="261"/>
        </w:trPr>
        <w:tc>
          <w:tcPr>
            <w:tcW w:w="15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i w:val="1"/>
                <w:iCs w:val="1"/>
                <w:color w:val="auto"/>
              </w:rPr>
              <w:t>(continued)</w:t>
            </w:r>
          </w:p>
        </w:tc>
        <w:tc>
          <w:tcPr>
            <w:tcW w:w="100" w:type="dxa"/>
            <w:vAlign w:val="bottom"/>
          </w:tcPr>
          <w:p>
            <w:pPr>
              <w:spacing w:after="0"/>
              <w:rPr>
                <w:sz w:val="22"/>
                <w:szCs w:val="22"/>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2"/>
                <w:szCs w:val="22"/>
                <w:color w:val="auto"/>
              </w:rPr>
            </w:pP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Phase 2</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Phase 3</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120" w:type="dxa"/>
            <w:vAlign w:val="bottom"/>
          </w:tcPr>
          <w:p>
            <w:pPr>
              <w:spacing w:after="0"/>
              <w:rPr>
                <w:sz w:val="22"/>
                <w:szCs w:val="22"/>
                <w:color w:val="auto"/>
              </w:rPr>
            </w:pPr>
          </w:p>
        </w:tc>
        <w:tc>
          <w:tcPr>
            <w:tcW w:w="18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to Date</w:t>
            </w:r>
          </w:p>
        </w:tc>
        <w:tc>
          <w:tcPr>
            <w:tcW w:w="120" w:type="dxa"/>
            <w:vAlign w:val="bottom"/>
          </w:tcPr>
          <w:p>
            <w:pPr>
              <w:spacing w:after="0"/>
              <w:rPr>
                <w:sz w:val="22"/>
                <w:szCs w:val="22"/>
                <w:color w:val="auto"/>
              </w:rPr>
            </w:pPr>
          </w:p>
        </w:tc>
        <w:tc>
          <w:tcPr>
            <w:tcW w:w="18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Milestones</w:t>
            </w:r>
          </w:p>
        </w:tc>
      </w:tr>
      <w:tr>
        <w:trPr>
          <w:trHeight w:val="115"/>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250"/>
        </w:trPr>
        <w:tc>
          <w:tcPr>
            <w:tcW w:w="1560" w:type="dxa"/>
            <w:vAlign w:val="bottom"/>
            <w:tcBorders>
              <w:bottom w:val="single" w:sz="8" w:color="ACACAC"/>
            </w:tcBorders>
            <w:shd w:val="clear" w:color="auto" w:fill="ACACAC"/>
          </w:tcPr>
          <w:p>
            <w:pPr>
              <w:spacing w:after="0"/>
              <w:rPr>
                <w:sz w:val="21"/>
                <w:szCs w:val="21"/>
                <w:color w:val="auto"/>
              </w:rPr>
            </w:pPr>
          </w:p>
        </w:tc>
        <w:tc>
          <w:tcPr>
            <w:tcW w:w="100" w:type="dxa"/>
            <w:vAlign w:val="bottom"/>
            <w:tcBorders>
              <w:bottom w:val="single" w:sz="8" w:color="ACACAC"/>
            </w:tcBorders>
            <w:shd w:val="clear" w:color="auto" w:fill="ACACAC"/>
          </w:tcPr>
          <w:p>
            <w:pPr>
              <w:spacing w:after="0"/>
              <w:rPr>
                <w:sz w:val="21"/>
                <w:szCs w:val="21"/>
                <w:color w:val="auto"/>
              </w:rPr>
            </w:pPr>
          </w:p>
        </w:tc>
        <w:tc>
          <w:tcPr>
            <w:tcW w:w="10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580" w:type="dxa"/>
            <w:vAlign w:val="bottom"/>
            <w:tcBorders>
              <w:bottom w:val="single" w:sz="8" w:color="ACACAC"/>
            </w:tcBorders>
            <w:shd w:val="clear" w:color="auto" w:fill="ACACAC"/>
          </w:tcPr>
          <w:p>
            <w:pPr>
              <w:spacing w:after="0"/>
              <w:rPr>
                <w:sz w:val="21"/>
                <w:szCs w:val="21"/>
                <w:color w:val="auto"/>
              </w:rPr>
            </w:pPr>
          </w:p>
        </w:tc>
        <w:tc>
          <w:tcPr>
            <w:tcW w:w="3080" w:type="dxa"/>
            <w:vAlign w:val="bottom"/>
            <w:tcBorders>
              <w:bottom w:val="single" w:sz="8" w:color="ACACAC"/>
            </w:tcBorders>
            <w:gridSpan w:val="5"/>
            <w:shd w:val="clear" w:color="auto" w:fill="ACACAC"/>
          </w:tcPr>
          <w:p>
            <w:pPr>
              <w:spacing w:after="0"/>
              <w:rPr>
                <w:sz w:val="20"/>
                <w:szCs w:val="20"/>
                <w:color w:val="auto"/>
              </w:rPr>
            </w:pPr>
            <w:r>
              <w:rPr>
                <w:rFonts w:ascii="Arial" w:cs="Arial" w:eastAsia="Arial" w:hAnsi="Arial"/>
                <w:sz w:val="18"/>
                <w:szCs w:val="18"/>
                <w:b w:val="1"/>
                <w:bCs w:val="1"/>
                <w:color w:val="auto"/>
              </w:rPr>
              <w:t>Cardiovascular/Metabolic Diseases</w:t>
            </w:r>
          </w:p>
        </w:tc>
        <w:tc>
          <w:tcPr>
            <w:tcW w:w="120" w:type="dxa"/>
            <w:vAlign w:val="bottom"/>
            <w:tcBorders>
              <w:bottom w:val="single" w:sz="8" w:color="ACACAC"/>
            </w:tcBorders>
            <w:shd w:val="clear" w:color="auto" w:fill="ACACAC"/>
          </w:tcPr>
          <w:p>
            <w:pPr>
              <w:spacing w:after="0"/>
              <w:rPr>
                <w:sz w:val="21"/>
                <w:szCs w:val="21"/>
                <w:color w:val="auto"/>
              </w:rPr>
            </w:pPr>
          </w:p>
        </w:tc>
        <w:tc>
          <w:tcPr>
            <w:tcW w:w="188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860" w:type="dxa"/>
            <w:vAlign w:val="bottom"/>
            <w:tcBorders>
              <w:bottom w:val="single" w:sz="8" w:color="ACACAC"/>
            </w:tcBorders>
            <w:shd w:val="clear" w:color="auto" w:fill="ACACAC"/>
          </w:tcPr>
          <w:p>
            <w:pPr>
              <w:spacing w:after="0"/>
              <w:rPr>
                <w:sz w:val="21"/>
                <w:szCs w:val="21"/>
                <w:color w:val="auto"/>
              </w:rPr>
            </w:pPr>
          </w:p>
        </w:tc>
      </w:tr>
      <w:tr>
        <w:trPr>
          <w:trHeight w:val="122"/>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225"/>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Praluent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Homozygous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Approved by EC for 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Report results from</w:t>
            </w:r>
          </w:p>
        </w:tc>
      </w:tr>
      <w:tr>
        <w:trPr>
          <w:trHeight w:val="220"/>
        </w:trPr>
        <w:tc>
          <w:tcPr>
            <w:tcW w:w="1560" w:type="dxa"/>
            <w:vAlign w:val="bottom"/>
            <w:shd w:val="clear" w:color="auto" w:fill="CCEEFF"/>
          </w:tcPr>
          <w:p>
            <w:pPr>
              <w:ind w:left="40"/>
              <w:spacing w:after="0" w:line="220" w:lineRule="exact"/>
              <w:rPr>
                <w:sz w:val="20"/>
                <w:szCs w:val="20"/>
                <w:color w:val="auto"/>
              </w:rPr>
            </w:pPr>
            <w:r>
              <w:rPr>
                <w:rFonts w:ascii="Arial" w:cs="Arial" w:eastAsia="Arial" w:hAnsi="Arial"/>
                <w:sz w:val="18"/>
                <w:szCs w:val="18"/>
                <w:b w:val="1"/>
                <w:bCs w:val="1"/>
                <w:color w:val="auto"/>
              </w:rPr>
              <w:t>(alirocumab)</w:t>
            </w:r>
            <w:r>
              <w:rPr>
                <w:rFonts w:ascii="Arial" w:cs="Arial" w:eastAsia="Arial" w:hAnsi="Arial"/>
                <w:sz w:val="25"/>
                <w:szCs w:val="25"/>
                <w:b w:val="1"/>
                <w:bCs w:val="1"/>
                <w:color w:val="auto"/>
                <w:vertAlign w:val="superscript"/>
              </w:rPr>
              <w:t>(a)</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familial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new indication to reduce</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Phase 3 study in HoFH</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7"/>
              </w:rPr>
              <w:t>Antibody to PCSK9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hypercholesterolemia</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 risk in</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and submit sBLA (2020)</w:t>
            </w: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ind w:left="40"/>
              <w:spacing w:after="0" w:line="216" w:lineRule="exact"/>
              <w:rPr>
                <w:sz w:val="20"/>
                <w:szCs w:val="20"/>
                <w:color w:val="auto"/>
              </w:rPr>
            </w:pPr>
            <w:r>
              <w:rPr>
                <w:rFonts w:ascii="Arial" w:cs="Arial" w:eastAsia="Arial" w:hAnsi="Arial"/>
                <w:sz w:val="18"/>
                <w:szCs w:val="18"/>
                <w:color w:val="auto"/>
                <w:w w:val="95"/>
              </w:rPr>
              <w:t>("HoFH")</w:t>
            </w:r>
            <w:r>
              <w:rPr>
                <w:rFonts w:ascii="Arial" w:cs="Arial" w:eastAsia="Arial" w:hAnsi="Arial"/>
                <w:sz w:val="25"/>
                <w:szCs w:val="25"/>
                <w:color w:val="auto"/>
                <w:w w:val="95"/>
                <w:vertAlign w:val="superscript"/>
              </w:rPr>
              <w:t>(c)</w:t>
            </w:r>
            <w:r>
              <w:rPr>
                <w:rFonts w:ascii="Arial" w:cs="Arial" w:eastAsia="Arial" w:hAnsi="Arial"/>
                <w:sz w:val="18"/>
                <w:szCs w:val="18"/>
                <w:color w:val="auto"/>
                <w:w w:val="95"/>
              </w:rPr>
              <w:t xml:space="preserve"> in adults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adults with established</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30"/>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pediatrics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ASCVD</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6"/>
        </w:trPr>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HeFH in pediatrics</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Approved by FDA for a</w:t>
            </w:r>
          </w:p>
        </w:tc>
        <w:tc>
          <w:tcPr>
            <w:tcW w:w="1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new indication to reduce</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risk of heart attack,</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stroke and unstable</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angina requiring</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hospitalization in adults</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established CV</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30"/>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disease</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56"/>
        </w:trPr>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Approved by FDA for</w:t>
            </w:r>
          </w:p>
        </w:tc>
        <w:tc>
          <w:tcPr>
            <w:tcW w:w="1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treatment of adults with</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 hyperlipidemia</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(including HeFH) to</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reduce low-density</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lipoprotein cholesterol</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37"/>
        </w:trPr>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("LDL-C")</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25"/>
        </w:trPr>
        <w:tc>
          <w:tcPr>
            <w:tcW w:w="1560" w:type="dxa"/>
            <w:vAlign w:val="bottom"/>
          </w:tcPr>
          <w:p>
            <w:pPr>
              <w:ind w:left="40"/>
              <w:spacing w:after="0" w:line="224" w:lineRule="exact"/>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 Refractory</w:t>
            </w:r>
          </w:p>
        </w:tc>
        <w:tc>
          <w:tcPr>
            <w:tcW w:w="20" w:type="dxa"/>
            <w:vAlign w:val="bottom"/>
          </w:tcPr>
          <w:p>
            <w:pPr>
              <w:spacing w:after="0"/>
              <w:rPr>
                <w:sz w:val="19"/>
                <w:szCs w:val="19"/>
                <w:color w:val="auto"/>
              </w:rPr>
            </w:pPr>
          </w:p>
        </w:tc>
        <w:tc>
          <w:tcPr>
            <w:tcW w:w="1740" w:type="dxa"/>
            <w:vAlign w:val="bottom"/>
            <w:gridSpan w:val="2"/>
          </w:tcPr>
          <w:p>
            <w:pPr>
              <w:ind w:left="40"/>
              <w:spacing w:after="0" w:line="225" w:lineRule="exact"/>
              <w:rPr>
                <w:sz w:val="20"/>
                <w:szCs w:val="20"/>
                <w:color w:val="auto"/>
              </w:rPr>
            </w:pPr>
            <w:r>
              <w:rPr>
                <w:rFonts w:ascii="Arial" w:cs="Arial" w:eastAsia="Arial" w:hAnsi="Arial"/>
                <w:sz w:val="26"/>
                <w:szCs w:val="26"/>
                <w:color w:val="auto"/>
                <w:vertAlign w:val="subscript"/>
              </w:rPr>
              <w:t>- HoFH</w:t>
            </w:r>
            <w:r>
              <w:rPr>
                <w:rFonts w:ascii="Arial" w:cs="Arial" w:eastAsia="Arial" w:hAnsi="Arial"/>
                <w:sz w:val="11"/>
                <w:szCs w:val="11"/>
                <w:color w:val="auto"/>
              </w:rPr>
              <w:t>(c)(d)</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 Reported positive top-</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 Submit BLA and</w:t>
            </w:r>
          </w:p>
        </w:tc>
      </w:tr>
      <w:tr>
        <w:trPr>
          <w:trHeight w:val="220"/>
        </w:trPr>
        <w:tc>
          <w:tcPr>
            <w:tcW w:w="1560" w:type="dxa"/>
            <w:vAlign w:val="bottom"/>
          </w:tcPr>
          <w:p>
            <w:pPr>
              <w:ind w:left="40"/>
              <w:spacing w:after="0"/>
              <w:rPr>
                <w:sz w:val="20"/>
                <w:szCs w:val="20"/>
                <w:color w:val="auto"/>
              </w:rPr>
            </w:pPr>
            <w:r>
              <w:rPr>
                <w:rFonts w:ascii="Arial" w:cs="Arial" w:eastAsia="Arial" w:hAnsi="Arial"/>
                <w:sz w:val="18"/>
                <w:szCs w:val="18"/>
                <w:b w:val="1"/>
                <w:bCs w:val="1"/>
                <w:color w:val="auto"/>
              </w:rPr>
              <w:t>(REGN1500)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0"/>
              </w:rPr>
              <w:t>hypercholesterolemia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w w:val="92"/>
              </w:rPr>
              <w:t>line results from Phase 3</w:t>
            </w:r>
          </w:p>
        </w:tc>
        <w:tc>
          <w:tcPr>
            <w:tcW w:w="120" w:type="dxa"/>
            <w:vAlign w:val="bottom"/>
          </w:tcPr>
          <w:p>
            <w:pPr>
              <w:spacing w:after="0"/>
              <w:rPr>
                <w:sz w:val="19"/>
                <w:szCs w:val="19"/>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w w:val="96"/>
              </w:rPr>
              <w:t>Marketing Authorization</w:t>
            </w:r>
          </w:p>
        </w:tc>
      </w:tr>
      <w:tr>
        <w:trPr>
          <w:trHeight w:val="216"/>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Antibody to</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1"/>
              </w:rPr>
              <w:t>(both HeFH and non-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trial in HoFH</w:t>
            </w:r>
          </w:p>
        </w:tc>
        <w:tc>
          <w:tcPr>
            <w:tcW w:w="1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Application ("MAA")</w:t>
            </w:r>
          </w:p>
        </w:tc>
      </w:tr>
      <w:tr>
        <w:trPr>
          <w:trHeight w:val="230"/>
        </w:trPr>
        <w:tc>
          <w:tcPr>
            <w:tcW w:w="1560" w:type="dxa"/>
            <w:vAlign w:val="bottom"/>
          </w:tcPr>
          <w:p>
            <w:pPr>
              <w:ind w:left="40"/>
              <w:spacing w:after="0"/>
              <w:rPr>
                <w:sz w:val="20"/>
                <w:szCs w:val="20"/>
                <w:color w:val="auto"/>
              </w:rPr>
            </w:pPr>
            <w:r>
              <w:rPr>
                <w:rFonts w:ascii="Arial" w:cs="Arial" w:eastAsia="Arial" w:hAnsi="Arial"/>
                <w:sz w:val="18"/>
                <w:szCs w:val="18"/>
                <w:i w:val="1"/>
                <w:iCs w:val="1"/>
                <w:color w:val="auto"/>
              </w:rPr>
              <w:t>ANGPTL3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FH)</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for HoFH (2020)</w:t>
            </w:r>
          </w:p>
        </w:tc>
      </w:tr>
    </w:tbl>
    <w:p>
      <w:pPr>
        <w:spacing w:after="0" w:line="4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 Severe</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hypertriglyceridemia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22860</wp:posOffset>
            </wp:positionV>
            <wp:extent cx="446786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67860" cy="58293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61"/>
        </w:trPr>
        <w:tc>
          <w:tcPr>
            <w:tcW w:w="1560" w:type="dxa"/>
            <w:vAlign w:val="bottom"/>
            <w:shd w:val="clear" w:color="auto" w:fill="CCEEFF"/>
          </w:tcPr>
          <w:p>
            <w:pPr>
              <w:ind w:left="40"/>
              <w:spacing w:after="0" w:line="260"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Paroxysmal</w:t>
            </w:r>
          </w:p>
        </w:tc>
        <w:tc>
          <w:tcPr>
            <w:tcW w:w="4860" w:type="dxa"/>
            <w:vAlign w:val="bottom"/>
          </w:tcPr>
          <w:p>
            <w:pPr>
              <w:ind w:left="2960"/>
              <w:spacing w:after="0"/>
              <w:rPr>
                <w:sz w:val="20"/>
                <w:szCs w:val="20"/>
                <w:color w:val="auto"/>
              </w:rPr>
            </w:pPr>
            <w:r>
              <w:rPr>
                <w:rFonts w:ascii="Arial" w:cs="Arial" w:eastAsia="Arial" w:hAnsi="Arial"/>
                <w:sz w:val="18"/>
                <w:szCs w:val="18"/>
                <w:color w:val="auto"/>
              </w:rPr>
              <w:t>- Reported positive top-</w:t>
            </w:r>
          </w:p>
        </w:tc>
      </w:tr>
      <w:tr>
        <w:trPr>
          <w:trHeight w:val="220"/>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(REGN3918)</w:t>
            </w:r>
          </w:p>
        </w:tc>
        <w:tc>
          <w:tcPr>
            <w:tcW w:w="1220" w:type="dxa"/>
            <w:vAlign w:val="bottom"/>
            <w:shd w:val="clear" w:color="auto" w:fill="CCEEFF"/>
          </w:tcPr>
          <w:p>
            <w:pPr>
              <w:spacing w:after="0"/>
              <w:rPr>
                <w:sz w:val="19"/>
                <w:szCs w:val="19"/>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nocturnal</w:t>
            </w:r>
          </w:p>
        </w:tc>
        <w:tc>
          <w:tcPr>
            <w:tcW w:w="4860" w:type="dxa"/>
            <w:vAlign w:val="bottom"/>
          </w:tcPr>
          <w:p>
            <w:pPr>
              <w:ind w:left="3080"/>
              <w:spacing w:after="0"/>
              <w:rPr>
                <w:sz w:val="20"/>
                <w:szCs w:val="20"/>
                <w:color w:val="auto"/>
              </w:rPr>
            </w:pPr>
            <w:r>
              <w:rPr>
                <w:rFonts w:ascii="Arial" w:cs="Arial" w:eastAsia="Arial" w:hAnsi="Arial"/>
                <w:sz w:val="18"/>
                <w:szCs w:val="18"/>
                <w:color w:val="auto"/>
                <w:w w:val="88"/>
              </w:rPr>
              <w:t>line results from Phase 2</w:t>
            </w: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C5</w:t>
            </w:r>
          </w:p>
        </w:tc>
        <w:tc>
          <w:tcPr>
            <w:tcW w:w="1220" w:type="dxa"/>
            <w:vAlign w:val="bottom"/>
            <w:shd w:val="clear" w:color="auto" w:fill="CCEEFF"/>
          </w:tcPr>
          <w:p>
            <w:pPr>
              <w:spacing w:after="0"/>
              <w:rPr>
                <w:sz w:val="18"/>
                <w:szCs w:val="18"/>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hemoglobinuria</w:t>
            </w:r>
          </w:p>
        </w:tc>
        <w:tc>
          <w:tcPr>
            <w:tcW w:w="4860" w:type="dxa"/>
            <w:vAlign w:val="bottom"/>
          </w:tcPr>
          <w:p>
            <w:pPr>
              <w:ind w:left="3080"/>
              <w:spacing w:after="0"/>
              <w:rPr>
                <w:sz w:val="20"/>
                <w:szCs w:val="20"/>
                <w:color w:val="auto"/>
              </w:rPr>
            </w:pPr>
            <w:r>
              <w:rPr>
                <w:rFonts w:ascii="Arial" w:cs="Arial" w:eastAsia="Arial" w:hAnsi="Arial"/>
                <w:sz w:val="18"/>
                <w:szCs w:val="18"/>
                <w:color w:val="auto"/>
              </w:rPr>
              <w:t>trial in PNH</w:t>
            </w:r>
          </w:p>
        </w:tc>
      </w:tr>
      <w:tr>
        <w:trPr>
          <w:trHeight w:val="257"/>
        </w:trPr>
        <w:tc>
          <w:tcPr>
            <w:tcW w:w="15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72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("PNH")</w:t>
            </w:r>
            <w:r>
              <w:rPr>
                <w:rFonts w:ascii="Arial" w:cs="Arial" w:eastAsia="Arial" w:hAnsi="Arial"/>
                <w:sz w:val="25"/>
                <w:szCs w:val="25"/>
                <w:color w:val="auto"/>
                <w:vertAlign w:val="superscript"/>
              </w:rPr>
              <w:t>(c)</w:t>
            </w:r>
          </w:p>
        </w:tc>
        <w:tc>
          <w:tcPr>
            <w:tcW w:w="4860" w:type="dxa"/>
            <w:vAlign w:val="bottom"/>
          </w:tcPr>
          <w:p>
            <w:pPr>
              <w:spacing w:after="0"/>
              <w:rPr>
                <w:sz w:val="22"/>
                <w:szCs w:val="22"/>
                <w:color w:val="auto"/>
              </w:rPr>
            </w:pPr>
          </w:p>
        </w:tc>
      </w:tr>
      <w:tr>
        <w:trPr>
          <w:trHeight w:val="702"/>
        </w:trPr>
        <w:tc>
          <w:tcPr>
            <w:tcW w:w="15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-445135</wp:posOffset>
            </wp:positionV>
            <wp:extent cx="439102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9102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18" w:right="80" w:hanging="118"/>
        <w:spacing w:after="0" w:line="259" w:lineRule="auto"/>
        <w:tabs>
          <w:tab w:leader="none" w:pos="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combination program with Alnylam's cemdisiran (second half 2020)</w:t>
      </w:r>
    </w:p>
    <w:p>
      <w:pPr>
        <w:spacing w:after="0" w:line="24" w:lineRule="exact"/>
        <w:rPr>
          <w:rFonts w:ascii="Arial" w:cs="Arial" w:eastAsia="Arial" w:hAnsi="Arial"/>
          <w:sz w:val="18"/>
          <w:szCs w:val="18"/>
          <w:color w:val="auto"/>
        </w:rPr>
      </w:pPr>
    </w:p>
    <w:p>
      <w:pPr>
        <w:ind w:left="118" w:right="80" w:hanging="118"/>
        <w:spacing w:after="0" w:line="264" w:lineRule="auto"/>
        <w:tabs>
          <w:tab w:leader="none" w:pos="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Phase 3 program in PNH (second half 2020)</w:t>
      </w:r>
    </w:p>
    <w:p>
      <w:pPr>
        <w:spacing w:after="0" w:line="7" w:lineRule="exact"/>
        <w:rPr>
          <w:sz w:val="20"/>
          <w:szCs w:val="20"/>
          <w:color w:val="auto"/>
        </w:rPr>
      </w:pPr>
    </w:p>
    <w:p>
      <w:pPr>
        <w:sectPr>
          <w:pgSz w:w="11900" w:h="16838" w:orient="portrait"/>
          <w:cols w:equalWidth="0" w:num="2">
            <w:col w:w="9360" w:space="102"/>
            <w:col w:w="1958"/>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60" w:type="dxa"/>
            <w:vAlign w:val="bottom"/>
          </w:tcPr>
          <w:p>
            <w:pPr>
              <w:ind w:left="40"/>
              <w:spacing w:after="0" w:line="224" w:lineRule="exact"/>
              <w:rPr>
                <w:sz w:val="20"/>
                <w:szCs w:val="20"/>
                <w:color w:val="auto"/>
              </w:rPr>
            </w:pPr>
            <w:r>
              <w:rPr>
                <w:rFonts w:ascii="Arial" w:cs="Arial" w:eastAsia="Arial" w:hAnsi="Arial"/>
                <w:sz w:val="18"/>
                <w:szCs w:val="18"/>
                <w:b w:val="1"/>
                <w:bCs w:val="1"/>
                <w:color w:val="auto"/>
              </w:rPr>
              <w:t>Garetosmab</w:t>
            </w:r>
            <w:r>
              <w:rPr>
                <w:rFonts w:ascii="Arial" w:cs="Arial" w:eastAsia="Arial" w:hAnsi="Arial"/>
                <w:sz w:val="25"/>
                <w:szCs w:val="25"/>
                <w:b w:val="1"/>
                <w:bCs w:val="1"/>
                <w:color w:val="auto"/>
                <w:vertAlign w:val="superscript"/>
              </w:rPr>
              <w:t>(f)</w:t>
            </w:r>
          </w:p>
        </w:tc>
        <w:tc>
          <w:tcPr>
            <w:tcW w:w="3760" w:type="dxa"/>
            <w:vAlign w:val="bottom"/>
          </w:tcPr>
          <w:p>
            <w:pPr>
              <w:ind w:left="620"/>
              <w:spacing w:after="0"/>
              <w:rPr>
                <w:sz w:val="20"/>
                <w:szCs w:val="20"/>
                <w:color w:val="auto"/>
              </w:rPr>
            </w:pPr>
            <w:r>
              <w:rPr>
                <w:rFonts w:ascii="Arial" w:cs="Arial" w:eastAsia="Arial" w:hAnsi="Arial"/>
                <w:sz w:val="18"/>
                <w:szCs w:val="18"/>
                <w:color w:val="auto"/>
              </w:rPr>
              <w:t>- Fibrodysplasia</w:t>
            </w:r>
          </w:p>
        </w:tc>
        <w:tc>
          <w:tcPr>
            <w:tcW w:w="3480" w:type="dxa"/>
            <w:vAlign w:val="bottom"/>
          </w:tcPr>
          <w:p>
            <w:pPr>
              <w:ind w:left="1640"/>
              <w:spacing w:after="0"/>
              <w:rPr>
                <w:sz w:val="20"/>
                <w:szCs w:val="20"/>
                <w:color w:val="auto"/>
              </w:rPr>
            </w:pPr>
            <w:r>
              <w:rPr>
                <w:rFonts w:ascii="Arial" w:cs="Arial" w:eastAsia="Arial" w:hAnsi="Arial"/>
                <w:sz w:val="18"/>
                <w:szCs w:val="18"/>
                <w:color w:val="auto"/>
                <w:w w:val="98"/>
              </w:rPr>
              <w:t>- Reported results from</w:t>
            </w:r>
          </w:p>
        </w:tc>
        <w:tc>
          <w:tcPr>
            <w:tcW w:w="2120" w:type="dxa"/>
            <w:vAlign w:val="bottom"/>
          </w:tcPr>
          <w:p>
            <w:pPr>
              <w:ind w:left="160"/>
              <w:spacing w:after="0"/>
              <w:rPr>
                <w:sz w:val="20"/>
                <w:szCs w:val="20"/>
                <w:color w:val="auto"/>
              </w:rPr>
            </w:pPr>
            <w:r>
              <w:rPr>
                <w:rFonts w:ascii="Arial" w:cs="Arial" w:eastAsia="Arial" w:hAnsi="Arial"/>
                <w:sz w:val="18"/>
                <w:szCs w:val="18"/>
                <w:color w:val="auto"/>
              </w:rPr>
              <w:t>- Discuss regulatory</w:t>
            </w:r>
          </w:p>
        </w:tc>
      </w:tr>
      <w:tr>
        <w:trPr>
          <w:trHeight w:val="220"/>
        </w:trPr>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(REGN2477)</w:t>
            </w:r>
          </w:p>
        </w:tc>
        <w:tc>
          <w:tcPr>
            <w:tcW w:w="3760" w:type="dxa"/>
            <w:vAlign w:val="bottom"/>
          </w:tcPr>
          <w:p>
            <w:pPr>
              <w:ind w:left="740"/>
              <w:spacing w:after="0"/>
              <w:rPr>
                <w:sz w:val="20"/>
                <w:szCs w:val="20"/>
                <w:color w:val="auto"/>
              </w:rPr>
            </w:pPr>
            <w:r>
              <w:rPr>
                <w:rFonts w:ascii="Arial" w:cs="Arial" w:eastAsia="Arial" w:hAnsi="Arial"/>
                <w:sz w:val="18"/>
                <w:szCs w:val="18"/>
                <w:color w:val="auto"/>
              </w:rPr>
              <w:t>ossificans</w:t>
            </w:r>
          </w:p>
        </w:tc>
        <w:tc>
          <w:tcPr>
            <w:tcW w:w="3480" w:type="dxa"/>
            <w:vAlign w:val="bottom"/>
          </w:tcPr>
          <w:p>
            <w:pPr>
              <w:ind w:left="1760"/>
              <w:spacing w:after="0"/>
              <w:rPr>
                <w:sz w:val="20"/>
                <w:szCs w:val="20"/>
                <w:color w:val="auto"/>
              </w:rPr>
            </w:pPr>
            <w:r>
              <w:rPr>
                <w:rFonts w:ascii="Arial" w:cs="Arial" w:eastAsia="Arial" w:hAnsi="Arial"/>
                <w:sz w:val="18"/>
                <w:szCs w:val="18"/>
                <w:color w:val="auto"/>
                <w:w w:val="97"/>
              </w:rPr>
              <w:t>Phase 2 study in FOP</w:t>
            </w:r>
          </w:p>
        </w:tc>
        <w:tc>
          <w:tcPr>
            <w:tcW w:w="2120" w:type="dxa"/>
            <w:vAlign w:val="bottom"/>
          </w:tcPr>
          <w:p>
            <w:pPr>
              <w:ind w:left="280"/>
              <w:spacing w:after="0"/>
              <w:rPr>
                <w:sz w:val="20"/>
                <w:szCs w:val="20"/>
                <w:color w:val="auto"/>
              </w:rPr>
            </w:pPr>
            <w:r>
              <w:rPr>
                <w:rFonts w:ascii="Arial" w:cs="Arial" w:eastAsia="Arial" w:hAnsi="Arial"/>
                <w:sz w:val="18"/>
                <w:szCs w:val="18"/>
                <w:color w:val="auto"/>
                <w:w w:val="93"/>
              </w:rPr>
              <w:t>submission for FOP with</w:t>
            </w:r>
          </w:p>
        </w:tc>
      </w:tr>
      <w:tr>
        <w:trPr>
          <w:trHeight w:val="216"/>
        </w:trPr>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Antibody to Activin</w:t>
            </w:r>
          </w:p>
        </w:tc>
        <w:tc>
          <w:tcPr>
            <w:tcW w:w="3760" w:type="dxa"/>
            <w:vAlign w:val="bottom"/>
          </w:tcPr>
          <w:p>
            <w:pPr>
              <w:ind w:left="740"/>
              <w:spacing w:after="0"/>
              <w:rPr>
                <w:sz w:val="20"/>
                <w:szCs w:val="20"/>
                <w:color w:val="auto"/>
              </w:rPr>
            </w:pPr>
            <w:r>
              <w:rPr>
                <w:rFonts w:ascii="Arial" w:cs="Arial" w:eastAsia="Arial" w:hAnsi="Arial"/>
                <w:sz w:val="18"/>
                <w:szCs w:val="18"/>
                <w:color w:val="auto"/>
              </w:rPr>
              <w:t>progressiva</w:t>
            </w:r>
          </w:p>
        </w:tc>
        <w:tc>
          <w:tcPr>
            <w:tcW w:w="3480" w:type="dxa"/>
            <w:vAlign w:val="bottom"/>
          </w:tcPr>
          <w:p>
            <w:pPr>
              <w:spacing w:after="0"/>
              <w:rPr>
                <w:sz w:val="18"/>
                <w:szCs w:val="18"/>
                <w:color w:val="auto"/>
              </w:rPr>
            </w:pPr>
          </w:p>
        </w:tc>
        <w:tc>
          <w:tcPr>
            <w:tcW w:w="2120" w:type="dxa"/>
            <w:vAlign w:val="bottom"/>
          </w:tcPr>
          <w:p>
            <w:pPr>
              <w:ind w:left="280"/>
              <w:spacing w:after="0"/>
              <w:rPr>
                <w:sz w:val="20"/>
                <w:szCs w:val="20"/>
                <w:color w:val="auto"/>
              </w:rPr>
            </w:pPr>
            <w:r>
              <w:rPr>
                <w:rFonts w:ascii="Arial" w:cs="Arial" w:eastAsia="Arial" w:hAnsi="Arial"/>
                <w:sz w:val="18"/>
                <w:szCs w:val="18"/>
                <w:color w:val="auto"/>
              </w:rPr>
              <w:t>regulatory authorities</w:t>
            </w:r>
          </w:p>
        </w:tc>
      </w:tr>
      <w:tr>
        <w:trPr>
          <w:trHeight w:val="216"/>
        </w:trPr>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A</w:t>
            </w:r>
          </w:p>
        </w:tc>
        <w:tc>
          <w:tcPr>
            <w:tcW w:w="3760" w:type="dxa"/>
            <w:vAlign w:val="bottom"/>
          </w:tcPr>
          <w:p>
            <w:pPr>
              <w:ind w:left="740"/>
              <w:spacing w:after="0" w:line="216" w:lineRule="exact"/>
              <w:rPr>
                <w:sz w:val="20"/>
                <w:szCs w:val="20"/>
                <w:color w:val="auto"/>
              </w:rPr>
            </w:pPr>
            <w:r>
              <w:rPr>
                <w:rFonts w:ascii="Arial" w:cs="Arial" w:eastAsia="Arial" w:hAnsi="Arial"/>
                <w:sz w:val="18"/>
                <w:szCs w:val="18"/>
                <w:color w:val="auto"/>
              </w:rPr>
              <w:t>("FOP")</w:t>
            </w:r>
            <w:r>
              <w:rPr>
                <w:rFonts w:ascii="Arial" w:cs="Arial" w:eastAsia="Arial" w:hAnsi="Arial"/>
                <w:sz w:val="25"/>
                <w:szCs w:val="25"/>
                <w:color w:val="auto"/>
                <w:vertAlign w:val="superscript"/>
              </w:rPr>
              <w:t>(c)(e)</w:t>
            </w:r>
          </w:p>
        </w:tc>
        <w:tc>
          <w:tcPr>
            <w:tcW w:w="3480" w:type="dxa"/>
            <w:vAlign w:val="bottom"/>
          </w:tcPr>
          <w:p>
            <w:pPr>
              <w:spacing w:after="0"/>
              <w:rPr>
                <w:sz w:val="18"/>
                <w:szCs w:val="18"/>
                <w:color w:val="auto"/>
              </w:rPr>
            </w:pPr>
          </w:p>
        </w:tc>
        <w:tc>
          <w:tcPr>
            <w:tcW w:w="2120" w:type="dxa"/>
            <w:vAlign w:val="bottom"/>
          </w:tcPr>
          <w:p>
            <w:pPr>
              <w:ind w:left="280"/>
              <w:spacing w:after="0"/>
              <w:rPr>
                <w:sz w:val="20"/>
                <w:szCs w:val="20"/>
                <w:color w:val="auto"/>
              </w:rPr>
            </w:pPr>
            <w:r>
              <w:rPr>
                <w:rFonts w:ascii="Arial" w:cs="Arial" w:eastAsia="Arial" w:hAnsi="Arial"/>
                <w:sz w:val="18"/>
                <w:szCs w:val="18"/>
                <w:color w:val="auto"/>
              </w:rPr>
              <w:t>(first half 2020)</w:t>
            </w:r>
          </w:p>
        </w:tc>
      </w:tr>
      <w:tr>
        <w:trPr>
          <w:trHeight w:val="216"/>
        </w:trPr>
        <w:tc>
          <w:tcPr>
            <w:tcW w:w="2060" w:type="dxa"/>
            <w:vAlign w:val="bottom"/>
          </w:tcPr>
          <w:p>
            <w:pPr>
              <w:spacing w:after="0"/>
              <w:rPr>
                <w:sz w:val="18"/>
                <w:szCs w:val="18"/>
                <w:color w:val="auto"/>
              </w:rPr>
            </w:pPr>
          </w:p>
        </w:tc>
        <w:tc>
          <w:tcPr>
            <w:tcW w:w="3760" w:type="dxa"/>
            <w:vAlign w:val="bottom"/>
          </w:tcPr>
          <w:p>
            <w:pPr>
              <w:ind w:left="740"/>
              <w:spacing w:after="0"/>
              <w:rPr>
                <w:sz w:val="20"/>
                <w:szCs w:val="20"/>
                <w:color w:val="auto"/>
              </w:rPr>
            </w:pPr>
            <w:r>
              <w:rPr>
                <w:rFonts w:ascii="Arial" w:cs="Arial" w:eastAsia="Arial" w:hAnsi="Arial"/>
                <w:sz w:val="18"/>
                <w:szCs w:val="18"/>
                <w:color w:val="auto"/>
              </w:rPr>
              <w:t>(potentially pivotal</w:t>
            </w:r>
          </w:p>
        </w:tc>
        <w:tc>
          <w:tcPr>
            <w:tcW w:w="34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760" w:type="dxa"/>
            <w:vAlign w:val="bottom"/>
          </w:tcPr>
          <w:p>
            <w:pPr>
              <w:ind w:left="740"/>
              <w:spacing w:after="0"/>
              <w:rPr>
                <w:sz w:val="20"/>
                <w:szCs w:val="20"/>
                <w:color w:val="auto"/>
              </w:rPr>
            </w:pPr>
            <w:r>
              <w:rPr>
                <w:rFonts w:ascii="Arial" w:cs="Arial" w:eastAsia="Arial" w:hAnsi="Arial"/>
                <w:sz w:val="18"/>
                <w:szCs w:val="18"/>
                <w:color w:val="auto"/>
              </w:rPr>
              <w:t>study)</w:t>
            </w:r>
          </w:p>
        </w:tc>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20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20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REGN4461</w:t>
            </w:r>
            <w:r>
              <w:rPr>
                <w:rFonts w:ascii="Arial" w:cs="Arial" w:eastAsia="Arial" w:hAnsi="Arial"/>
                <w:sz w:val="25"/>
                <w:szCs w:val="25"/>
                <w:b w:val="1"/>
                <w:bCs w:val="1"/>
                <w:color w:val="auto"/>
                <w:vertAlign w:val="superscript"/>
              </w:rPr>
              <w:t>(f)</w:t>
            </w:r>
          </w:p>
        </w:tc>
        <w:tc>
          <w:tcPr>
            <w:tcW w:w="3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Generalized</w:t>
            </w:r>
          </w:p>
        </w:tc>
        <w:tc>
          <w:tcPr>
            <w:tcW w:w="34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6"/>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Agonist antibody to</w:t>
            </w:r>
          </w:p>
        </w:tc>
        <w:tc>
          <w:tcPr>
            <w:tcW w:w="3760" w:type="dxa"/>
            <w:vAlign w:val="bottom"/>
            <w:shd w:val="clear" w:color="auto" w:fill="CCEEFF"/>
          </w:tcPr>
          <w:p>
            <w:pPr>
              <w:ind w:left="740"/>
              <w:spacing w:after="0" w:line="216" w:lineRule="exact"/>
              <w:rPr>
                <w:sz w:val="20"/>
                <w:szCs w:val="20"/>
                <w:color w:val="auto"/>
              </w:rPr>
            </w:pPr>
            <w:r>
              <w:rPr>
                <w:rFonts w:ascii="Arial" w:cs="Arial" w:eastAsia="Arial" w:hAnsi="Arial"/>
                <w:sz w:val="18"/>
                <w:szCs w:val="18"/>
                <w:color w:val="auto"/>
              </w:rPr>
              <w:t>lipodystrophy</w:t>
            </w:r>
            <w:r>
              <w:rPr>
                <w:rFonts w:ascii="Arial" w:cs="Arial" w:eastAsia="Arial" w:hAnsi="Arial"/>
                <w:sz w:val="25"/>
                <w:szCs w:val="25"/>
                <w:color w:val="auto"/>
                <w:vertAlign w:val="superscript"/>
              </w:rPr>
              <w:t>(e)</w:t>
            </w:r>
          </w:p>
        </w:tc>
        <w:tc>
          <w:tcPr>
            <w:tcW w:w="3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leptin receptor</w:t>
            </w:r>
          </w:p>
        </w:tc>
        <w:tc>
          <w:tcPr>
            <w:tcW w:w="37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30"/>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("LEPR")</w:t>
            </w:r>
          </w:p>
        </w:tc>
        <w:tc>
          <w:tcPr>
            <w:tcW w:w="376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7"/>
        </w:trPr>
        <w:tc>
          <w:tcPr>
            <w:tcW w:w="20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140"/>
              <w:spacing w:after="0"/>
              <w:rPr>
                <w:sz w:val="20"/>
                <w:szCs w:val="20"/>
                <w:color w:val="auto"/>
              </w:rPr>
            </w:pPr>
            <w:r>
              <w:rPr>
                <w:rFonts w:ascii="Arial" w:cs="Arial" w:eastAsia="Arial" w:hAnsi="Arial"/>
                <w:sz w:val="18"/>
                <w:szCs w:val="18"/>
                <w:b w:val="1"/>
                <w:bCs w:val="1"/>
                <w:color w:val="auto"/>
              </w:rPr>
              <w:t>Clinical Program</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jc w:val="center"/>
              <w:ind w:left="117"/>
              <w:spacing w:after="0"/>
              <w:rPr>
                <w:sz w:val="20"/>
                <w:szCs w:val="20"/>
                <w:color w:val="auto"/>
              </w:rPr>
            </w:pPr>
            <w:r>
              <w:rPr>
                <w:rFonts w:ascii="Arial" w:cs="Arial" w:eastAsia="Arial" w:hAnsi="Arial"/>
                <w:sz w:val="18"/>
                <w:szCs w:val="18"/>
                <w:b w:val="1"/>
                <w:bCs w:val="1"/>
                <w:color w:val="auto"/>
                <w:w w:val="91"/>
              </w:rPr>
              <w:t>Regulatory</w:t>
            </w:r>
          </w:p>
        </w:tc>
        <w:tc>
          <w:tcPr>
            <w:tcW w:w="2120" w:type="dxa"/>
            <w:vAlign w:val="bottom"/>
          </w:tcPr>
          <w:p>
            <w:pPr>
              <w:ind w:left="240"/>
              <w:spacing w:after="0"/>
              <w:rPr>
                <w:sz w:val="20"/>
                <w:szCs w:val="20"/>
                <w:color w:val="auto"/>
              </w:rPr>
            </w:pPr>
            <w:r>
              <w:rPr>
                <w:rFonts w:ascii="Arial" w:cs="Arial" w:eastAsia="Arial" w:hAnsi="Arial"/>
                <w:sz w:val="18"/>
                <w:szCs w:val="18"/>
                <w:b w:val="1"/>
                <w:bCs w:val="1"/>
                <w:color w:val="auto"/>
                <w:w w:val="89"/>
              </w:rPr>
              <w:t>2019 and 2020 Events to</w:t>
            </w:r>
          </w:p>
        </w:tc>
        <w:tc>
          <w:tcPr>
            <w:tcW w:w="2060" w:type="dxa"/>
            <w:vAlign w:val="bottom"/>
          </w:tcPr>
          <w:p>
            <w:pPr>
              <w:ind w:left="460"/>
              <w:spacing w:after="0"/>
              <w:rPr>
                <w:sz w:val="20"/>
                <w:szCs w:val="20"/>
                <w:color w:val="auto"/>
              </w:rPr>
            </w:pPr>
            <w:r>
              <w:rPr>
                <w:rFonts w:ascii="Arial" w:cs="Arial" w:eastAsia="Arial" w:hAnsi="Arial"/>
                <w:sz w:val="18"/>
                <w:szCs w:val="18"/>
                <w:b w:val="1"/>
                <w:bCs w:val="1"/>
                <w:color w:val="auto"/>
              </w:rPr>
              <w:t>Select Upcoming</w:t>
            </w:r>
          </w:p>
        </w:tc>
      </w:tr>
      <w:tr>
        <w:trPr>
          <w:trHeight w:val="261"/>
        </w:trPr>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i w:val="1"/>
                <w:iCs w:val="1"/>
                <w:color w:val="auto"/>
              </w:rPr>
              <w:t>(continued)</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Phase 1</w:t>
            </w: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Phase 2</w:t>
            </w:r>
          </w:p>
        </w:tc>
        <w:tc>
          <w:tcPr>
            <w:tcW w:w="16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5"/>
              </w:rPr>
              <w:t>Phase 3</w:t>
            </w:r>
          </w:p>
        </w:tc>
        <w:tc>
          <w:tcPr>
            <w:tcW w:w="1300" w:type="dxa"/>
            <w:vAlign w:val="bottom"/>
            <w:tcBorders>
              <w:bottom w:val="single" w:sz="8" w:color="auto"/>
            </w:tcBorders>
          </w:tcPr>
          <w:p>
            <w:pPr>
              <w:jc w:val="center"/>
              <w:ind w:left="137"/>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21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Date</w:t>
            </w:r>
          </w:p>
        </w:tc>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Milestones</w:t>
            </w:r>
          </w:p>
        </w:tc>
      </w:tr>
      <w:tr>
        <w:trPr>
          <w:trHeight w:val="244"/>
        </w:trPr>
        <w:tc>
          <w:tcPr>
            <w:tcW w:w="1720" w:type="dxa"/>
            <w:vAlign w:val="bottom"/>
            <w:tcBorders>
              <w:bottom w:val="single" w:sz="8" w:color="ACACAC"/>
            </w:tcBorders>
            <w:shd w:val="clear" w:color="auto" w:fill="ACACAC"/>
          </w:tcPr>
          <w:p>
            <w:pPr>
              <w:spacing w:after="0"/>
              <w:rPr>
                <w:sz w:val="21"/>
                <w:szCs w:val="21"/>
                <w:color w:val="auto"/>
              </w:rPr>
            </w:pPr>
          </w:p>
        </w:tc>
        <w:tc>
          <w:tcPr>
            <w:tcW w:w="940" w:type="dxa"/>
            <w:vAlign w:val="bottom"/>
            <w:tcBorders>
              <w:bottom w:val="single" w:sz="8" w:color="ACACAC"/>
            </w:tcBorders>
            <w:shd w:val="clear" w:color="auto" w:fill="ACACAC"/>
          </w:tcPr>
          <w:p>
            <w:pPr>
              <w:spacing w:after="0"/>
              <w:rPr>
                <w:sz w:val="21"/>
                <w:szCs w:val="21"/>
                <w:color w:val="auto"/>
              </w:rPr>
            </w:pPr>
          </w:p>
        </w:tc>
        <w:tc>
          <w:tcPr>
            <w:tcW w:w="1660" w:type="dxa"/>
            <w:vAlign w:val="bottom"/>
            <w:tcBorders>
              <w:bottom w:val="single" w:sz="8" w:color="ACACAC"/>
            </w:tcBorders>
            <w:shd w:val="clear" w:color="auto" w:fill="ACACAC"/>
          </w:tcPr>
          <w:p>
            <w:pPr>
              <w:spacing w:after="0"/>
              <w:rPr>
                <w:sz w:val="21"/>
                <w:szCs w:val="21"/>
                <w:color w:val="auto"/>
              </w:rPr>
            </w:pPr>
          </w:p>
        </w:tc>
        <w:tc>
          <w:tcPr>
            <w:tcW w:w="1620" w:type="dxa"/>
            <w:vAlign w:val="bottom"/>
            <w:tcBorders>
              <w:bottom w:val="single" w:sz="8" w:color="ACACAC"/>
            </w:tcBorders>
            <w:shd w:val="clear" w:color="auto" w:fill="ACACAC"/>
          </w:tcPr>
          <w:p>
            <w:pPr>
              <w:jc w:val="center"/>
              <w:ind w:left="1070"/>
              <w:spacing w:after="0"/>
              <w:rPr>
                <w:sz w:val="20"/>
                <w:szCs w:val="20"/>
                <w:color w:val="auto"/>
              </w:rPr>
            </w:pPr>
            <w:r>
              <w:rPr>
                <w:rFonts w:ascii="Arial" w:cs="Arial" w:eastAsia="Arial" w:hAnsi="Arial"/>
                <w:sz w:val="18"/>
                <w:szCs w:val="18"/>
                <w:b w:val="1"/>
                <w:bCs w:val="1"/>
                <w:color w:val="auto"/>
                <w:w w:val="89"/>
              </w:rPr>
              <w:t>Pain</w:t>
            </w:r>
          </w:p>
        </w:tc>
        <w:tc>
          <w:tcPr>
            <w:tcW w:w="1300" w:type="dxa"/>
            <w:vAlign w:val="bottom"/>
            <w:tcBorders>
              <w:bottom w:val="single" w:sz="8" w:color="ACACAC"/>
            </w:tcBorders>
            <w:shd w:val="clear" w:color="auto" w:fill="ACACAC"/>
          </w:tcPr>
          <w:p>
            <w:pPr>
              <w:spacing w:after="0"/>
              <w:rPr>
                <w:sz w:val="21"/>
                <w:szCs w:val="21"/>
                <w:color w:val="auto"/>
              </w:rPr>
            </w:pPr>
          </w:p>
        </w:tc>
        <w:tc>
          <w:tcPr>
            <w:tcW w:w="2120" w:type="dxa"/>
            <w:vAlign w:val="bottom"/>
            <w:tcBorders>
              <w:bottom w:val="single" w:sz="8" w:color="ACACAC"/>
            </w:tcBorders>
            <w:shd w:val="clear" w:color="auto" w:fill="ACACAC"/>
          </w:tcPr>
          <w:p>
            <w:pPr>
              <w:spacing w:after="0"/>
              <w:rPr>
                <w:sz w:val="21"/>
                <w:szCs w:val="21"/>
                <w:color w:val="auto"/>
              </w:rPr>
            </w:pPr>
          </w:p>
        </w:tc>
        <w:tc>
          <w:tcPr>
            <w:tcW w:w="2060" w:type="dxa"/>
            <w:vAlign w:val="bottom"/>
            <w:tcBorders>
              <w:bottom w:val="single" w:sz="8" w:color="ACACAC"/>
            </w:tcBorders>
            <w:shd w:val="clear" w:color="auto" w:fill="ACACAC"/>
          </w:tcPr>
          <w:p>
            <w:pPr>
              <w:spacing w:after="0"/>
              <w:rPr>
                <w:sz w:val="21"/>
                <w:szCs w:val="21"/>
                <w:color w:val="auto"/>
              </w:rPr>
            </w:pPr>
          </w:p>
        </w:tc>
      </w:tr>
      <w:tr>
        <w:trPr>
          <w:trHeight w:val="346"/>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w w:val="98"/>
              </w:rPr>
              <w:t>- Osteoarthritis pain</w:t>
            </w: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w w:val="90"/>
              </w:rPr>
              <w:t>- Report results from Phase</w:t>
            </w:r>
          </w:p>
        </w:tc>
      </w:tr>
      <w:tr>
        <w:trPr>
          <w:trHeight w:val="220"/>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(REGN475)</w:t>
            </w: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20" w:type="dxa"/>
            <w:vAlign w:val="bottom"/>
          </w:tcPr>
          <w:p>
            <w:pPr>
              <w:jc w:val="center"/>
              <w:ind w:left="70"/>
              <w:spacing w:after="0" w:line="220" w:lineRule="exact"/>
              <w:rPr>
                <w:sz w:val="20"/>
                <w:szCs w:val="20"/>
                <w:color w:val="auto"/>
              </w:rPr>
            </w:pPr>
            <w:r>
              <w:rPr>
                <w:rFonts w:ascii="Arial" w:cs="Arial" w:eastAsia="Arial" w:hAnsi="Arial"/>
                <w:sz w:val="18"/>
                <w:szCs w:val="18"/>
                <w:color w:val="auto"/>
                <w:w w:val="89"/>
              </w:rPr>
              <w:t>of the knee or hip</w:t>
            </w:r>
            <w:r>
              <w:rPr>
                <w:rFonts w:ascii="Arial" w:cs="Arial" w:eastAsia="Arial" w:hAnsi="Arial"/>
                <w:sz w:val="25"/>
                <w:szCs w:val="25"/>
                <w:color w:val="auto"/>
                <w:w w:val="89"/>
                <w:vertAlign w:val="superscript"/>
              </w:rPr>
              <w:t>(e)</w:t>
            </w:r>
          </w:p>
        </w:tc>
        <w:tc>
          <w:tcPr>
            <w:tcW w:w="1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w w:val="94"/>
              </w:rPr>
              <w:t>3 studies in osteoarthritis</w:t>
            </w: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i w:val="1"/>
                <w:iCs w:val="1"/>
                <w:color w:val="auto"/>
              </w:rPr>
              <w:t>Antibody to NGF</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pain of the knee or hip</w:t>
            </w:r>
          </w:p>
        </w:tc>
      </w:tr>
      <w:tr>
        <w:trPr>
          <w:trHeight w:val="230"/>
        </w:trPr>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(mid-2020)</w:t>
            </w:r>
          </w:p>
        </w:tc>
      </w:tr>
      <w:tr>
        <w:trPr>
          <w:trHeight w:val="27"/>
        </w:trPr>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REGN5069</w:t>
            </w: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 Osteoarthritis pain</w:t>
            </w: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 Report results from Phase</w:t>
            </w:r>
          </w:p>
        </w:tc>
      </w:tr>
      <w:tr>
        <w:trPr>
          <w:trHeight w:val="216"/>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GFRα3</w:t>
            </w:r>
          </w:p>
        </w:tc>
        <w:tc>
          <w:tcPr>
            <w:tcW w:w="940" w:type="dxa"/>
            <w:vAlign w:val="bottom"/>
            <w:shd w:val="clear" w:color="auto" w:fill="CCEEFF"/>
          </w:tcPr>
          <w:p>
            <w:pPr>
              <w:spacing w:after="0"/>
              <w:rPr>
                <w:sz w:val="18"/>
                <w:szCs w:val="18"/>
                <w:color w:val="auto"/>
              </w:rPr>
            </w:pPr>
          </w:p>
        </w:tc>
        <w:tc>
          <w:tcPr>
            <w:tcW w:w="1660" w:type="dxa"/>
            <w:vAlign w:val="bottom"/>
            <w:shd w:val="clear" w:color="auto" w:fill="CCEEFF"/>
          </w:tcPr>
          <w:p>
            <w:pPr>
              <w:ind w:left="260"/>
              <w:spacing w:after="0" w:line="216" w:lineRule="exact"/>
              <w:rPr>
                <w:sz w:val="20"/>
                <w:szCs w:val="20"/>
                <w:color w:val="auto"/>
              </w:rPr>
            </w:pPr>
            <w:r>
              <w:rPr>
                <w:rFonts w:ascii="Arial" w:cs="Arial" w:eastAsia="Arial" w:hAnsi="Arial"/>
                <w:sz w:val="18"/>
                <w:szCs w:val="18"/>
                <w:color w:val="auto"/>
              </w:rPr>
              <w:t>of the knee</w:t>
            </w:r>
            <w:r>
              <w:rPr>
                <w:rFonts w:ascii="Arial" w:cs="Arial" w:eastAsia="Arial" w:hAnsi="Arial"/>
                <w:sz w:val="25"/>
                <w:szCs w:val="25"/>
                <w:color w:val="auto"/>
                <w:vertAlign w:val="superscript"/>
              </w:rPr>
              <w:t>(e)</w:t>
            </w:r>
          </w:p>
        </w:tc>
        <w:tc>
          <w:tcPr>
            <w:tcW w:w="1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study in osteoarthritis</w:t>
            </w:r>
          </w:p>
        </w:tc>
      </w:tr>
      <w:tr>
        <w:trPr>
          <w:trHeight w:val="216"/>
        </w:trPr>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pain of the knee (second</w:t>
            </w:r>
          </w:p>
        </w:tc>
      </w:tr>
      <w:tr>
        <w:trPr>
          <w:trHeight w:val="237"/>
        </w:trPr>
        <w:tc>
          <w:tcPr>
            <w:tcW w:w="17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half 2020)</w:t>
            </w:r>
          </w:p>
        </w:tc>
      </w:tr>
      <w:tr>
        <w:trPr>
          <w:trHeight w:val="122"/>
        </w:trPr>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920" w:type="dxa"/>
            <w:vAlign w:val="bottom"/>
            <w:gridSpan w:val="2"/>
          </w:tcPr>
          <w:p>
            <w:pPr>
              <w:spacing w:after="0"/>
              <w:rPr>
                <w:sz w:val="10"/>
                <w:szCs w:val="10"/>
                <w:color w:val="auto"/>
              </w:rPr>
            </w:pPr>
          </w:p>
        </w:tc>
        <w:tc>
          <w:tcPr>
            <w:tcW w:w="2120" w:type="dxa"/>
            <w:vAlign w:val="bottom"/>
          </w:tcPr>
          <w:p>
            <w:pPr>
              <w:spacing w:after="0"/>
              <w:rPr>
                <w:sz w:val="10"/>
                <w:szCs w:val="10"/>
                <w:color w:val="auto"/>
              </w:rPr>
            </w:pPr>
          </w:p>
        </w:tc>
        <w:tc>
          <w:tcPr>
            <w:tcW w:w="2060" w:type="dxa"/>
            <w:vAlign w:val="bottom"/>
          </w:tcPr>
          <w:p>
            <w:pPr>
              <w:spacing w:after="0"/>
              <w:rPr>
                <w:sz w:val="10"/>
                <w:szCs w:val="10"/>
                <w:color w:val="auto"/>
              </w:rPr>
            </w:pPr>
          </w:p>
        </w:tc>
      </w:tr>
      <w:tr>
        <w:trPr>
          <w:trHeight w:val="250"/>
        </w:trPr>
        <w:tc>
          <w:tcPr>
            <w:tcW w:w="1720" w:type="dxa"/>
            <w:vAlign w:val="bottom"/>
            <w:tcBorders>
              <w:bottom w:val="single" w:sz="8" w:color="ACACAC"/>
            </w:tcBorders>
            <w:shd w:val="clear" w:color="auto" w:fill="ACACAC"/>
          </w:tcPr>
          <w:p>
            <w:pPr>
              <w:spacing w:after="0"/>
              <w:rPr>
                <w:sz w:val="21"/>
                <w:szCs w:val="21"/>
                <w:color w:val="auto"/>
              </w:rPr>
            </w:pPr>
          </w:p>
        </w:tc>
        <w:tc>
          <w:tcPr>
            <w:tcW w:w="940" w:type="dxa"/>
            <w:vAlign w:val="bottom"/>
            <w:tcBorders>
              <w:bottom w:val="single" w:sz="8" w:color="ACACAC"/>
            </w:tcBorders>
            <w:shd w:val="clear" w:color="auto" w:fill="ACACAC"/>
          </w:tcPr>
          <w:p>
            <w:pPr>
              <w:spacing w:after="0"/>
              <w:rPr>
                <w:sz w:val="21"/>
                <w:szCs w:val="21"/>
                <w:color w:val="auto"/>
              </w:rPr>
            </w:pPr>
          </w:p>
        </w:tc>
        <w:tc>
          <w:tcPr>
            <w:tcW w:w="1660" w:type="dxa"/>
            <w:vAlign w:val="bottom"/>
            <w:tcBorders>
              <w:bottom w:val="single" w:sz="8" w:color="ACACAC"/>
            </w:tcBorders>
            <w:shd w:val="clear" w:color="auto" w:fill="ACACAC"/>
          </w:tcPr>
          <w:p>
            <w:pPr>
              <w:spacing w:after="0"/>
              <w:rPr>
                <w:sz w:val="21"/>
                <w:szCs w:val="21"/>
                <w:color w:val="auto"/>
              </w:rPr>
            </w:pPr>
          </w:p>
        </w:tc>
        <w:tc>
          <w:tcPr>
            <w:tcW w:w="2920" w:type="dxa"/>
            <w:vAlign w:val="bottom"/>
            <w:tcBorders>
              <w:bottom w:val="single" w:sz="8" w:color="ACACAC"/>
            </w:tcBorders>
            <w:gridSpan w:val="2"/>
            <w:shd w:val="clear" w:color="auto" w:fill="ACACAC"/>
          </w:tcPr>
          <w:p>
            <w:pPr>
              <w:jc w:val="center"/>
              <w:ind w:right="37"/>
              <w:spacing w:after="0"/>
              <w:rPr>
                <w:sz w:val="20"/>
                <w:szCs w:val="20"/>
                <w:color w:val="auto"/>
              </w:rPr>
            </w:pPr>
            <w:r>
              <w:rPr>
                <w:rFonts w:ascii="Arial" w:cs="Arial" w:eastAsia="Arial" w:hAnsi="Arial"/>
                <w:sz w:val="18"/>
                <w:szCs w:val="18"/>
                <w:b w:val="1"/>
                <w:bCs w:val="1"/>
                <w:color w:val="auto"/>
                <w:w w:val="85"/>
              </w:rPr>
              <w:t>Infectious Diseases</w:t>
            </w:r>
          </w:p>
        </w:tc>
        <w:tc>
          <w:tcPr>
            <w:tcW w:w="2120" w:type="dxa"/>
            <w:vAlign w:val="bottom"/>
            <w:tcBorders>
              <w:bottom w:val="single" w:sz="8" w:color="ACACAC"/>
            </w:tcBorders>
            <w:shd w:val="clear" w:color="auto" w:fill="ACACAC"/>
          </w:tcPr>
          <w:p>
            <w:pPr>
              <w:spacing w:after="0"/>
              <w:rPr>
                <w:sz w:val="21"/>
                <w:szCs w:val="21"/>
                <w:color w:val="auto"/>
              </w:rPr>
            </w:pPr>
          </w:p>
        </w:tc>
        <w:tc>
          <w:tcPr>
            <w:tcW w:w="2060" w:type="dxa"/>
            <w:vAlign w:val="bottom"/>
            <w:tcBorders>
              <w:bottom w:val="single" w:sz="8" w:color="ACACAC"/>
            </w:tcBorders>
            <w:shd w:val="clear" w:color="auto" w:fill="ACACAC"/>
          </w:tcPr>
          <w:p>
            <w:pPr>
              <w:spacing w:after="0"/>
              <w:rPr>
                <w:sz w:val="21"/>
                <w:szCs w:val="21"/>
                <w:color w:val="auto"/>
              </w:rPr>
            </w:pPr>
          </w:p>
        </w:tc>
      </w:tr>
      <w:tr>
        <w:trPr>
          <w:trHeight w:val="346"/>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REGN-EB3</w:t>
            </w:r>
            <w:r>
              <w:rPr>
                <w:rFonts w:ascii="Arial" w:cs="Arial" w:eastAsia="Arial" w:hAnsi="Arial"/>
                <w:sz w:val="25"/>
                <w:szCs w:val="25"/>
                <w:b w:val="1"/>
                <w:bCs w:val="1"/>
                <w:color w:val="auto"/>
                <w:vertAlign w:val="superscript"/>
              </w:rPr>
              <w:t>(f)</w:t>
            </w: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w w:val="96"/>
              </w:rPr>
              <w:t>- Ebola (U.S.)</w:t>
            </w:r>
            <w:r>
              <w:rPr>
                <w:rFonts w:ascii="Arial" w:cs="Arial" w:eastAsia="Arial" w:hAnsi="Arial"/>
                <w:sz w:val="25"/>
                <w:szCs w:val="25"/>
                <w:color w:val="auto"/>
                <w:w w:val="96"/>
                <w:vertAlign w:val="superscript"/>
              </w:rPr>
              <w:t>(c)</w:t>
            </w:r>
          </w:p>
        </w:tc>
        <w:tc>
          <w:tcPr>
            <w:tcW w:w="4180" w:type="dxa"/>
            <w:vAlign w:val="bottom"/>
            <w:gridSpan w:val="2"/>
          </w:tcPr>
          <w:p>
            <w:pPr>
              <w:ind w:left="100"/>
              <w:spacing w:after="0"/>
              <w:rPr>
                <w:sz w:val="20"/>
                <w:szCs w:val="20"/>
                <w:color w:val="auto"/>
              </w:rPr>
            </w:pPr>
            <w:r>
              <w:rPr>
                <w:rFonts w:ascii="Arial" w:cs="Arial" w:eastAsia="Arial" w:hAnsi="Arial"/>
                <w:sz w:val="18"/>
                <w:szCs w:val="18"/>
                <w:color w:val="auto"/>
              </w:rPr>
              <w:t>- Investigational trial in the - Complete rolling BLA</w:t>
            </w:r>
          </w:p>
        </w:tc>
      </w:tr>
      <w:tr>
        <w:trPr>
          <w:trHeight w:val="216"/>
        </w:trPr>
        <w:tc>
          <w:tcPr>
            <w:tcW w:w="1720" w:type="dxa"/>
            <w:vAlign w:val="bottom"/>
          </w:tcPr>
          <w:p>
            <w:pPr>
              <w:ind w:left="40"/>
              <w:spacing w:after="0" w:line="216" w:lineRule="exact"/>
              <w:rPr>
                <w:sz w:val="20"/>
                <w:szCs w:val="20"/>
                <w:color w:val="auto"/>
              </w:rPr>
            </w:pP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(REGN3470-</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3"/>
                <w:szCs w:val="13"/>
                <w:color w:val="auto"/>
              </w:rPr>
              <w:t>(d)(j)</w:t>
            </w:r>
          </w:p>
        </w:tc>
        <w:tc>
          <w:tcPr>
            <w:tcW w:w="2120" w:type="dxa"/>
            <w:vAlign w:val="bottom"/>
          </w:tcPr>
          <w:p>
            <w:pPr>
              <w:ind w:left="220"/>
              <w:spacing w:after="0"/>
              <w:rPr>
                <w:sz w:val="20"/>
                <w:szCs w:val="20"/>
                <w:color w:val="auto"/>
              </w:rPr>
            </w:pPr>
            <w:r>
              <w:rPr>
                <w:rFonts w:ascii="Arial" w:cs="Arial" w:eastAsia="Arial" w:hAnsi="Arial"/>
                <w:sz w:val="18"/>
                <w:szCs w:val="18"/>
                <w:color w:val="auto"/>
              </w:rPr>
              <w:t>Democratic Republic of</w:t>
            </w:r>
          </w:p>
        </w:tc>
        <w:tc>
          <w:tcPr>
            <w:tcW w:w="2060" w:type="dxa"/>
            <w:vAlign w:val="bottom"/>
          </w:tcPr>
          <w:p>
            <w:pPr>
              <w:ind w:left="160"/>
              <w:spacing w:after="0"/>
              <w:rPr>
                <w:sz w:val="20"/>
                <w:szCs w:val="20"/>
                <w:color w:val="auto"/>
              </w:rPr>
            </w:pPr>
            <w:r>
              <w:rPr>
                <w:rFonts w:ascii="Arial" w:cs="Arial" w:eastAsia="Arial" w:hAnsi="Arial"/>
                <w:sz w:val="18"/>
                <w:szCs w:val="18"/>
                <w:color w:val="auto"/>
              </w:rPr>
              <w:t>submission for Ebola</w:t>
            </w:r>
          </w:p>
        </w:tc>
      </w:tr>
      <w:tr>
        <w:trPr>
          <w:trHeight w:val="220"/>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3471-3479)</w:t>
            </w: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w w:val="92"/>
              </w:rPr>
              <w:t>Congo was stopped early</w:t>
            </w:r>
          </w:p>
        </w:tc>
        <w:tc>
          <w:tcPr>
            <w:tcW w:w="2060" w:type="dxa"/>
            <w:vAlign w:val="bottom"/>
          </w:tcPr>
          <w:p>
            <w:pPr>
              <w:ind w:left="160"/>
              <w:spacing w:after="0"/>
              <w:rPr>
                <w:sz w:val="20"/>
                <w:szCs w:val="20"/>
                <w:color w:val="auto"/>
              </w:rPr>
            </w:pPr>
            <w:r>
              <w:rPr>
                <w:rFonts w:ascii="Arial" w:cs="Arial" w:eastAsia="Arial" w:hAnsi="Arial"/>
                <w:sz w:val="18"/>
                <w:szCs w:val="18"/>
                <w:color w:val="auto"/>
              </w:rPr>
              <w:t>(first half 2020)</w:t>
            </w: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i w:val="1"/>
                <w:iCs w:val="1"/>
                <w:color w:val="auto"/>
              </w:rPr>
              <w:t>Multi-antibody</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based on data showing</w:t>
            </w:r>
          </w:p>
        </w:tc>
        <w:tc>
          <w:tcPr>
            <w:tcW w:w="2060" w:type="dxa"/>
            <w:vAlign w:val="bottom"/>
          </w:tcPr>
          <w:p>
            <w:pPr>
              <w:spacing w:after="0"/>
              <w:rPr>
                <w:sz w:val="18"/>
                <w:szCs w:val="18"/>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i w:val="1"/>
                <w:iCs w:val="1"/>
                <w:color w:val="auto"/>
              </w:rPr>
              <w:t>therapy to Ebola</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that REGN-EB3 was</w:t>
            </w:r>
          </w:p>
        </w:tc>
        <w:tc>
          <w:tcPr>
            <w:tcW w:w="2060" w:type="dxa"/>
            <w:vAlign w:val="bottom"/>
          </w:tcPr>
          <w:p>
            <w:pPr>
              <w:spacing w:after="0"/>
              <w:rPr>
                <w:sz w:val="18"/>
                <w:szCs w:val="18"/>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i w:val="1"/>
                <w:iCs w:val="1"/>
                <w:color w:val="auto"/>
              </w:rPr>
              <w:t>virus infection</w:t>
            </w: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superior to ZMapp in</w:t>
            </w:r>
          </w:p>
        </w:tc>
        <w:tc>
          <w:tcPr>
            <w:tcW w:w="2060" w:type="dxa"/>
            <w:vAlign w:val="bottom"/>
          </w:tcPr>
          <w:p>
            <w:pPr>
              <w:spacing w:after="0"/>
              <w:rPr>
                <w:sz w:val="18"/>
                <w:szCs w:val="18"/>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i w:val="1"/>
                <w:iCs w:val="1"/>
                <w:color w:val="auto"/>
              </w:rPr>
              <w:t>("Ebola")</w:t>
            </w: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preventing death</w:t>
            </w:r>
          </w:p>
        </w:tc>
        <w:tc>
          <w:tcPr>
            <w:tcW w:w="2060" w:type="dxa"/>
            <w:vAlign w:val="bottom"/>
          </w:tcPr>
          <w:p>
            <w:pPr>
              <w:spacing w:after="0"/>
              <w:rPr>
                <w:sz w:val="20"/>
                <w:szCs w:val="20"/>
                <w:color w:val="auto"/>
              </w:rPr>
            </w:pPr>
          </w:p>
        </w:tc>
      </w:tr>
    </w:tbl>
    <w:p>
      <w:pPr>
        <w:spacing w:after="0" w:line="37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1: For purposes of the table above, a program is classified in Phase 1, 2, or 3 clinical development after recruiting for the corresponding study or studies has commenced</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2: We have discontinued further clinical development of REGN4659, an antibody to CTLA4, which was previously being studied in advanced NSCLC</w:t>
      </w:r>
    </w:p>
    <w:p>
      <w:pPr>
        <w:spacing w:after="0" w:line="42" w:lineRule="exact"/>
        <w:rPr>
          <w:sz w:val="20"/>
          <w:szCs w:val="20"/>
          <w:color w:val="auto"/>
        </w:rPr>
      </w:pPr>
    </w:p>
    <w:p>
      <w:pPr>
        <w:ind w:left="420" w:hanging="122"/>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40" w:hanging="142"/>
        <w:spacing w:after="0"/>
        <w:tabs>
          <w:tab w:leader="none" w:pos="440" w:val="left"/>
        </w:tabs>
        <w:numPr>
          <w:ilvl w:val="0"/>
          <w:numId w:val="13"/>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40" w:hanging="142"/>
        <w:spacing w:after="0"/>
        <w:tabs>
          <w:tab w:leader="none" w:pos="440" w:val="left"/>
        </w:tabs>
        <w:numPr>
          <w:ilvl w:val="0"/>
          <w:numId w:val="13"/>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00" w:right="380" w:hanging="2"/>
        <w:spacing w:after="0" w:line="253" w:lineRule="auto"/>
        <w:tabs>
          <w:tab w:leader="none" w:pos="426" w:val="left"/>
        </w:tabs>
        <w:numPr>
          <w:ilvl w:val="0"/>
          <w:numId w:val="13"/>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1" w:lineRule="exact"/>
        <w:rPr>
          <w:rFonts w:ascii="Arial" w:cs="Arial" w:eastAsia="Arial" w:hAnsi="Arial"/>
          <w:sz w:val="9"/>
          <w:szCs w:val="9"/>
          <w:color w:val="auto"/>
        </w:rPr>
      </w:pPr>
    </w:p>
    <w:p>
      <w:pPr>
        <w:ind w:left="300" w:right="260" w:hanging="2"/>
        <w:spacing w:after="0" w:line="253" w:lineRule="auto"/>
        <w:tabs>
          <w:tab w:leader="none" w:pos="427" w:val="left"/>
        </w:tabs>
        <w:numPr>
          <w:ilvl w:val="0"/>
          <w:numId w:val="13"/>
        </w:numPr>
        <w:rPr>
          <w:rFonts w:ascii="Arial" w:cs="Arial" w:eastAsia="Arial" w:hAnsi="Arial"/>
          <w:sz w:val="9"/>
          <w:szCs w:val="9"/>
          <w:color w:val="auto"/>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11" w:lineRule="exact"/>
        <w:rPr>
          <w:rFonts w:ascii="Arial" w:cs="Arial" w:eastAsia="Arial" w:hAnsi="Arial"/>
          <w:sz w:val="9"/>
          <w:szCs w:val="9"/>
          <w:color w:val="auto"/>
        </w:rPr>
      </w:pPr>
    </w:p>
    <w:p>
      <w:pPr>
        <w:ind w:left="440" w:hanging="142"/>
        <w:spacing w:after="0"/>
        <w:tabs>
          <w:tab w:leader="none" w:pos="440" w:val="left"/>
        </w:tabs>
        <w:numPr>
          <w:ilvl w:val="0"/>
          <w:numId w:val="13"/>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Information in this column relates to U.S., EU, and Japan regulatory submissions only</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Included as part of the Extension Phase of a trial coordinated by World Health Organization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Information - Marketed Products Studied in Additional Indications and Product Candidates in Late-Stage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w:t>
      </w:r>
    </w:p>
    <w:p>
      <w:pPr>
        <w:spacing w:after="0" w:line="1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EYLEA is a soluble fusion protein that acts as a vascular endothelial growth factor ("VEGF") inhibitor, formulated as an injection for the eye. It is designed to block the growth of new blood vessels and decrease the ability of fluid to pass through blood vessels (vascular permeability) in the eye by blocking VEGF-A and PLGF, two growth factors involved in angiogenesis.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Dupixent (dupilumab)</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Dupixent is a fully-human monoclonal antibody that inhibits the signaling pathway of IL-4 and IL-13. Data from Dupixent clinical trials have shown that IL-4 and IL-13 are key drivers of the type 2 inflammation that plays a major role in atopic dermatitis, asthma, and CRSwNP, as well as other immunological and inflammatory diseases.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Kevzara (sarilumab)</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Kevzara is a fully-human monoclonal antibody that binds specifically to the IL-6 receptor and inhibits IL-6-mediated signaling. IL-6 is a signaling protein produced in increased quantities in patients with RA and has been associated with disease activity, joint destruction, and other systemic problems.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Libtayo (cemiplimab) and REGN1979</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Regeneron is developing a diverse and comprehensive oncology portfolio, including Libtayo, which is being studied as monotherapy and in combination with other anti-cancer agents in various indications.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Libtayo is a fully-human monoclonal antibody targeting the immune checkpoint receptor PD-1. The PD-1/PD-L1 immune checkpoint pathway has emerged as a major mechanism by which cancers evade immune destruction. Libtayo is also being studied by other companies in combination with their proprietary assets.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REGN1979 is an investigational bispecific monoclonal antibody designed to bridge T-cells and tumor cells. It is designed to trigger tumor killing by binding to both a protein expressed on B-cell cancers (CD20) and a component of the T-cell receptor ("TCR") complex (CD3). At the tumor site, it activates T-cells by engaging their CD3 molecules and promotes T-cell mediated killing of the cancer cells.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Praluent (alirocumab)</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Praluent is a fully-human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Evinacumab</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Evinacumab is an investigational, fully-human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Pozelimab</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Pozelimab is an investigational, fully-human monoclonal antibody designed to block complement factor C5 and prevent the destruction of red blood cells that cause the symptoms of PNH and other diseases mediated by abnormal complement pathway activity. PNH is an ultra-rare, chronic, life-threatening disease where genetic mutations cause hemolysis, resulting in a range of symptoms including fatigue, shortness of breath, and blood clots. Pozelimab binds with high affinity to wild-type and variant human C5 and blocks its activity.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Garetosmab</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Garetosmab is an investigational, fully-human monoclonal antibody that binds and neutralizes Activin A, which is required for the development of additional bone outside the normal skeleton in patients with the ultra-rare genetic disorder, FOP. The abnormal bone formation in soft tissue outside of the normal skeleton, a process known as heterotopic ossification, leads to loss of mobility and premature death in FOP patients. Garetosmab reduces the formation of heterotopic bone lesions by neutralizing the Activin A protein.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Fasinumab is an investigational, fully-human monoclonal antibody that targets NGF, a protein that plays a central role in the regulation of pain signaling. NGF expression is elevated in many acute and chronic pain conditions and NGF blockade has demonstrated efficacy in clinical trials. Targeting NGF is a potential new way to manage pain without resorting to opioids.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REGN-EB3</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REGN-EB3 is an investigational cocktail of three fully-human monoclonal antibodies that each bind to the Ebola virus at different points, which may serve to increase efficacy, reduce the development of viral sequences that lead to resistance, and potentially enable utility in future outbreaks as viruses continue to evolve. REGN-EB3 is being developed, tested, and manufactured through contracts awarded in 2015 and 2017 by BARDA, under the Assistant Secretary for Preparedness and Response within the U.S. Department of Health and Human Services.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Arial" w:cs="Arial" w:eastAsia="Arial" w:hAnsi="Arial"/>
          <w:sz w:val="18"/>
          <w:szCs w:val="18"/>
          <w:i w:val="1"/>
          <w:iCs w:val="1"/>
          <w:color w:val="auto"/>
        </w:rPr>
        <w:t xml:space="preserve">VelociSuite </w:t>
      </w:r>
      <w:r>
        <w:rPr>
          <w:rFonts w:ascii="Arial" w:cs="Arial" w:eastAsia="Arial" w:hAnsi="Arial"/>
          <w:sz w:val="18"/>
          <w:szCs w:val="18"/>
          <w:color w:val="auto"/>
        </w:rPr>
        <w:t>is our second technology platform, which is used for discovering, developing, and producing fully human antibodies that can address both</w:t>
      </w:r>
      <w:r>
        <w:rPr>
          <w:rFonts w:ascii="Arial" w:cs="Arial" w:eastAsia="Arial" w:hAnsi="Arial"/>
          <w:sz w:val="18"/>
          <w:szCs w:val="18"/>
          <w:i w:val="1"/>
          <w:iCs w:val="1"/>
          <w:color w:val="auto"/>
        </w:rPr>
        <w:t xml:space="preserve"> </w:t>
      </w:r>
      <w:r>
        <w:rPr>
          <w:rFonts w:ascii="Arial" w:cs="Arial" w:eastAsia="Arial" w:hAnsi="Arial"/>
          <w:sz w:val="18"/>
          <w:szCs w:val="18"/>
          <w:color w:val="auto"/>
        </w:rPr>
        <w:t>secreted and cell-surface targets.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p>
    <w:p>
      <w:pPr>
        <w:spacing w:after="0" w:line="2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VelociSuite </w:t>
      </w:r>
      <w:r>
        <w:rPr>
          <w:rFonts w:ascii="Arial" w:cs="Arial" w:eastAsia="Arial" w:hAnsi="Arial"/>
          <w:sz w:val="18"/>
          <w:szCs w:val="18"/>
          <w:color w:val="auto"/>
        </w:rPr>
        <w:t>consists of</w:t>
      </w:r>
      <w:r>
        <w:rPr>
          <w:rFonts w:ascii="Arial" w:cs="Arial" w:eastAsia="Arial" w:hAnsi="Arial"/>
          <w:sz w:val="18"/>
          <w:szCs w:val="18"/>
          <w:i w:val="1"/>
          <w:iCs w:val="1"/>
          <w:color w:val="auto"/>
        </w:rPr>
        <w:t xml:space="preserve"> 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VelociMouse</w:t>
      </w:r>
      <w:r>
        <w:rPr>
          <w:rFonts w:ascii="Arial" w:cs="Arial" w:eastAsia="Arial" w:hAnsi="Arial"/>
          <w:sz w:val="25"/>
          <w:szCs w:val="25"/>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Veloci-Bi</w:t>
      </w:r>
      <w:r>
        <w:rPr>
          <w:rFonts w:ascii="Arial" w:cs="Arial" w:eastAsia="Arial" w:hAnsi="Arial"/>
          <w:sz w:val="25"/>
          <w:szCs w:val="25"/>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VelociT™</w:t>
      </w:r>
      <w:r>
        <w:rPr>
          <w:rFonts w:ascii="Arial" w:cs="Arial" w:eastAsia="Arial" w:hAnsi="Arial"/>
          <w:sz w:val="18"/>
          <w:szCs w:val="18"/>
          <w:color w:val="auto"/>
        </w:rPr>
        <w:t>, and other related technologies. The</w:t>
      </w:r>
      <w:r>
        <w:rPr>
          <w:rFonts w:ascii="Arial" w:cs="Arial" w:eastAsia="Arial" w:hAnsi="Arial"/>
          <w:sz w:val="18"/>
          <w:szCs w:val="18"/>
          <w:i w:val="1"/>
          <w:iCs w:val="1"/>
          <w:color w:val="auto"/>
        </w:rPr>
        <w:t xml:space="preserve"> VelocImmune </w:t>
      </w:r>
      <w:r>
        <w:rPr>
          <w:rFonts w:ascii="Arial" w:cs="Arial" w:eastAsia="Arial" w:hAnsi="Arial"/>
          <w:sz w:val="18"/>
          <w:szCs w:val="18"/>
          <w:color w:val="auto"/>
        </w:rPr>
        <w:t xml:space="preserve">mouse platform is utilized to produce fully human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leveraging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efficiently to generate fully human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antibodies.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utilized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to develop a class of potential drug candidates, known as bi-specific antibodies. </w:t>
      </w:r>
      <w:r>
        <w:rPr>
          <w:rFonts w:ascii="Arial" w:cs="Arial" w:eastAsia="Arial" w:hAnsi="Arial"/>
          <w:sz w:val="18"/>
          <w:szCs w:val="18"/>
          <w:i w:val="1"/>
          <w:iCs w:val="1"/>
          <w:color w:val="auto"/>
        </w:rPr>
        <w:t>Veloci-Bi</w:t>
      </w:r>
      <w:r>
        <w:rPr>
          <w:rFonts w:ascii="Arial" w:cs="Arial" w:eastAsia="Arial" w:hAnsi="Arial"/>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Our first such CD3 bi-specific antibody, REGN1979, targets CD20. We are</w:t>
      </w:r>
    </w:p>
    <w:p>
      <w:pPr>
        <w:sectPr>
          <w:pgSz w:w="11900" w:h="16838" w:orient="portrait"/>
          <w:cols w:equalWidth="0" w:num="1">
            <w:col w:w="11420"/>
          </w:cols>
          <w:pgMar w:left="240" w:top="130"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exploring additional indications and applications for our bi-specific technologies, such as other CD3 bi-specific antibodies to MUC16 (REGN4018) and BCMA (REGN5458 and REGN5459), as well as a new class of CD28 co-stimulatory bi-specifics, including an antibody that targets PSMA (REGN5678).</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mouse extends our research and drug discovery capabilities into cell-mediated immunity and therapeutic TCRs for oncology and other indications.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was developed by using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technology to humanize genes encoding TCRa and TCRb variable sequences, CD4 and CD8 co-receptors, β2m, and class-I and -II major histocompatibility complexes. As a result, </w:t>
      </w:r>
      <w:r>
        <w:rPr>
          <w:rFonts w:ascii="Arial" w:cs="Arial" w:eastAsia="Arial" w:hAnsi="Arial"/>
          <w:sz w:val="17"/>
          <w:szCs w:val="17"/>
          <w:i w:val="1"/>
          <w:iCs w:val="1"/>
          <w:color w:val="auto"/>
        </w:rPr>
        <w:t>VelociT</w:t>
      </w:r>
      <w:r>
        <w:rPr>
          <w:rFonts w:ascii="Arial" w:cs="Arial" w:eastAsia="Arial" w:hAnsi="Arial"/>
          <w:sz w:val="17"/>
          <w:szCs w:val="17"/>
          <w:color w:val="auto"/>
        </w:rPr>
        <w:t xml:space="preserve"> mice generate fully human TCRs, providing for customized modeling of T-cell function in different diseases and a powerful platform for the discovery of unique TCR-based therapies.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Genetics Center</w:t>
      </w:r>
      <w:r>
        <w:rPr>
          <w:rFonts w:ascii="Arial" w:cs="Arial" w:eastAsia="Arial" w:hAnsi="Arial"/>
          <w:sz w:val="25"/>
          <w:szCs w:val="25"/>
          <w:b w:val="1"/>
          <w:bCs w:val="1"/>
          <w:color w:val="auto"/>
          <w:vertAlign w:val="superscript"/>
        </w:rPr>
        <w: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Regeneron Genetics Center ("RGC"), a wholly owned subsidiary of Regeneron Pharmaceuticals, Inc.,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Central to the work of RGC is a collaboration with the Geisinger Health System of Pennsylvania. Geisinger collects samples from consented patient volunteers, while RGC performs sequencing and genotyping to generate de-identified genomic data. In addition, RGC has expanded on its foundational population-based collaboration with Geisinger with a growing number of other organizations worldwide.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RGC has formed a consortium to fund the generation of genetic exome sequence data from 500,000 volunteer participants who make up the UK Biobank health resource. The current members of the consortium consist of AbbVie Inc., Alnylam Pharmaceuticals Inc., AstraZeneca PLC, Biogen Inc., Pfizer Inc., Millennium Pharmaceuticals, Inc. (a subsidiary of Takeda Pharmaceutical Company Unlimited), and Bristol-Myers Squibb. The consortium members have each committed up to $10.0 million in funding for Regeneron to sequence the UK Biobank's samples, which is performed at the RGC facility. Consortium members have a limited period of exclusive access to the sequencing data before the data are made available to other health researchers by UK Biobank.</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Researchers from the RGC discovered a potential new therapeutic target to reduce the risk of chronic liver disease and progression to more advanced stages of disease, such as nonalcoholic steatohepatitis ("NASH"), by analyzing extensive genetic sequencing data linked with electronic health records. In 2018, we announced a publication describing this discovery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which identified for the first time a variant in the HSD17B13 gene that is associated with reduced risk of, or protection from, various chronic liver diseases for which there are currently no approved therapeutics. We are collaborating with Alnylam to discover RNA interference ("RNAi") therapeutics for NASH and potentially other related diseases.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collaborating with Sanofi on the global development and commercialization of Dupixent, Praluent, Kevzara, and REGN3500 (the "Antibody Collaboration"). Under the terms of the Antibody License and Collaboration Agreement (the "LCA"), following receipt of the first positive Phase 3 trial results for a co-developed drug candidate, subsequent Phase 3 trial-related costs for that drug candidate are shared 80% by Sanofi and 20% by us. All other agreed-upon development costs incurred by both companies are funded 100% by Sanofi. We are obligated to reimburse Sanofi for 50% of worldwide development expenses that were fully funded by Sanofi and 30% of shared Phase 3 trial-related costs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2018, we and Sanofi entered into a letter agreement (the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495,948 currently remains available) of our Common Stock directly or indirectly owned by Sanofi. Refer to the "</w:t>
      </w:r>
      <w:r>
        <w:rPr>
          <w:rFonts w:ascii="Arial" w:cs="Arial" w:eastAsia="Arial" w:hAnsi="Arial"/>
          <w:sz w:val="17"/>
          <w:szCs w:val="17"/>
          <w:i w:val="1"/>
          <w:iCs w:val="1"/>
          <w:color w:val="auto"/>
        </w:rPr>
        <w:t>Immuno-Oncology</w:t>
      </w:r>
      <w:r>
        <w:rPr>
          <w:rFonts w:ascii="Arial" w:cs="Arial" w:eastAsia="Arial" w:hAnsi="Arial"/>
          <w:sz w:val="17"/>
          <w:szCs w:val="17"/>
          <w:color w:val="auto"/>
        </w:rPr>
        <w:t>" section below for further details regarding the Letter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co-commercialize such products on a country-by-country basis. We have exercised our option to co-commercialize Dupixent, Praluent, and Kevzara in the United States, and have exercised our option to co-commercialize Dupixent in certain countries outside the United States. We currently anticipate commencing co-commercialization of Dupixent outside the United States at the end of 2020.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an aggregate of $250.0 million in milestone payments upon achievement of specified aggregate annual sales of antibodies (subject to this agreement) outside the United States on a rolling twelve-month basis. The Company will be entitled to receive the first sales milestone payment from Sanofi, in the amount of $50.0 million, when such sales outside the United States exceed $1.0 billion.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we and Sanofi announced our intent to restructure the Antibody Collaboration for Kevzara and Praluent and enter into a royalty-based arrangement. Under the proposed terms of the agreement, Sanofi is expected to gain sole global rights to Kevzara and sole rights to Praluent outside of the United States. Regeneron is expected to gain sole U.S. rights to Praluent. Under the proposed terms, each party will be solely responsible for funding development and commercialization expenses in their respective territories. In connection with the proposed agreement, the Company has eliminated certain commercialization activities and related headcount. The proposed agreement, which is expected to be finalized in the first quarter of 2020, will not impact the companies' existing collaboration relating to Dupixent and REGN3500.</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us.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IO License and Collaboration Agreement, the parties are also co-developing and co-commercializing Libtayo (cemiplimab), an antibody targeting PD-1. We have principal control over the development of Libtayo, and the parties share equally, on an ongoing basis, development and commercialization expenses for Libtayo. Under the Letter Agreement, we have agreed to allow Sanofi to satisfy in whole or in part its funding obligation with respect to Libtayo development costs for the quarterly periods commencing on October 1, 2017 and ending on September 30, 2020 by selling up to an aggregate of 800,000 shares (of which 373,880 currently remains available) of our Common Stock directly or indirectly owned by Sanofi.</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Refer to the </w:t>
      </w:r>
      <w:r>
        <w:rPr>
          <w:rFonts w:ascii="Arial" w:cs="Arial" w:eastAsia="Arial" w:hAnsi="Arial"/>
          <w:sz w:val="18"/>
          <w:szCs w:val="18"/>
          <w:i w:val="1"/>
          <w:iCs w:val="1"/>
          <w:color w:val="auto"/>
        </w:rPr>
        <w:t>"Antibody"</w:t>
      </w:r>
      <w:r>
        <w:rPr>
          <w:rFonts w:ascii="Arial" w:cs="Arial" w:eastAsia="Arial" w:hAnsi="Arial"/>
          <w:sz w:val="18"/>
          <w:szCs w:val="18"/>
          <w:color w:val="auto"/>
        </w:rPr>
        <w:t xml:space="preserve"> section above for a description of share transactions related to Dupilumab/REGN3500 Eligible Investments.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Bayer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and Bayer have been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Teva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2016, we entered into a collaboration agreement with Teva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will share equally, on an ongoing basis, development costs under a global development plan. As of December 31, 2019, we had earned an aggregate of $120.0 million of development milestones from Teva,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activities and we will supply product to Teva at a tiered purchase price, which is calculated as a percentage of net sales of the product (subject to adjustment in certain circumstances).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Alnylam</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2019, we and Alnylam Pharmaceuticals, Inc.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totaling up to $150.0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has operational responsibility and final decision-making authority on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ranging from low double-digits up to 20%, to the other party based on the aggregate annual net sales of the collaboration product and the timing of the exercise of the co-funding opt-out right, subject to customary reductions. If the non-lead party does not initially opt-in to a Co-Commercialization Collaboration Agreement, the lead party has the right to take the program forward under a License Agreement structure.</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4,444,445 shares of Alnylam common stock for aggregate cash consideration of $400.0 million.</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is consistent with the financial terms contained in the form of the existing Co-Commercialization Collaboration Agreement with Alnylam.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during 2020, we expect to continue the construction of a fill/finish facility in Rensselaer, New York.</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approximately 100,000 liters of cell culture capacity at our Rensselaer facility, and are approved by the FDA and other regulatory agencies to manufacture our bulk drug materials and products. In addition, we currently have approximately 130,000 liters of cell culture capacity at our Limerick facility which has received certain manufacturing approvals by regulatory agencies, including the FDA, and is in the process of further validation, as required by regulatory authorities, for the manufacture of our bulk drug materials and products.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New Products Marketing and Planning group, a Market Research group, and a Market Access group to evaluate commercial opportunities for our targets and drug candidates, assess the competitive environment, analyze the commercial potential of our product portfolio, and prepare for market launch of new products. These groups are fully functional to support our product and product candidates that we are independently developing and/or commercializing, and work closely with our collaborators for co-developed products to create marketing plans and forecasts and to establish and execute pre-launch market development programs.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a full-service commercialization group to handle various aspects of our commercial programs. The group includes experienced professionals in the fields of marketing, communications, professional education, patient education and advocacy, reimbursement and market access, trade and distribution, commercial operations, commercial analytics, market research, and forecasting. Moreover, for our marketed products, we have hired, trained, and deployed a field-based organization including regional directors, medical specialists, and reimbursement managers, each typically with a number of years of experience in the biopharmaceutical industry in a variety of therapeutic areas including oncology, ophthalmology, inflammation, and cardiovascular. We have approximately 500 field-based employees in the United States.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sell EYLEA and Libtayo in the United States to several distributors and specialty pharmacies. We sell ARCALYST in the United States to two specialty pharmacies. Under these distribution models, the distributors and specialty pharmacies generally take physical delivery of the product. For EYLEA and Libtayo, the distributors and specialty pharmacies generally sell the product directly to healthcare providers, whereas for ARCALYST, the specialty pharmacies sell the product directly to patients. We had sales to two customers (Besse Medical, a subsidiary of AmerisourceBergen Corporation, and McKesson Corporation) that each accounted for more than 10% of total gross product revenue for the year ended December 31, 2019. On a combined basis, our product sales to these customers accounted for approximately 90% of our gross product revenue for the year ended December 31, 2019. We are also a party to collaboration agreements with Bayer and Sanofi, whereby our collaborator is responsible for recording product sales of EYLEA outside the United States and global sales of Dupixent, Praluent, and Kevzara, respectively (refer to "Collaboration Agreements" section above for additional information).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substantial competition from pharmaceutical, biotechnology, and chemical companies. Many of our competitors have substantially greater research, preclinical and clinical product development,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or biotechnology companies. Even if we are able to commercialize additional product candidates, one or more of our competitors may have brought a competitive product to market earlier than us or may have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table below provides an overview of the current competitive landscape for the key products marketed by us and/or our collaborators under our collaboration agreements with them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 products and product candidates is subject to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competition.</w:t>
      </w:r>
      <w:r>
        <w:rPr>
          <w:rFonts w:ascii="Arial" w:cs="Arial" w:eastAsia="Arial" w:hAnsi="Arial"/>
          <w:sz w:val="18"/>
          <w:szCs w:val="18"/>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Marketed Product</w:t>
            </w:r>
          </w:p>
        </w:tc>
        <w:tc>
          <w:tcPr>
            <w:tcW w:w="12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Competitor Product</w:t>
            </w:r>
          </w:p>
        </w:tc>
        <w:tc>
          <w:tcPr>
            <w:tcW w:w="120" w:type="dxa"/>
            <w:vAlign w:val="bottom"/>
            <w:tcBorders>
              <w:bottom w:val="single" w:sz="8" w:color="CCEEFF"/>
            </w:tcBorders>
          </w:tcPr>
          <w:p>
            <w:pPr>
              <w:spacing w:after="0"/>
              <w:rPr>
                <w:sz w:val="24"/>
                <w:szCs w:val="24"/>
                <w:color w:val="auto"/>
              </w:rPr>
            </w:pPr>
          </w:p>
        </w:tc>
        <w:tc>
          <w:tcPr>
            <w:tcW w:w="24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Competitor</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Indication</w:t>
            </w:r>
          </w:p>
        </w:tc>
        <w:tc>
          <w:tcPr>
            <w:tcW w:w="1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Territory</w:t>
            </w:r>
            <w:r>
              <w:rPr>
                <w:rFonts w:ascii="Arial" w:cs="Arial" w:eastAsia="Arial" w:hAnsi="Arial"/>
                <w:sz w:val="25"/>
                <w:szCs w:val="25"/>
                <w:b w:val="1"/>
                <w:bCs w:val="1"/>
                <w:color w:val="auto"/>
                <w:vertAlign w:val="superscript"/>
              </w:rPr>
              <w:t>(1)</w:t>
            </w: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Novartis AG and</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 macular</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edema following RVO</w:t>
            </w:r>
          </w:p>
        </w:tc>
        <w:tc>
          <w:tcPr>
            <w:tcW w:w="18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(including CRVO and</w:t>
            </w:r>
          </w:p>
        </w:tc>
        <w:tc>
          <w:tcPr>
            <w:tcW w:w="18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BRVO), diabetic</w:t>
            </w:r>
          </w:p>
        </w:tc>
        <w:tc>
          <w:tcPr>
            <w:tcW w:w="18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retinopathy, mCNV, and</w:t>
            </w:r>
          </w:p>
        </w:tc>
        <w:tc>
          <w:tcPr>
            <w:tcW w:w="18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ROP</w:t>
            </w:r>
          </w:p>
        </w:tc>
        <w:tc>
          <w:tcPr>
            <w:tcW w:w="1800" w:type="dxa"/>
            <w:vAlign w:val="bottom"/>
            <w:shd w:val="clear" w:color="auto" w:fill="CCEEFF"/>
          </w:tcPr>
          <w:p>
            <w:pPr>
              <w:spacing w:after="0"/>
              <w:rPr>
                <w:sz w:val="20"/>
                <w:szCs w:val="20"/>
                <w:color w:val="auto"/>
              </w:rPr>
            </w:pPr>
          </w:p>
        </w:tc>
      </w:tr>
      <w:tr>
        <w:trPr>
          <w:trHeight w:val="256"/>
        </w:trPr>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12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 and</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(off-label and repackaged)</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macular edema following</w:t>
            </w:r>
          </w:p>
        </w:tc>
        <w:tc>
          <w:tcPr>
            <w:tcW w:w="18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RVO</w:t>
            </w:r>
          </w:p>
        </w:tc>
        <w:tc>
          <w:tcPr>
            <w:tcW w:w="1800" w:type="dxa"/>
            <w:vAlign w:val="bottom"/>
            <w:shd w:val="clear" w:color="auto" w:fill="CCEEFF"/>
          </w:tcPr>
          <w:p>
            <w:pPr>
              <w:spacing w:after="0"/>
              <w:rPr>
                <w:sz w:val="20"/>
                <w:szCs w:val="20"/>
                <w:color w:val="auto"/>
              </w:rPr>
            </w:pPr>
          </w:p>
        </w:tc>
      </w:tr>
      <w:tr>
        <w:trPr>
          <w:trHeight w:val="297"/>
        </w:trPr>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Beovu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(brolucizumab)</w:t>
            </w: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2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r>
      <w:tr>
        <w:trPr>
          <w:trHeight w:val="229"/>
        </w:trPr>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Ozurdex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(dexamethasone</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Allergan, PLC</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DME, RVO</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30"/>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56"/>
        </w:trPr>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Iluvien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(fluocinolone acetonide</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Alimera Sciences, Inc.</w:t>
            </w:r>
          </w:p>
        </w:tc>
        <w:tc>
          <w:tcPr>
            <w:tcW w:w="12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DME</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30"/>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56"/>
        </w:trPr>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Conbercept</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Chengdu Kanghong</w:t>
            </w:r>
          </w:p>
        </w:tc>
        <w:tc>
          <w:tcPr>
            <w:tcW w:w="12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mCNV</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China</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Pharmaceutical Group Co., Ltd.</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Dupixent</w:t>
            </w:r>
          </w:p>
        </w:tc>
        <w:tc>
          <w:tcPr>
            <w:tcW w:w="120" w:type="dxa"/>
            <w:vAlign w:val="bottom"/>
          </w:tcPr>
          <w:p>
            <w:pPr>
              <w:spacing w:after="0"/>
              <w:rPr>
                <w:sz w:val="19"/>
                <w:szCs w:val="19"/>
                <w:color w:val="auto"/>
              </w:rPr>
            </w:pPr>
          </w:p>
        </w:tc>
        <w:tc>
          <w:tcPr>
            <w:tcW w:w="2620" w:type="dxa"/>
            <w:vAlign w:val="bottom"/>
          </w:tcPr>
          <w:p>
            <w:pPr>
              <w:ind w:left="20"/>
              <w:spacing w:after="0" w:line="228" w:lineRule="exact"/>
              <w:rPr>
                <w:sz w:val="20"/>
                <w:szCs w:val="20"/>
                <w:color w:val="auto"/>
              </w:rPr>
            </w:pPr>
            <w:r>
              <w:rPr>
                <w:rFonts w:ascii="Arial" w:cs="Arial" w:eastAsia="Arial" w:hAnsi="Arial"/>
                <w:sz w:val="18"/>
                <w:szCs w:val="18"/>
                <w:color w:val="auto"/>
              </w:rPr>
              <w:t>Eucrisa</w:t>
            </w:r>
            <w:r>
              <w:rPr>
                <w:rFonts w:ascii="Arial" w:cs="Arial" w:eastAsia="Arial" w:hAnsi="Arial"/>
                <w:sz w:val="25"/>
                <w:szCs w:val="25"/>
                <w:color w:val="auto"/>
                <w:vertAlign w:val="superscript"/>
              </w:rPr>
              <w:t>®</w:t>
            </w:r>
          </w:p>
        </w:tc>
        <w:tc>
          <w:tcPr>
            <w:tcW w:w="1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Pfizer</w:t>
            </w:r>
          </w:p>
        </w:tc>
        <w:tc>
          <w:tcPr>
            <w:tcW w:w="120" w:type="dxa"/>
            <w:vAlign w:val="bottom"/>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Mild-to-moderate atopic</w:t>
            </w:r>
          </w:p>
        </w:tc>
        <w:tc>
          <w:tcPr>
            <w:tcW w:w="180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(crisaborole)</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dermatitis</w:t>
            </w:r>
          </w:p>
        </w:tc>
        <w:tc>
          <w:tcPr>
            <w:tcW w:w="1800" w:type="dxa"/>
            <w:vAlign w:val="bottom"/>
          </w:tcPr>
          <w:p>
            <w:pPr>
              <w:spacing w:after="0"/>
              <w:rPr>
                <w:sz w:val="20"/>
                <w:szCs w:val="20"/>
                <w:color w:val="auto"/>
              </w:rPr>
            </w:pPr>
          </w:p>
        </w:tc>
      </w:tr>
      <w:tr>
        <w:trPr>
          <w:trHeight w:val="310"/>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Xolair</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Roche/Novartis</w:t>
            </w:r>
          </w:p>
        </w:tc>
        <w:tc>
          <w:tcPr>
            <w:tcW w:w="1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0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(omalizumab)</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10"/>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w:t>
            </w:r>
          </w:p>
        </w:tc>
        <w:tc>
          <w:tcPr>
            <w:tcW w:w="12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GlaxoSmithKline ("GSK")</w:t>
            </w:r>
          </w:p>
        </w:tc>
        <w:tc>
          <w:tcPr>
            <w:tcW w:w="1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0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20"/>
              <w:spacing w:after="0" w:line="270" w:lineRule="exact"/>
              <w:rPr>
                <w:sz w:val="20"/>
                <w:szCs w:val="20"/>
                <w:color w:val="auto"/>
              </w:rPr>
            </w:pPr>
            <w:r>
              <w:rPr>
                <w:rFonts w:ascii="Arial" w:cs="Arial" w:eastAsia="Arial" w:hAnsi="Arial"/>
                <w:sz w:val="18"/>
                <w:szCs w:val="18"/>
                <w:color w:val="auto"/>
              </w:rPr>
              <w:t>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w:t>
            </w:r>
          </w:p>
        </w:tc>
        <w:tc>
          <w:tcPr>
            <w:tcW w:w="120" w:type="dxa"/>
            <w:vAlign w:val="bottom"/>
          </w:tcPr>
          <w:p>
            <w:pPr>
              <w:spacing w:after="0"/>
              <w:rPr>
                <w:sz w:val="23"/>
                <w:szCs w:val="23"/>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Teva</w:t>
            </w:r>
          </w:p>
        </w:tc>
        <w:tc>
          <w:tcPr>
            <w:tcW w:w="1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00" w:type="dxa"/>
            <w:vAlign w:val="bottom"/>
          </w:tcPr>
          <w:p>
            <w:pPr>
              <w:ind w:left="40"/>
              <w:spacing w:after="0"/>
              <w:rPr>
                <w:sz w:val="20"/>
                <w:szCs w:val="20"/>
                <w:color w:val="auto"/>
              </w:rPr>
            </w:pPr>
            <w:r>
              <w:rPr>
                <w:rFonts w:ascii="Arial" w:cs="Arial" w:eastAsia="Arial" w:hAnsi="Arial"/>
                <w:sz w:val="18"/>
                <w:szCs w:val="18"/>
                <w:color w:val="auto"/>
              </w:rPr>
              <w:t>United States, EU</w:t>
            </w:r>
          </w:p>
        </w:tc>
      </w:tr>
      <w:tr>
        <w:trPr>
          <w:trHeight w:val="311"/>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Fasenra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(benralizumab)</w:t>
            </w:r>
          </w:p>
        </w:tc>
        <w:tc>
          <w:tcPr>
            <w:tcW w:w="12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0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Merck &amp; Co., Inc.</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cancers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Opdivo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(nivolumab)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cancers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cancers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cancers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Bavencio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(avelumab)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Pfizer/Merck KGaA</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cancers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Praluent</w:t>
            </w:r>
          </w:p>
        </w:tc>
        <w:tc>
          <w:tcPr>
            <w:tcW w:w="120" w:type="dxa"/>
            <w:vAlign w:val="bottom"/>
          </w:tcPr>
          <w:p>
            <w:pPr>
              <w:spacing w:after="0"/>
              <w:rPr>
                <w:sz w:val="19"/>
                <w:szCs w:val="19"/>
                <w:color w:val="auto"/>
              </w:rPr>
            </w:pPr>
          </w:p>
        </w:tc>
        <w:tc>
          <w:tcPr>
            <w:tcW w:w="2620" w:type="dxa"/>
            <w:vAlign w:val="bottom"/>
          </w:tcPr>
          <w:p>
            <w:pPr>
              <w:ind w:left="20"/>
              <w:spacing w:after="0" w:line="228" w:lineRule="exact"/>
              <w:rPr>
                <w:sz w:val="20"/>
                <w:szCs w:val="20"/>
                <w:color w:val="auto"/>
              </w:rPr>
            </w:pPr>
            <w:r>
              <w:rPr>
                <w:rFonts w:ascii="Arial" w:cs="Arial" w:eastAsia="Arial" w:hAnsi="Arial"/>
                <w:sz w:val="18"/>
                <w:szCs w:val="18"/>
                <w:color w:val="auto"/>
              </w:rPr>
              <w:t>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(evolocumab)</w:t>
            </w:r>
          </w:p>
        </w:tc>
        <w:tc>
          <w:tcPr>
            <w:tcW w:w="1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Amgen</w:t>
            </w:r>
          </w:p>
        </w:tc>
        <w:tc>
          <w:tcPr>
            <w:tcW w:w="120" w:type="dxa"/>
            <w:vAlign w:val="bottom"/>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(1) Reduce the risk of</w:t>
            </w:r>
          </w:p>
        </w:tc>
        <w:tc>
          <w:tcPr>
            <w:tcW w:w="180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myocardial infarction,</w:t>
            </w:r>
          </w:p>
        </w:tc>
        <w:tc>
          <w:tcPr>
            <w:tcW w:w="18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stroke, and coronary</w:t>
            </w:r>
          </w:p>
        </w:tc>
        <w:tc>
          <w:tcPr>
            <w:tcW w:w="18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revascularization in adults</w:t>
            </w:r>
          </w:p>
        </w:tc>
        <w:tc>
          <w:tcPr>
            <w:tcW w:w="18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with established</w:t>
            </w:r>
          </w:p>
        </w:tc>
        <w:tc>
          <w:tcPr>
            <w:tcW w:w="18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w w:val="96"/>
              </w:rPr>
              <w:t>cardiovascular disease, (2)</w:t>
            </w:r>
          </w:p>
        </w:tc>
        <w:tc>
          <w:tcPr>
            <w:tcW w:w="18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primary hyperlipidemia,</w:t>
            </w:r>
          </w:p>
        </w:tc>
        <w:tc>
          <w:tcPr>
            <w:tcW w:w="18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and (3) HoFH</w:t>
            </w:r>
          </w:p>
        </w:tc>
        <w:tc>
          <w:tcPr>
            <w:tcW w:w="180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Genentech/Roche/ Chugai</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30"/>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 Co., Ltd.</w:t>
            </w: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97"/>
        </w:trPr>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Orencia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(abatacept)</w:t>
            </w: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Bristol-Myers Squibb</w:t>
            </w:r>
          </w:p>
        </w:tc>
        <w:tc>
          <w:tcPr>
            <w:tcW w:w="120" w:type="dxa"/>
            <w:vAlign w:val="bottom"/>
            <w:shd w:val="clear" w:color="auto" w:fill="CCEEFF"/>
          </w:tcPr>
          <w:p>
            <w:pPr>
              <w:spacing w:after="0"/>
              <w:rPr>
                <w:sz w:val="24"/>
                <w:szCs w:val="24"/>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Olumiant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(baricitinib)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 Lilly/Incyte</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Rinvoq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(upadacitinib)</w:t>
            </w:r>
          </w:p>
        </w:tc>
        <w:tc>
          <w:tcPr>
            <w:tcW w:w="120" w:type="dxa"/>
            <w:vAlign w:val="bottom"/>
            <w:shd w:val="clear" w:color="auto" w:fill="CCEEFF"/>
          </w:tcPr>
          <w:p>
            <w:pPr>
              <w:spacing w:after="0"/>
              <w:rPr>
                <w:sz w:val="23"/>
                <w:szCs w:val="2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Worldwide</w:t>
            </w:r>
          </w:p>
        </w:tc>
      </w:tr>
    </w:tbl>
    <w:p>
      <w:pPr>
        <w:spacing w:after="0" w:line="143" w:lineRule="exact"/>
        <w:rPr>
          <w:sz w:val="20"/>
          <w:szCs w:val="20"/>
          <w:color w:val="auto"/>
        </w:rPr>
      </w:pPr>
    </w:p>
    <w:p>
      <w:pPr>
        <w:ind w:left="400" w:hanging="142"/>
        <w:spacing w:after="0"/>
        <w:tabs>
          <w:tab w:leader="none" w:pos="400" w:val="left"/>
        </w:tabs>
        <w:numPr>
          <w:ilvl w:val="0"/>
          <w:numId w:val="14"/>
        </w:numPr>
        <w:rPr>
          <w:rFonts w:ascii="Arial" w:cs="Arial" w:eastAsia="Arial" w:hAnsi="Arial"/>
          <w:sz w:val="9"/>
          <w:szCs w:val="9"/>
          <w:color w:val="auto"/>
        </w:rPr>
      </w:pPr>
      <w:r>
        <w:rPr>
          <w:rFonts w:ascii="Arial" w:cs="Arial" w:eastAsia="Arial" w:hAnsi="Arial"/>
          <w:sz w:val="14"/>
          <w:szCs w:val="14"/>
          <w:color w:val="auto"/>
        </w:rPr>
        <w:t>This table focuses primarily on the United States, EU, and Japan. "Worldwide" indicates that the relevant product is approved in at least the United States, EU, and Japan.</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30" w:right="2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Antibodies in Development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antibody-based clinical candidates in development are all fully-human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clinical candidates face competition from many pharmaceutical and biotechnology companies using various technologies. Numerous other companies are developing therapeutic antibody products. Companies have generated therapeutic products that are currently in development or on the market that are derived from recombinant DNA that comprise human antibody sequences. We are also aware of several companies developing or marketing small molecules that may compete with our antibody product candidates in various indications, if such product candidates obtain regulatory approval in those indications.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 additional information regarding our antibody programs and the substantial competition they face,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and product candidates is subject to significant competition</w:t>
      </w:r>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Areas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may have established substantial intellectual property and other competitive advantages.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and/or 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 and Note 16 to our Consolidated Financial Statements). Our policy is to file patent applications to protect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2020 and 2030. However, we continue to file patent applications directed to improvements to these technology platforms.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describes our U.S. patents and European patents ("EP") that we currently consider of primary importance to our marketed products, including the territory, patent number, general subject matter class, and expected expiration dates. The noted expiration dates include any patent term adjustments. Certain of these patents may also be entitled to term extensions. We continue</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are not separately listed.</w:t>
      </w:r>
    </w:p>
    <w:p>
      <w:pPr>
        <w:spacing w:after="0" w:line="39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General Subject Matter</w:t>
            </w:r>
          </w:p>
        </w:tc>
        <w:tc>
          <w:tcPr>
            <w:tcW w:w="2180" w:type="dxa"/>
            <w:vAlign w:val="bottom"/>
          </w:tcPr>
          <w:p>
            <w:pPr>
              <w:spacing w:after="0"/>
              <w:rPr>
                <w:sz w:val="18"/>
                <w:szCs w:val="18"/>
                <w:color w:val="auto"/>
              </w:rPr>
            </w:pPr>
          </w:p>
        </w:tc>
      </w:tr>
      <w:tr>
        <w:trPr>
          <w:trHeight w:val="234"/>
        </w:trPr>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20"/>
                <w:szCs w:val="20"/>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20"/>
                <w:szCs w:val="20"/>
                <w:color w:val="auto"/>
              </w:rPr>
            </w:pP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Patent No.</w:t>
            </w:r>
          </w:p>
        </w:tc>
        <w:tc>
          <w:tcPr>
            <w:tcW w:w="100" w:type="dxa"/>
            <w:vAlign w:val="bottom"/>
          </w:tcPr>
          <w:p>
            <w:pPr>
              <w:spacing w:after="0"/>
              <w:rPr>
                <w:sz w:val="20"/>
                <w:szCs w:val="20"/>
                <w:color w:val="auto"/>
              </w:rPr>
            </w:pPr>
          </w:p>
        </w:tc>
        <w:tc>
          <w:tcPr>
            <w:tcW w:w="2300" w:type="dxa"/>
            <w:vAlign w:val="bottom"/>
            <w:gridSpan w:val="2"/>
          </w:tcPr>
          <w:p>
            <w:pPr>
              <w:ind w:left="880"/>
              <w:spacing w:after="0"/>
              <w:rPr>
                <w:sz w:val="20"/>
                <w:szCs w:val="20"/>
                <w:color w:val="auto"/>
              </w:rPr>
            </w:pPr>
            <w:r>
              <w:rPr>
                <w:rFonts w:ascii="Arial" w:cs="Arial" w:eastAsia="Arial" w:hAnsi="Arial"/>
                <w:sz w:val="18"/>
                <w:szCs w:val="18"/>
                <w:b w:val="1"/>
                <w:bCs w:val="1"/>
                <w:color w:val="auto"/>
              </w:rPr>
              <w:t>Class</w:t>
            </w:r>
          </w:p>
        </w:tc>
        <w:tc>
          <w:tcPr>
            <w:tcW w:w="2180" w:type="dxa"/>
            <w:vAlign w:val="bottom"/>
          </w:tcPr>
          <w:p>
            <w:pPr>
              <w:ind w:left="660"/>
              <w:spacing w:after="0"/>
              <w:rPr>
                <w:sz w:val="20"/>
                <w:szCs w:val="20"/>
                <w:color w:val="auto"/>
              </w:rPr>
            </w:pPr>
            <w:r>
              <w:rPr>
                <w:rFonts w:ascii="Arial" w:cs="Arial" w:eastAsia="Arial" w:hAnsi="Arial"/>
                <w:sz w:val="18"/>
                <w:szCs w:val="18"/>
                <w:b w:val="1"/>
                <w:bCs w:val="1"/>
                <w:color w:val="auto"/>
              </w:rPr>
              <w:t>Expiration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aflibercept</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7,070,959</w:t>
            </w:r>
          </w:p>
        </w:tc>
        <w:tc>
          <w:tcPr>
            <w:tcW w:w="10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June 16, 2023</w:t>
            </w:r>
            <w:r>
              <w:rPr>
                <w:rFonts w:ascii="Arial" w:cs="Arial" w:eastAsia="Arial" w:hAnsi="Arial"/>
                <w:sz w:val="25"/>
                <w:szCs w:val="25"/>
                <w:color w:val="auto"/>
                <w:vertAlign w:val="superscript"/>
              </w:rPr>
              <w:t>*</w:t>
            </w:r>
          </w:p>
        </w:tc>
      </w:tr>
      <w:tr>
        <w:trPr>
          <w:trHeight w:val="243"/>
        </w:trPr>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8,092,803</w:t>
            </w:r>
          </w:p>
        </w:tc>
        <w:tc>
          <w:tcPr>
            <w:tcW w:w="1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2027</w:t>
            </w: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9,254,338</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22, 2032</w:t>
            </w: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10,406,226</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 of Manufacturing</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22, 2026</w:t>
            </w:r>
          </w:p>
        </w:tc>
      </w:tr>
      <w:tr>
        <w:trPr>
          <w:trHeight w:val="297"/>
        </w:trPr>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1183353</w:t>
            </w:r>
          </w:p>
        </w:tc>
        <w:tc>
          <w:tcPr>
            <w:tcW w:w="100" w:type="dxa"/>
            <w:vAlign w:val="bottom"/>
            <w:shd w:val="clear" w:color="auto" w:fill="CCEEFF"/>
          </w:tcPr>
          <w:p>
            <w:pPr>
              <w:spacing w:after="0"/>
              <w:rPr>
                <w:sz w:val="24"/>
                <w:szCs w:val="24"/>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23, 2020</w:t>
            </w:r>
            <w:r>
              <w:rPr>
                <w:rFonts w:ascii="Arial" w:cs="Arial" w:eastAsia="Arial" w:hAnsi="Arial"/>
                <w:sz w:val="25"/>
                <w:szCs w:val="25"/>
                <w:color w:val="auto"/>
                <w:vertAlign w:val="superscript"/>
              </w:rPr>
              <w:t>**</w:t>
            </w: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1183353</w:t>
            </w: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Protection</w:t>
            </w:r>
          </w:p>
        </w:tc>
        <w:tc>
          <w:tcPr>
            <w:tcW w:w="21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(May 23, 2025)</w:t>
            </w:r>
            <w:r>
              <w:rPr>
                <w:rFonts w:ascii="Arial" w:cs="Arial" w:eastAsia="Arial" w:hAnsi="Arial"/>
                <w:sz w:val="25"/>
                <w:szCs w:val="25"/>
                <w:color w:val="auto"/>
                <w:vertAlign w:val="superscript"/>
              </w:rPr>
              <w:t>**</w:t>
            </w:r>
          </w:p>
        </w:tc>
      </w:tr>
      <w:tr>
        <w:trPr>
          <w:trHeight w:val="230"/>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180" w:type="dxa"/>
            <w:vAlign w:val="bottom"/>
            <w:shd w:val="clear" w:color="auto" w:fill="CCEEFF"/>
          </w:tcPr>
          <w:p>
            <w:pPr>
              <w:spacing w:after="0"/>
              <w:rPr>
                <w:sz w:val="20"/>
                <w:szCs w:val="20"/>
                <w:color w:val="auto"/>
              </w:rPr>
            </w:pP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2364691</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r>
      <w:tr>
        <w:trPr>
          <w:trHeight w:val="277"/>
        </w:trPr>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1544299</w:t>
            </w:r>
          </w:p>
        </w:tc>
        <w:tc>
          <w:tcPr>
            <w:tcW w:w="10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23, 2020</w:t>
            </w:r>
          </w:p>
        </w:tc>
      </w:tr>
      <w:tr>
        <w:trPr>
          <w:trHeight w:val="283"/>
        </w:trPr>
        <w:tc>
          <w:tcPr>
            <w:tcW w:w="1200" w:type="dxa"/>
            <w:vAlign w:val="bottom"/>
          </w:tcPr>
          <w:p>
            <w:pPr>
              <w:ind w:left="20"/>
              <w:spacing w:after="0" w:line="283" w:lineRule="exact"/>
              <w:rPr>
                <w:sz w:val="20"/>
                <w:szCs w:val="20"/>
                <w:color w:val="auto"/>
              </w:rPr>
            </w:pPr>
            <w:r>
              <w:rPr>
                <w:rFonts w:ascii="Arial" w:cs="Arial" w:eastAsia="Arial" w:hAnsi="Arial"/>
                <w:sz w:val="18"/>
                <w:szCs w:val="18"/>
                <w:color w:val="auto"/>
              </w:rPr>
              <w:t>Dupixent</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dupilumab</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7,608,693</w:t>
            </w:r>
          </w:p>
        </w:tc>
        <w:tc>
          <w:tcPr>
            <w:tcW w:w="10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Pr>
          <w:p>
            <w:pPr>
              <w:ind w:left="20"/>
              <w:spacing w:after="0" w:line="283" w:lineRule="exact"/>
              <w:rPr>
                <w:sz w:val="20"/>
                <w:szCs w:val="20"/>
                <w:color w:val="auto"/>
              </w:rPr>
            </w:pPr>
            <w:r>
              <w:rPr>
                <w:rFonts w:ascii="Arial" w:cs="Arial" w:eastAsia="Arial" w:hAnsi="Arial"/>
                <w:sz w:val="18"/>
                <w:szCs w:val="18"/>
                <w:color w:val="auto"/>
              </w:rPr>
              <w:t>March 28, 2031</w:t>
            </w:r>
            <w:r>
              <w:rPr>
                <w:rFonts w:ascii="Arial" w:cs="Arial" w:eastAsia="Arial" w:hAnsi="Arial"/>
                <w:sz w:val="25"/>
                <w:szCs w:val="25"/>
                <w:color w:val="auto"/>
                <w:vertAlign w:val="superscript"/>
              </w:rPr>
              <w:t>****</w:t>
            </w: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8,945,559</w:t>
            </w:r>
          </w:p>
        </w:tc>
        <w:tc>
          <w:tcPr>
            <w:tcW w:w="1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180" w:type="dxa"/>
            <w:vAlign w:val="bottom"/>
          </w:tcPr>
          <w:p>
            <w:pPr>
              <w:ind w:left="20"/>
              <w:spacing w:after="0"/>
              <w:rPr>
                <w:sz w:val="20"/>
                <w:szCs w:val="20"/>
                <w:color w:val="auto"/>
              </w:rPr>
            </w:pPr>
            <w:r>
              <w:rPr>
                <w:rFonts w:ascii="Arial" w:cs="Arial" w:eastAsia="Arial" w:hAnsi="Arial"/>
                <w:sz w:val="18"/>
                <w:szCs w:val="18"/>
                <w:color w:val="auto"/>
              </w:rPr>
              <w:t>October 17, 2032</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8,075,887</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April 17, 2028</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8,337,839</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October 2, 2027</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9,290,574</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July 10, 2034</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9,574,004</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22, 2033</w:t>
            </w:r>
          </w:p>
        </w:tc>
      </w:tr>
      <w:tr>
        <w:trPr>
          <w:trHeight w:val="310"/>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0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Pr>
          <w:p>
            <w:pPr>
              <w:ind w:left="20"/>
              <w:spacing w:after="0"/>
              <w:rPr>
                <w:sz w:val="20"/>
                <w:szCs w:val="20"/>
                <w:color w:val="auto"/>
              </w:rPr>
            </w:pPr>
            <w:r>
              <w:rPr>
                <w:rFonts w:ascii="Arial" w:cs="Arial" w:eastAsia="Arial" w:hAnsi="Arial"/>
                <w:sz w:val="18"/>
                <w:szCs w:val="18"/>
                <w:color w:val="auto"/>
              </w:rPr>
              <w:t>October 27, 2029</w:t>
            </w:r>
            <w:r>
              <w:rPr>
                <w:rFonts w:ascii="Arial" w:cs="Arial" w:eastAsia="Arial" w:hAnsi="Arial"/>
                <w:sz w:val="25"/>
                <w:szCs w:val="25"/>
                <w:color w:val="auto"/>
                <w:vertAlign w:val="superscript"/>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0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Supplementary Protection</w:t>
            </w:r>
          </w:p>
        </w:tc>
        <w:tc>
          <w:tcPr>
            <w:tcW w:w="2180" w:type="dxa"/>
            <w:vAlign w:val="bottom"/>
          </w:tcPr>
          <w:p>
            <w:pPr>
              <w:ind w:left="20"/>
              <w:spacing w:after="0" w:line="216" w:lineRule="exact"/>
              <w:rPr>
                <w:sz w:val="20"/>
                <w:szCs w:val="20"/>
                <w:color w:val="auto"/>
              </w:rPr>
            </w:pPr>
            <w:r>
              <w:rPr>
                <w:rFonts w:ascii="Arial" w:cs="Arial" w:eastAsia="Arial" w:hAnsi="Arial"/>
                <w:sz w:val="18"/>
                <w:szCs w:val="18"/>
                <w:color w:val="auto"/>
              </w:rPr>
              <w:t>(September 28, 2032)</w:t>
            </w:r>
            <w:r>
              <w:rPr>
                <w:rFonts w:ascii="Arial" w:cs="Arial" w:eastAsia="Arial" w:hAnsi="Arial"/>
                <w:sz w:val="25"/>
                <w:szCs w:val="25"/>
                <w:color w:val="auto"/>
                <w:vertAlign w:val="superscript"/>
              </w:rPr>
              <w:t>**</w:t>
            </w: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18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cemiplimab</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9,987,500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18, 2035</w:t>
            </w:r>
          </w:p>
        </w:tc>
      </w:tr>
      <w:tr>
        <w:trPr>
          <w:trHeight w:val="283"/>
        </w:trPr>
        <w:tc>
          <w:tcPr>
            <w:tcW w:w="1200" w:type="dxa"/>
            <w:vAlign w:val="bottom"/>
          </w:tcPr>
          <w:p>
            <w:pPr>
              <w:ind w:left="20"/>
              <w:spacing w:after="0" w:line="283" w:lineRule="exact"/>
              <w:rPr>
                <w:sz w:val="20"/>
                <w:szCs w:val="20"/>
                <w:color w:val="auto"/>
              </w:rPr>
            </w:pPr>
            <w:r>
              <w:rPr>
                <w:rFonts w:ascii="Arial" w:cs="Arial" w:eastAsia="Arial" w:hAnsi="Arial"/>
                <w:sz w:val="18"/>
                <w:szCs w:val="18"/>
                <w:color w:val="auto"/>
              </w:rPr>
              <w:t>Praluent</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alirocumab</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8,062,640</w:t>
            </w:r>
          </w:p>
        </w:tc>
        <w:tc>
          <w:tcPr>
            <w:tcW w:w="10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15, 2029</w:t>
            </w: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10,023,654</w:t>
            </w:r>
          </w:p>
        </w:tc>
        <w:tc>
          <w:tcPr>
            <w:tcW w:w="1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15, 2029</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10,472,425</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180" w:type="dxa"/>
            <w:vAlign w:val="bottom"/>
          </w:tcPr>
          <w:p>
            <w:pPr>
              <w:ind w:left="20"/>
              <w:spacing w:after="0"/>
              <w:rPr>
                <w:sz w:val="20"/>
                <w:szCs w:val="20"/>
                <w:color w:val="auto"/>
              </w:rPr>
            </w:pPr>
            <w:r>
              <w:rPr>
                <w:rFonts w:ascii="Arial" w:cs="Arial" w:eastAsia="Arial" w:hAnsi="Arial"/>
                <w:sz w:val="18"/>
                <w:szCs w:val="18"/>
                <w:color w:val="auto"/>
              </w:rPr>
              <w:t>July 27, 2032</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8,357,371</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21, 2029</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9,550,837</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15, 2029</w:t>
            </w:r>
          </w:p>
        </w:tc>
      </w:tr>
      <w:tr>
        <w:trPr>
          <w:trHeight w:val="270"/>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9,724,411</w:t>
            </w:r>
          </w:p>
        </w:tc>
        <w:tc>
          <w:tcPr>
            <w:tcW w:w="10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tcPr>
          <w:p>
            <w:pPr>
              <w:ind w:left="20"/>
              <w:spacing w:after="0"/>
              <w:rPr>
                <w:sz w:val="20"/>
                <w:szCs w:val="20"/>
                <w:color w:val="auto"/>
              </w:rPr>
            </w:pPr>
            <w:r>
              <w:rPr>
                <w:rFonts w:ascii="Arial" w:cs="Arial" w:eastAsia="Arial" w:hAnsi="Arial"/>
                <w:sz w:val="18"/>
                <w:szCs w:val="18"/>
                <w:color w:val="auto"/>
              </w:rPr>
              <w:t>January 15, 2031</w:t>
            </w:r>
          </w:p>
        </w:tc>
      </w:tr>
      <w:tr>
        <w:trPr>
          <w:trHeight w:val="310"/>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2358756</w:t>
            </w:r>
          </w:p>
        </w:tc>
        <w:tc>
          <w:tcPr>
            <w:tcW w:w="10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tcPr>
          <w:p>
            <w:pPr>
              <w:ind w:left="20"/>
              <w:spacing w:after="0"/>
              <w:rPr>
                <w:sz w:val="20"/>
                <w:szCs w:val="20"/>
                <w:color w:val="auto"/>
              </w:rPr>
            </w:pPr>
            <w:r>
              <w:rPr>
                <w:rFonts w:ascii="Arial" w:cs="Arial" w:eastAsia="Arial" w:hAnsi="Arial"/>
                <w:sz w:val="18"/>
                <w:szCs w:val="18"/>
                <w:color w:val="auto"/>
              </w:rPr>
              <w:t>December 15, 2029</w:t>
            </w:r>
            <w:r>
              <w:rPr>
                <w:rFonts w:ascii="Arial" w:cs="Arial" w:eastAsia="Arial" w:hAnsi="Arial"/>
                <w:sz w:val="25"/>
                <w:szCs w:val="25"/>
                <w:color w:val="auto"/>
                <w:vertAlign w:val="superscript"/>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2358756</w:t>
            </w:r>
          </w:p>
        </w:tc>
        <w:tc>
          <w:tcPr>
            <w:tcW w:w="10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Supplementary Protection</w:t>
            </w:r>
          </w:p>
        </w:tc>
        <w:tc>
          <w:tcPr>
            <w:tcW w:w="2180" w:type="dxa"/>
            <w:vAlign w:val="bottom"/>
          </w:tcPr>
          <w:p>
            <w:pPr>
              <w:ind w:left="20"/>
              <w:spacing w:after="0" w:line="216" w:lineRule="exact"/>
              <w:rPr>
                <w:sz w:val="20"/>
                <w:szCs w:val="20"/>
                <w:color w:val="auto"/>
              </w:rPr>
            </w:pPr>
            <w:r>
              <w:rPr>
                <w:rFonts w:ascii="Arial" w:cs="Arial" w:eastAsia="Arial" w:hAnsi="Arial"/>
                <w:sz w:val="18"/>
                <w:szCs w:val="18"/>
                <w:color w:val="auto"/>
              </w:rPr>
              <w:t>(September 25, 2030)</w:t>
            </w:r>
            <w:r>
              <w:rPr>
                <w:rFonts w:ascii="Arial" w:cs="Arial" w:eastAsia="Arial" w:hAnsi="Arial"/>
                <w:sz w:val="25"/>
                <w:szCs w:val="25"/>
                <w:color w:val="auto"/>
                <w:vertAlign w:val="superscript"/>
              </w:rPr>
              <w:t>**</w:t>
            </w: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18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sarilumab</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7,582,298</w:t>
            </w:r>
          </w:p>
        </w:tc>
        <w:tc>
          <w:tcPr>
            <w:tcW w:w="1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2028</w:t>
            </w: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10,072,086</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19, 2031</w:t>
            </w: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8,080,248</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8,568,721</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p>
        </w:tc>
      </w:tr>
      <w:tr>
        <w:trPr>
          <w:trHeight w:val="297"/>
        </w:trPr>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2041177</w:t>
            </w:r>
          </w:p>
        </w:tc>
        <w:tc>
          <w:tcPr>
            <w:tcW w:w="100" w:type="dxa"/>
            <w:vAlign w:val="bottom"/>
            <w:shd w:val="clear" w:color="auto" w:fill="CCEEFF"/>
          </w:tcPr>
          <w:p>
            <w:pPr>
              <w:spacing w:after="0"/>
              <w:rPr>
                <w:sz w:val="24"/>
                <w:szCs w:val="24"/>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2027</w:t>
            </w:r>
            <w:r>
              <w:rPr>
                <w:rFonts w:ascii="Arial" w:cs="Arial" w:eastAsia="Arial" w:hAnsi="Arial"/>
                <w:sz w:val="25"/>
                <w:szCs w:val="25"/>
                <w:color w:val="auto"/>
                <w:vertAlign w:val="superscript"/>
              </w:rPr>
              <w:t>**</w:t>
            </w: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2041177</w:t>
            </w: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Protection</w:t>
            </w:r>
          </w:p>
        </w:tc>
        <w:tc>
          <w:tcPr>
            <w:tcW w:w="21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(June 1, 2032)</w:t>
            </w:r>
            <w:r>
              <w:rPr>
                <w:rFonts w:ascii="Arial" w:cs="Arial" w:eastAsia="Arial" w:hAnsi="Arial"/>
                <w:sz w:val="25"/>
                <w:szCs w:val="25"/>
                <w:color w:val="auto"/>
                <w:vertAlign w:val="superscript"/>
              </w:rPr>
              <w:t>**</w:t>
            </w:r>
          </w:p>
        </w:tc>
      </w:tr>
      <w:tr>
        <w:trPr>
          <w:trHeight w:val="230"/>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180" w:type="dxa"/>
            <w:vAlign w:val="bottom"/>
            <w:shd w:val="clear" w:color="auto" w:fill="CCEEFF"/>
          </w:tcPr>
          <w:p>
            <w:pPr>
              <w:spacing w:after="0"/>
              <w:rPr>
                <w:sz w:val="20"/>
                <w:szCs w:val="20"/>
                <w:color w:val="auto"/>
              </w:rPr>
            </w:pPr>
          </w:p>
        </w:tc>
      </w:tr>
      <w:tr>
        <w:trPr>
          <w:trHeight w:val="270"/>
        </w:trPr>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2766039</w:t>
            </w:r>
          </w:p>
        </w:tc>
        <w:tc>
          <w:tcPr>
            <w:tcW w:w="1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10, 2032</w:t>
            </w:r>
          </w:p>
        </w:tc>
      </w:tr>
      <w:tr>
        <w:trPr>
          <w:trHeight w:val="27"/>
        </w:trPr>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000" w:right="780" w:firstLine="1"/>
        <w:spacing w:after="0" w:line="253" w:lineRule="auto"/>
        <w:tabs>
          <w:tab w:leader="none" w:pos="1073" w:val="left"/>
        </w:tabs>
        <w:numPr>
          <w:ilvl w:val="0"/>
          <w:numId w:val="15"/>
        </w:numPr>
        <w:rPr>
          <w:rFonts w:ascii="Arial" w:cs="Arial" w:eastAsia="Arial" w:hAnsi="Arial"/>
          <w:sz w:val="9"/>
          <w:szCs w:val="9"/>
          <w:color w:val="auto"/>
        </w:rPr>
      </w:pPr>
      <w:r>
        <w:rPr>
          <w:rFonts w:ascii="Arial" w:cs="Arial" w:eastAsia="Arial" w:hAnsi="Arial"/>
          <w:sz w:val="14"/>
          <w:szCs w:val="14"/>
          <w:color w:val="auto"/>
        </w:rPr>
        <w:t>A patent term extension has been granted by the U.S. Patent and Trademark Office, extending the original patent term (May 23, 2020), insofar as it covers EYLEA, to June 16, 2023.</w:t>
      </w:r>
    </w:p>
    <w:p>
      <w:pPr>
        <w:spacing w:after="0" w:line="12" w:lineRule="exact"/>
        <w:rPr>
          <w:sz w:val="20"/>
          <w:szCs w:val="20"/>
          <w:color w:val="auto"/>
        </w:rPr>
      </w:pPr>
    </w:p>
    <w:p>
      <w:pPr>
        <w:ind w:left="1000" w:right="1060" w:firstLine="1"/>
        <w:spacing w:after="0" w:line="253" w:lineRule="auto"/>
        <w:tabs>
          <w:tab w:leader="none" w:pos="1126" w:val="left"/>
        </w:tabs>
        <w:numPr>
          <w:ilvl w:val="0"/>
          <w:numId w:val="16"/>
        </w:numPr>
        <w:rPr>
          <w:rFonts w:ascii="Arial" w:cs="Arial" w:eastAsia="Arial" w:hAnsi="Arial"/>
          <w:sz w:val="9"/>
          <w:szCs w:val="9"/>
          <w:color w:val="auto"/>
        </w:rPr>
      </w:pPr>
      <w:r>
        <w:rPr>
          <w:rFonts w:ascii="Arial" w:cs="Arial" w:eastAsia="Arial" w:hAnsi="Arial"/>
          <w:sz w:val="14"/>
          <w:szCs w:val="14"/>
          <w:color w:val="auto"/>
        </w:rPr>
        <w:t>Supplementary protection certificates ("SPCs") are pending and/or have been granted in various European countries, extending the original patent terms in those countries, where granted, to the applicable dates indicated in parentheses.</w:t>
      </w:r>
    </w:p>
    <w:p>
      <w:pPr>
        <w:spacing w:after="0" w:line="11" w:lineRule="exact"/>
        <w:rPr>
          <w:rFonts w:ascii="Arial" w:cs="Arial" w:eastAsia="Arial" w:hAnsi="Arial"/>
          <w:sz w:val="9"/>
          <w:szCs w:val="9"/>
          <w:color w:val="auto"/>
        </w:rPr>
      </w:pPr>
    </w:p>
    <w:p>
      <w:pPr>
        <w:ind w:left="1180" w:hanging="179"/>
        <w:spacing w:after="0"/>
        <w:tabs>
          <w:tab w:leader="none" w:pos="1180" w:val="left"/>
        </w:tabs>
        <w:numPr>
          <w:ilvl w:val="0"/>
          <w:numId w:val="17"/>
        </w:numPr>
        <w:rPr>
          <w:rFonts w:ascii="Arial" w:cs="Arial" w:eastAsia="Arial" w:hAnsi="Arial"/>
          <w:sz w:val="9"/>
          <w:szCs w:val="9"/>
          <w:color w:val="auto"/>
        </w:rPr>
      </w:pPr>
      <w:r>
        <w:rPr>
          <w:rFonts w:ascii="Arial" w:cs="Arial" w:eastAsia="Arial" w:hAnsi="Arial"/>
          <w:sz w:val="14"/>
          <w:szCs w:val="14"/>
          <w:color w:val="auto"/>
        </w:rPr>
        <w:t>See Note 16 to our Consolidated Financial Statements for information regarding the patent infringement proceedings relating to Dupixent and Praluent.</w:t>
      </w:r>
    </w:p>
    <w:p>
      <w:pPr>
        <w:spacing w:after="0" w:line="41" w:lineRule="exact"/>
        <w:rPr>
          <w:rFonts w:ascii="Arial" w:cs="Arial" w:eastAsia="Arial" w:hAnsi="Arial"/>
          <w:sz w:val="9"/>
          <w:szCs w:val="9"/>
          <w:color w:val="auto"/>
        </w:rPr>
      </w:pPr>
    </w:p>
    <w:p>
      <w:pPr>
        <w:ind w:left="1000" w:right="1200" w:firstLine="1"/>
        <w:spacing w:after="0" w:line="253" w:lineRule="auto"/>
        <w:tabs>
          <w:tab w:leader="none" w:pos="1208" w:val="left"/>
        </w:tabs>
        <w:numPr>
          <w:ilvl w:val="0"/>
          <w:numId w:val="18"/>
        </w:numPr>
        <w:rPr>
          <w:rFonts w:ascii="Arial" w:cs="Arial" w:eastAsia="Arial" w:hAnsi="Arial"/>
          <w:sz w:val="9"/>
          <w:szCs w:val="9"/>
          <w:color w:val="auto"/>
        </w:rPr>
      </w:pPr>
      <w:r>
        <w:rPr>
          <w:rFonts w:ascii="Arial" w:cs="Arial" w:eastAsia="Arial" w:hAnsi="Arial"/>
          <w:sz w:val="14"/>
          <w:szCs w:val="14"/>
          <w:color w:val="auto"/>
        </w:rPr>
        <w:t>A patent term extension has been granted by the U.S. Patent and Trademark Office, extending the original patent term (October 2, 2027), insofar as it covers Dupixent, to March 28, 2031.</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addition,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6"/>
          <w:szCs w:val="16"/>
          <w:i w:val="1"/>
          <w:iCs w:val="1"/>
          <w:color w:val="auto"/>
        </w:rPr>
        <w:t>Loss or limitation of patent rights, and new regulatory pathways for biosimilar competition, could reduce the duration of market exclusivity for</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products</w:t>
      </w:r>
      <w:r>
        <w:rPr>
          <w:rFonts w:ascii="Arial" w:cs="Arial" w:eastAsia="Arial" w:hAnsi="Arial"/>
          <w:sz w:val="16"/>
          <w:szCs w:val="16"/>
          <w:color w:val="auto"/>
        </w:rPr>
        <w:t>"). The effect of expiration of a patent relating to a particular product also depends upon other factors, such as the nature of the market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and Sanofi pay royalties of 8.0% on worldwide sales of Libtayo through December 31, 2023, and royalties of 2.5% from January 1, 2024 through December 31, 2026. The royalties are shared equally by us and Sanofi.</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 manufacturing, and/or commercialization</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 by patents or other proprietary rights of others, and could be subject to damage awards if we are found to have infringed such patents or rights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Note 16 to our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Requirements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Certain preclinical trials must comply with the FDA's Good Laboratory Practice requirements ("GLPs") and the U.S. Department of Agriculture's Animal Welfare Act. The results of these studies must be submitted to the FDA as part of an IND, which must be reviewed by the FDA before proposed clinical testing can begin. In other countries, the data are reviewed by regulatory authorities as part of clinical trial applications. The FDA or other regulatory authorities may ask for additional data in order to begin a clinical study.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our product candidates require regulatory approval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may evolve over time. The ultimate outcome and impact of such developments cannot be predicted.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Typically, clinical testing involves a three-phase process. In Phase 1, trials are usually conducted with a small number of healthy volunteers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larger clinical trials are conducted with patients afflicted with the specific disease or disorder in order to provide enough data to understand the efficacy and safety profile of the product candidate, as required by the FDA. If concerns arise about the safety of the product candidate, the FDA or other regulatory authorities can stop clinical trials by placing them on a "clinical hold" pending receipt of additional data, which can result in a delay or termination of a clinical development program. 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typically must pay fees to the FDA for review of any BLA, which can exceed $2 million per filing. In responding to a BLA, the FDA may grant marketing approval, request additional information, or deny the application.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Good Clinical Practice, or cGCP, requirements.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labeling changes based on new safety information, and compliance with FDA-approved risk evaluation and mitigation strategies.</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Following approval, the FDA regulates the marketing and promotion of our products, which must comply with the Food, Drug, and Cosmetic Act and applicable FDA regulations and standards thereunder. The FDA's review of promotional activities includes, but is not limited to, healthcare provider-directed and direct-to-consumer advertising as well as sales representatives' communications. The FDA may take enforcement action for promoting unapproved uses of a product or other violations of its advertising and promotion laws and regulations. See Part I, Item 1A. "Risk Factors - Regulatory and Litigation Risks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we market and sell approved products in a way that violates federal or state healthcare laws, we may be subject to civil or criminal penalties</w:t>
      </w:r>
      <w:r>
        <w:rPr>
          <w:rFonts w:ascii="Arial" w:cs="Arial" w:eastAsia="Arial" w:hAnsi="Arial"/>
          <w:sz w:val="16"/>
          <w:szCs w:val="16"/>
          <w:color w:val="auto"/>
        </w:rPr>
        <w: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third-party suppliers are required to maintain compliance with cGMPs,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comply with these laws and regulations may lead the FDA and comparable regulatory authorities in other jurisdictions to take regulatory action, which could include ordering the suspension of manufacturing or withdrawing FDA approval of a product.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Sales of our marketed products are dependent on the</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and extent of reimbursement from third-party payors, and changes to such reimbursement may materially harm our business, prospects, operating results, and financial condition.</w:t>
      </w:r>
      <w:r>
        <w:rPr>
          <w:rFonts w:ascii="Arial" w:cs="Arial" w:eastAsia="Arial" w:hAnsi="Arial"/>
          <w:sz w:val="18"/>
          <w:szCs w:val="18"/>
          <w:color w:val="auto"/>
        </w:rPr>
        <w: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several state Medicaid supplemental rebate programs, and other governmental pricing programs. We also have obligations to report the average sales price for certain of our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Medicaid is a joint federal and state program that is administered by the states for low 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 price increases more than inflation (measured by reference to the Consumer Price Index - Urban). 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made significant changes to the Medicaid Drug Rebate program, and CMS issued a final regulation, which became effective on April 1, 2016, to implement the changes to the Medicaid Drug Rebate program under the PPACA.</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consist of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is used by CMS to calculate Medicare payment rates.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outpatient drugs. Covered entities include hospitals that serve a disproportionate share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Any charge by HRSA that we have violated the requirements of the regulation could result in civil monetary penalties. HRSA also implemented a new price reporting system during the first quarter of 2019, under which manufacturers are now required to report their 340B ceiling prices to HRSA on a quarterly basis.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Medicare Part D provides coverage to enrolled Medicare patients for self-administered drugs (</w:t>
      </w:r>
      <w:r>
        <w:rPr>
          <w:rFonts w:ascii="Arial" w:cs="Arial" w:eastAsia="Arial" w:hAnsi="Arial"/>
          <w:sz w:val="16"/>
          <w:szCs w:val="16"/>
          <w:i w:val="1"/>
          <w:iCs w:val="1"/>
          <w:color w:val="auto"/>
        </w:rPr>
        <w:t>i.e.</w:t>
      </w:r>
      <w:r>
        <w:rPr>
          <w:rFonts w:ascii="Arial" w:cs="Arial" w:eastAsia="Arial" w:hAnsi="Arial"/>
          <w:sz w:val="16"/>
          <w:szCs w:val="16"/>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for 2020, manufacturers, including us, are required to provide to CMS a 70% discount on brand name prescription drugs utilized by Medicare Part D beneficiaries when those beneficiaries are in the coverage gap phase of the Part D benefit design.</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As a consequence, these payors may not cover or adequately reimburse for use of our products or may do so at levels that disadvantage them relative to competitive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8"/>
          <w:szCs w:val="18"/>
          <w:i w:val="1"/>
          <w:iCs w:val="1"/>
          <w:color w:val="auto"/>
        </w:rPr>
        <w:t>i.e.</w:t>
      </w:r>
      <w:r>
        <w:rPr>
          <w:rFonts w:ascii="Arial" w:cs="Arial" w:eastAsia="Arial" w:hAnsi="Arial"/>
          <w:sz w:val="18"/>
          <w:szCs w:val="18"/>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to the federal government, or knowingly making, or causing to be made, a false statement to get a false claim paid. See Part I, Item 1A. "Risk Factors - Regulatory and Litigation Risks - </w:t>
      </w:r>
      <w:r>
        <w:rPr>
          <w:rFonts w:ascii="Arial" w:cs="Arial" w:eastAsia="Arial" w:hAnsi="Arial"/>
          <w:sz w:val="16"/>
          <w:szCs w:val="16"/>
          <w:i w:val="1"/>
          <w:iCs w:val="1"/>
          <w:color w:val="auto"/>
        </w:rPr>
        <w:t>If we market</w:t>
      </w:r>
      <w:r>
        <w:rPr>
          <w:rFonts w:ascii="Arial" w:cs="Arial" w:eastAsia="Arial" w:hAnsi="Arial"/>
          <w:sz w:val="16"/>
          <w:szCs w:val="16"/>
          <w:color w:val="auto"/>
        </w:rPr>
        <w:t xml:space="preserve"> </w:t>
      </w:r>
      <w:r>
        <w:rPr>
          <w:rFonts w:ascii="Arial" w:cs="Arial" w:eastAsia="Arial" w:hAnsi="Arial"/>
          <w:sz w:val="16"/>
          <w:szCs w:val="16"/>
          <w:i w:val="1"/>
          <w:iCs w:val="1"/>
          <w:color w:val="auto"/>
        </w:rPr>
        <w:t>and sell approved products in a way that violates federal or state healthcare laws, we may be subject to civil or criminal penalties</w:t>
      </w:r>
      <w:r>
        <w:rPr>
          <w:rFonts w:ascii="Arial" w:cs="Arial" w:eastAsia="Arial" w:hAnsi="Arial"/>
          <w:sz w:val="16"/>
          <w:szCs w:val="16"/>
          <w:color w:val="auto"/>
        </w:rPr>
        <w: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the Foreign Corrupt Practices Act, or FCPA, and similar anti-bribery or anti-corruption laws, regulations or rules of other countries in which we operate, including the U.K. Bribery Act. See Part I, Item 1A. "Risk Factors - Regulatory and Litigation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Risks - </w:t>
      </w:r>
      <w:r>
        <w:rPr>
          <w:rFonts w:ascii="Arial" w:cs="Arial" w:eastAsia="Arial" w:hAnsi="Arial"/>
          <w:sz w:val="18"/>
          <w:szCs w:val="18"/>
          <w:i w:val="1"/>
          <w:iCs w:val="1"/>
          <w:color w:val="auto"/>
        </w:rPr>
        <w:t>Risks from the improper conduct of employees, agents, contractors, or collaborators could adversely affect our reputation and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prospects, operating results, and financial condition</w:t>
      </w:r>
      <w:r>
        <w:rPr>
          <w:rFonts w:ascii="Arial" w:cs="Arial" w:eastAsia="Arial" w:hAnsi="Arial"/>
          <w:sz w:val="18"/>
          <w:szCs w:val="18"/>
          <w:color w:val="auto"/>
        </w:rPr>
        <w:t>."</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the United States, there are federal and state privacy laws that regulate specific categories of personal data. The information privacy laws address state and federal health information, consumer protection, and children's personal data. There are also data protection laws that govern data breach notification and information security. 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 To the extent we collect California resident personal data for marketing activities, we are also subject to the California Consumer Privacy Act of 2018 (the "CCPA"). The CCPA became effective on January 1, 2020 and provides California residents with certain rights concerning the use of their personal data. The obligations to comply with the CCPA require us, among other things, to update our notices and develop new processes internally and with our partners. We may be subject to fines, penalties, or private actions in the event of non-compliance with the CCPA. Outside the United States, our clinical trial programs and research collaborations implicate international data protection laws, including the General Data Protection Regulation ("GDPR") in the EU. The GDPR became effective on May 25, 2018, increasing our responsibility and liability in relation to the processing of personal data of EU subjects.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concern the consent of the individuals to whom the personal data relates, the information provided to the individuals, the transfer of personal data out of the EU, security breach notifications, security and confidentiality of the personal data and imposition of substantial potential fines for breaches of the data protection obligations. Data protection authorities from the different EU member states may promulgate national privacy laws that impose additional requirements, which add to the complexity of processing personal data in the EU. Guidance on implementation and compliance practices are often updated or otherwise revised. See Part I, Item 1A. "Risk Factors - Regulatory and Litigation Risks - </w:t>
      </w:r>
      <w:r>
        <w:rPr>
          <w:rFonts w:ascii="Arial" w:cs="Arial" w:eastAsia="Arial" w:hAnsi="Arial"/>
          <w:sz w:val="16"/>
          <w:szCs w:val="16"/>
          <w:i w:val="1"/>
          <w:iCs w:val="1"/>
          <w:color w:val="auto"/>
        </w:rPr>
        <w:t>We face potential liability related to the personal information we collect from</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data brokers, or research institutions or obtain from clinical trials sponsored by us or our collaborators</w:t>
      </w:r>
      <w:r>
        <w:rPr>
          <w:rFonts w:ascii="Arial" w:cs="Arial" w:eastAsia="Arial" w:hAnsi="Arial"/>
          <w:sz w:val="16"/>
          <w:szCs w:val="16"/>
          <w:color w:val="auto"/>
        </w:rPr>
        <w:t>."</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medicines for the treatment of serious diseases. For financial information related to our one segment, see Part II, Item 6. "Selected Financial Data" and our Consolidated Financial Statements and related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approximately 8,100 full-time employees. We believe that we have been successful in attracting skilled and experienced personnel in a highly competitive environment; however, competition for these personnel is intense. Our management considers its relations with our employees to be good.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ectPr>
          <w:pgSz w:w="11900" w:h="16838" w:orient="portrait"/>
          <w:cols w:equalWidth="0" w:num="1">
            <w:col w:w="11420"/>
          </w:cols>
          <w:pgMar w:left="240" w:top="130"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websites and social media channels is not included as a part of, or incorporated by reference into,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references to our products encompass products marketed by us and/or our collaborators under our collaboration agreements with them, unless otherwise stated or required by the context.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2019 and 2018, EYLEA net sales in the United States represented 59% and 61%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degree of commercial success of our marketed products will continue to depend on many factors, including the following (as applicable):</w:t>
      </w:r>
    </w:p>
    <w:p>
      <w:pPr>
        <w:spacing w:after="0" w:line="16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with EYLEA or to switch from another product to EYLEA;</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 candidates</w:t>
      </w:r>
      <w:r>
        <w:rPr>
          <w:rFonts w:ascii="Arial" w:cs="Arial" w:eastAsia="Arial" w:hAnsi="Arial"/>
          <w:sz w:val="18"/>
          <w:szCs w:val="18"/>
          <w:color w:val="auto"/>
        </w:rPr>
        <w:t xml:space="preserve"> </w:t>
      </w:r>
      <w:r>
        <w:rPr>
          <w:rFonts w:ascii="Arial" w:cs="Arial" w:eastAsia="Arial" w:hAnsi="Arial"/>
          <w:sz w:val="18"/>
          <w:szCs w:val="18"/>
          <w:i w:val="1"/>
          <w:iCs w:val="1"/>
          <w:color w:val="auto"/>
        </w:rPr>
        <w:t>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outcome of the pending patent infringement proceedings relating to Dupixent and Praluent (described further in Note 16 to our Consolidated Financial Statements included in this report), as well as other risks relating to our marketed products associated with intellectual property of other parties and pending or future litigation relating thereto (as discussed under "Risks Related to Intellectual Property and Market Exclusivity" below);</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of the pending government investigations described in Note 16 to our Consolidated Financial Statements included in this report;</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for drug products is costly, time-consuming, and highly uncertain</w:t>
      </w:r>
      <w:r>
        <w:rPr>
          <w:rFonts w:ascii="Arial" w:cs="Arial" w:eastAsia="Arial" w:hAnsi="Arial"/>
          <w:sz w:val="17"/>
          <w:szCs w:val="17"/>
          <w:color w:val="auto"/>
        </w:rPr>
        <w:t>"), the applicable marketing approval may be withdrawn, which would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pharmacy benefits managers, and recognition by insurance companies and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Government and other third-party payors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7"/>
          <w:szCs w:val="17"/>
          <w:i w:val="1"/>
          <w:iCs w:val="1"/>
          <w:color w:val="auto"/>
        </w:rPr>
        <w:t>i.e.</w:t>
      </w:r>
      <w:r>
        <w:rPr>
          <w:rFonts w:ascii="Arial" w:cs="Arial" w:eastAsia="Arial" w:hAnsi="Arial"/>
          <w:sz w:val="17"/>
          <w:szCs w:val="17"/>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the current administration's prior budget proposals (including the proposal for fiscal year 2020) contained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drug price control measures that may be subsequently rolled into the budget proposal for fiscal year 2021 and could be enacted during the 2021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pending review by the Office of Management and Budget. In addition, in July 2019, President Trump indicated that his administration was considering an executive order to establish a "most favored nation" pricing plan. While the scope and details of this contemplated executive action (including whether and how its mechanism may differ from that of the proposed IPI drug pricing program discussed above) are not clear, this seems to signal that the U.S. administration will continue to seek new measures to constrain drug costs and Medicare payments for drugs. Similarly, various members of the current U.S. Congress and potential 2020 presidential candidates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merge with larger pharmaceutical or biotechnology companies. There is significant actual and potential future competition for each of our marketed products.</w:t>
      </w:r>
    </w:p>
    <w:p>
      <w:pPr>
        <w:spacing w:after="0" w:line="3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 and Novartis' Beovu.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as well as siRNAs that modulate gene expression.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2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Dupixent's current and potential future indications is also competitive. In atopic dermatitis, there are several topical ointments or agents either approved or in development. In addition, a number of companies are developing antibodies against IL-13, IL-13Ra1, OX40, IL-31R, and/or IL-1alpha. Several companies are also studying JAK inhibitors for atopic dermatitis. In asthma, competitors to Dupixent include antibodies against the IL-5 ligand or the IL-5 receptor or immunoglobulin E; and some of these antibodies, if approved in this indication, may also compete with Dupixent in CRSwNP. Dupixent also faces competition from orally administered small molecule agents and inhaled products in asthma and potential future indications. There are several other potentially competitive products in development that may compete with Dupixent in both the atopic dermatitis and asthma indications, as well as potential future indications, including antibodies against thymic stromal lymphopoietin (TSLP), the IL-33 ligand, or the IL-33 receptor (ST2).</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including Merck's Keytruda, Bristol-Myers Squibb's Opdivo, and Roche's Tecentriq.</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also significant actual and potential future competition for other products marketed by us and/or our collaborators under our collaboration agreements with them. For example, there are several companies that are marketing and/or developing antibodies against PCSK9 and IL-6 and/or IL-6R, which currently (or, for antibodies in development, may in the future if approved) compete with Praluent and Kevzara,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Our other late-stage and earlier-stage clinical candidates in development are all fully human antibodies, which were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Our antibody generation technologies and other late-stage and earlier-stage clinical candidates face competition from many pharmaceutical and biotechnology companies using various technologies.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Co-Promotion and Distribution Agreement with Bayer's Japanese affiliate, as in effect from time to time) for sales, marketing, and distribution of EYLEA in countries outside the United States.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under the terms of our Antibody Collaboration (which, as previously announced, is expected to be revised to give effect to a new arrangement for Praluent and Kevzara, as described further in Part I, Item 1. "Business - Collaboration Agreements - </w:t>
      </w:r>
      <w:r>
        <w:rPr>
          <w:rFonts w:ascii="Arial" w:cs="Arial" w:eastAsia="Arial" w:hAnsi="Arial"/>
          <w:sz w:val="16"/>
          <w:szCs w:val="16"/>
          <w:i w:val="1"/>
          <w:iCs w:val="1"/>
          <w:color w:val="auto"/>
        </w:rPr>
        <w:t>Collaborations with Sanofi</w:t>
      </w:r>
      <w:r>
        <w:rPr>
          <w:rFonts w:ascii="Arial" w:cs="Arial" w:eastAsia="Arial" w:hAnsi="Arial"/>
          <w:sz w:val="16"/>
          <w:szCs w:val="16"/>
          <w:color w:val="auto"/>
        </w:rPr>
        <w:t>" (the "Antibody Collaboration Restructuring"))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serves as the Dupixent lead regulatory party (</w:t>
      </w:r>
      <w:r>
        <w:rPr>
          <w:rFonts w:ascii="Arial" w:cs="Arial" w:eastAsia="Arial" w:hAnsi="Arial"/>
          <w:sz w:val="16"/>
          <w:szCs w:val="16"/>
          <w:i w:val="1"/>
          <w:iCs w:val="1"/>
          <w:color w:val="auto"/>
        </w:rPr>
        <w:t>e.g.</w:t>
      </w:r>
      <w:r>
        <w:rPr>
          <w:rFonts w:ascii="Arial" w:cs="Arial" w:eastAsia="Arial" w:hAnsi="Arial"/>
          <w:sz w:val="16"/>
          <w:szCs w:val="16"/>
          <w:color w:val="auto"/>
        </w:rPr>
        <w:t>, is responsible for regulatory filings and negotiations relating to it) in the United States, and leads negotiations with payors relating to this product. We also rely on Sanofi for sales, marketing, and distribution of Dupixent and Libtayo in countries outside the United States. In addition, after the Antibody Collaboration Restructuring has been finalized, Sanofi is expected to obtain sole global rights to Kevzara and sole rights to Praluent outside the United States and will be solely responsible for commercialization of these products (as well as development and commercialization expenses) in the relevant jurisdictions; our rights will be limited to receiving a royalty on corresponding net product sales realized by Sanofi.</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 Third Parties -</w:t>
      </w:r>
      <w:r>
        <w:rPr>
          <w:rFonts w:ascii="Arial" w:cs="Arial" w:eastAsia="Arial" w:hAnsi="Arial"/>
          <w:sz w:val="17"/>
          <w:szCs w:val="17"/>
          <w:i w:val="1"/>
          <w:iCs w:val="1"/>
          <w:color w:val="auto"/>
        </w:rPr>
        <w:t xml:space="preserve"> 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sell EYLEA, Libtayo, and ARCALYST in the United States to several distributors and specialty pharmacies. Under this distribution model, the distributors and specialty pharmacies generally take physical delivery of product and generally sell the product directly to healthcare providers. For the year ended December 31, 2019, our gross product sales of such products to two customers accounted on a combined basis for 90%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as a result of any exercise of our option to co-commercialize a product outside the United States. For example, we have recently exercised our option under the Antibody Collaboration to co-commercialize Dupixent in certain jurisdictions outside the United States.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or the co-commercialization of a product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Our or our collaborators' failure to meet the stringent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 result of noncompliance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requirements and regulations described in this paragraph.</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and may ask for additional data in order to begin a clinical study.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desired indication(s) would preclude the successful development of those candidates for such indication(s), in which event our business, prospects, operating results, and financial condition may be materially harmed.</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osteoarthritis trials were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Dupixent and Libtayo are being studied in additional indications, as shown in the table under Part I, Item 1. "Business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products are used and some of our products and product candidates may be used, if approved, in combination with a drug-delivery device, including a pre-filled syringe, patch pump, auto-injector, or other delivery system. For example, the FDA recently approved the 2mg EYLEA pre-filled syringe, which has launched commercially.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(the "EPO") (currently pending before its Boards of Appeal), as described in Note 16 to our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and/or Sanofi relating to Praluent and patent infringement proceedings relating to Dupixent, as described in Note 16 to our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16 to our Consolidated Financial Statements.</w:t>
      </w: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fasinumab, an antibody to NGF; evinacumab, an antibody to ANGPTL3; REGN-EB3, a multi-antibody therapy for Ebola; garetosmab, an antibody to Activin A; pozelimab, an antibody to C5; and REGN1979, a bispecific antibody targeting CD20 and CD3.</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8"/>
          <w:szCs w:val="18"/>
          <w:i w:val="1"/>
          <w:iCs w:val="1"/>
          <w:color w:val="auto"/>
        </w:rPr>
        <w:t>If we cannot protect the</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 of our trade secrets, or our patents or other means of defending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intellectual property are insufficient to protect our proprietary rights, our business and competitive position will be harmed,</w:t>
      </w:r>
      <w:r>
        <w:rPr>
          <w:rFonts w:ascii="Arial" w:cs="Arial" w:eastAsia="Arial" w:hAnsi="Arial"/>
          <w:sz w:val="18"/>
          <w:szCs w:val="18"/>
          <w:color w:val="auto"/>
        </w:rPr>
        <w:t>" the scope and enforceability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The loss of market exclusivity for a product (such as EYLEA)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23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late-stage product candidates if they are approved for marketing, and to supply clinical drug material to support the continued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growth of our clinical programs, will require substantial additional expenditures, time,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2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liability claims, and insufficient inventory. Also, the complexity of our manufacturing process may make it difficult, time-consuming, and expensive to transfer our technology to our collaborators or contract manufacturers.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cooperating with pending government investigations concerning certain of our business activities. Any adverse finding, allegation, or exercise of enforcement or regulatory discretion in such investigations could harm our business, prospects, operating results, and financial condition.</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w:t>
      </w:r>
    </w:p>
    <w:p>
      <w:pPr>
        <w:spacing w:after="0" w:line="2" w:lineRule="exact"/>
        <w:rPr>
          <w:sz w:val="20"/>
          <w:szCs w:val="20"/>
          <w:color w:val="auto"/>
        </w:rPr>
      </w:pPr>
    </w:p>
    <w:p>
      <w:pPr>
        <w:jc w:val="both"/>
        <w:ind w:firstLine="8"/>
        <w:spacing w:after="0" w:line="252" w:lineRule="auto"/>
        <w:tabs>
          <w:tab w:leader="none" w:pos="10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r>
        <w:rPr>
          <w:rFonts w:ascii="Arial" w:cs="Arial" w:eastAsia="Arial" w:hAnsi="Arial"/>
          <w:sz w:val="18"/>
          <w:szCs w:val="18"/>
          <w:color w:val="auto"/>
        </w:rPr>
        <w:t>"). While it is not possible to predict whether and when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effective January 31, 2020, the United Kingdom commenced an exit from the EU, commonly referred to as "Brexit." During a transition period (set to expire on December 31, 2020), the British government will continue to negotiate the terms of the United Kingdom's future relationship with the EU. The outcome of these negotiations is uncertain, and we do not know to what extent Brexit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Recommendations by the Organization for Economic Co-operation and Development and the European Union Anti-Tax Avoidance Directive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and directly from individuals who enroll in our patient assistance programs. In the case of a breach of personal information we may be subject to state breach notification laws requiring notification of affected individuals and state regulators.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patient assistance programs and product marketing activities as part of which we collect California resident personal data are subject to the CCPA. The CCPA is a consumer protection law that provides California residents with personal data privacy rights and became effective on January 1, 2020. The CCPA requires us, among other things, to update our notices and develop new processes internally and with our partners. There are fines, penalties, and a private right of action resulting from non-compliance with the CCPA. Several other U.S. states have introduced similar consumer protection laws that may go into effect in the near future.</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European Union's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health privacy laws, data breach notification laws, consumer protection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rights that limit our ability to use and disclose the information. We are likely to be required to expend significant capital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w:t>
      </w:r>
      <w:r>
        <w:rPr>
          <w:rFonts w:ascii="Arial" w:cs="Arial" w:eastAsia="Arial" w:hAnsi="Arial"/>
          <w:sz w:val="18"/>
          <w:szCs w:val="18"/>
          <w:i w:val="1"/>
          <w:iCs w:val="1"/>
          <w:color w:val="auto"/>
        </w:rPr>
        <w:t>i.e.</w:t>
      </w:r>
      <w:r>
        <w:rPr>
          <w:rFonts w:ascii="Arial" w:cs="Arial" w:eastAsia="Arial" w:hAnsi="Arial"/>
          <w:sz w:val="18"/>
          <w:szCs w:val="18"/>
          <w:color w:val="auto"/>
        </w:rPr>
        <w:t>, after giving effect to the Antibody Collaboration Restructuring, Dupixent and REGN3500),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amendment and restatement of our IO Discovery and Development Agreement with Sanofi (which forms part of our IO Collaboration), we have all rights to, and we fund and conduct on our own all research, development, manufacturing, and commercialization activities to support, all of our immuno-oncology product candidates other than MUC16xCD3 Program antibodies (such as REGN4018) and BCMAxCD3 Program antibodies (such as REGN5458 and REGN5459).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 products we</w:t>
      </w:r>
      <w:r>
        <w:rPr>
          <w:rFonts w:ascii="Arial" w:cs="Arial" w:eastAsia="Arial" w:hAnsi="Arial"/>
          <w:sz w:val="16"/>
          <w:szCs w:val="16"/>
          <w:color w:val="auto"/>
        </w:rPr>
        <w:t xml:space="preserve"> </w:t>
      </w:r>
      <w:r>
        <w:rPr>
          <w:rFonts w:ascii="Arial" w:cs="Arial" w:eastAsia="Arial" w:hAnsi="Arial"/>
          <w:sz w:val="16"/>
          <w:szCs w:val="16"/>
          <w:i w:val="1"/>
          <w:iCs w:val="1"/>
          <w:color w:val="auto"/>
        </w:rPr>
        <w:t>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commercialization of the products subject to such collaborations, particularly outside the United States.</w:t>
      </w:r>
    </w:p>
    <w:p>
      <w:pPr>
        <w:spacing w:after="0" w:line="2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7"/>
          <w:szCs w:val="17"/>
          <w:i w:val="1"/>
          <w:iCs w:val="1"/>
          <w:color w:val="auto"/>
        </w:rPr>
        <w:t>If we are unable to establish commercial capabilities outside the</w:t>
      </w:r>
      <w:r>
        <w:rPr>
          <w:rFonts w:ascii="Arial" w:cs="Arial" w:eastAsia="Arial" w:hAnsi="Arial"/>
          <w:sz w:val="17"/>
          <w:szCs w:val="17"/>
          <w:color w:val="auto"/>
        </w:rPr>
        <w:t xml:space="preserve"> </w:t>
      </w:r>
      <w:r>
        <w:rPr>
          <w:rFonts w:ascii="Arial" w:cs="Arial" w:eastAsia="Arial" w:hAnsi="Arial"/>
          <w:sz w:val="17"/>
          <w:szCs w:val="17"/>
          <w:i w:val="1"/>
          <w:iCs w:val="1"/>
          <w:color w:val="auto"/>
        </w:rPr>
        <w:t>United States for products we intend to commercialize or co-commercialize outside the United States, our business, prospects, operating results, and financial condition may be adversely affected</w:t>
      </w:r>
      <w:r>
        <w:rPr>
          <w:rFonts w:ascii="Arial" w:cs="Arial" w:eastAsia="Arial" w:hAnsi="Arial"/>
          <w:sz w:val="17"/>
          <w:szCs w:val="17"/>
          <w:color w:val="auto"/>
        </w:rPr>
        <w:t>" above). Termination of the Bayer collaboration agreement would create substantial new and additional risks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successful commercialization of EYLEA outside the United States.</w:t>
      </w: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2019, we had $1.618 billion in cash and cash equivalents and $4.853 billion in marketable securities (including $618.8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2017, the United Kingdom regulator that regulates the London Interbank Offered Rate ("LIBOR") announced its intention to phase out LIBOR rates by the end of 2021. No consensus exists as to what rate or rates may become accepted alternatives to LIBOR or whether LIBOR rates will cease to be published or supported before or after 2021. A transition away from LIBOR as a benchmark for establishing the applicable interest rate may adversely affect our outstanding variable-rate indebtedness and interest rate swaps, as well as floating-rate debt securities we hold. For example, if a published U.S. dollar LIBOR rate is unavailable</w:t>
      </w:r>
    </w:p>
    <w:p>
      <w:pPr>
        <w:sectPr>
          <w:pgSz w:w="11900" w:h="16838" w:orient="portrait"/>
          <w:cols w:equalWidth="0" w:num="1">
            <w:col w:w="11420"/>
          </w:cols>
          <w:pgMar w:left="240" w:top="130"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2021, the rent payments for the leased facilities in Tarrytown, New York,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 (or the expectation of any such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 our</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As a result, the public float of our Common Stock (</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2019, our five largest shareholders (including our largest shareholder Sanofi) plus Dr. Schleifer, our Chief Executive Officer, beneficially owned approximately 45.2% of our outstanding shares of Common Stock, assuming, in the case of our Chief Executive Officer, the conversion of his Class A Stock into Common Stock and the exercise of all options held by him which are exercisable within 60 days of December 31, 2019. As of December 31, 2019, Sanofi beneficially owned 23,350,365 shares of our Common Stock, representing approximately 21.5%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869,828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influence over matters requiring shareholder approval and over our management</w:t>
      </w:r>
      <w:r>
        <w:rPr>
          <w:rFonts w:ascii="Arial" w:cs="Arial" w:eastAsia="Arial" w:hAnsi="Arial"/>
          <w:sz w:val="16"/>
          <w:szCs w:val="16"/>
          <w:color w:val="auto"/>
        </w:rPr>
        <w:t>" and which currently remain available to be sold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letter agreement). These restrictions on dispositions are subject to earlier termination upon the occurrence of certain events, such as the consummation of a change-of-control transaction involving us or a dissolution or liquidation of our Company. In an amendment to its Schedule 13D filed on December 9, 2019, Sanofi disclosed that, following expiration of the "lock-up," it may in its discretion dispose of or collateralize all or a portion of the Common Stock beneficially owned by it at any time or from time to time in accordance with the terms of the amended and restated investor agreement.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we will continue to repurchase shares of our Common Stock or that we will repurchase shares at favorable prices.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previously authorized a share repurchase program to repurchase up to $1.0 billion of our Common Stock (of which $746.0 million remained available as of December 31, 2019).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existing shareholders may be able to exert significant influence over matters requiring shareholder approval and over our management.</w:t>
      </w: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2019, holders of Class A Stock held 14.6%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2019:</w:t>
      </w:r>
    </w:p>
    <w:p>
      <w:pPr>
        <w:spacing w:after="0" w:line="97" w:lineRule="exact"/>
        <w:rPr>
          <w:sz w:val="20"/>
          <w:szCs w:val="20"/>
          <w:color w:val="auto"/>
        </w:rPr>
      </w:pPr>
    </w:p>
    <w:p>
      <w:pPr>
        <w:jc w:val="both"/>
        <w:ind w:left="66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9.8% of our outstanding shares of Common Stock, assuming conversion of their Class A Stock into Common Stock and the exercise of all options held by such persons which are exercisable within 60 days of December 31, 2019, and 20.5% of the combined voting power of our outstanding shares of Common Stock and Class A Stock, assuming the exercise of all options held by such persons which are exercisable within 60 days of December 31, 2019; and</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five largest shareholders (including our largest shareholder Sanofi) plus Dr. Schleifer, our Chief Executive Officer, beneficially owned approximately 45.2% of our outstanding shares of Common Stock, assuming, in the case of our Chief Executive Officer, the conversion of his Class A Stock into Common Stock and the exercise of all options held by him which are exercisable within 60 days of December 31, 2019. In addition, these five shareholders plus our Chief Executive Officer held approximately 51.4% of the combined voting power of our outstanding shares of Common Stock and Class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Stock, assuming the exercise of all options held by our Chief Executive Officer which are exercisable within 60 days of December 31, 2019.</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(the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373,880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495,948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 A similar "standstill" prohibition applies to Bayer pursuant to our 2014 PDGFR-beta license and collaboration agreement with Bayer (which agreement was terminated on July 31, 2017 by agreement of the parties but whose "standstill" provisions continue to be in effect until July 31, 2022 unless they expire earlier upon the occurrence of certain specified events).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 management</w:t>
      </w:r>
      <w:r>
        <w:rPr>
          <w:rFonts w:ascii="Arial" w:cs="Arial" w:eastAsia="Arial" w:hAnsi="Arial"/>
          <w:sz w:val="17"/>
          <w:szCs w:val="17"/>
          <w:color w:val="auto"/>
        </w:rPr>
        <w:t>," a Sanofi designee currently serves on our board 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directors. These contractual provisions may also have the effect of deterring, delaying, or preventing an acquisition or other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27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1,244,000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 we intend to develop this property to accommodate and support our growth, primarily in connection with expanding our existing research and development and office space.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facilities in Rensselaer, New York totaling approximately 900,000 square feet of research, manufacturing, office, and warehouse space. This includes approximately 212,000 square feet of warehouse space which we constructed on a 130-acre parcel of land near our Rensselaer facility. We are in the process of further developing this property, primarily in connection with constructing a fill/finish facility.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a manufacturing facility in Limerick, Ireland, consisting of approximately 445,000 square feet, which was purchased and subsequently renovated to accommodate and support our growth and expand our manufacturing capacity. The facility has received certain manufacturing approvals by regulatory agencies, including the FDA.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16 to our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740" w:right="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there were 166 shareholders of record of our Common Stock and 16 shareholders of record of our Class A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2014 through December 31, 2019. The comparison assumes that $100 was invested on December 31, 2014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143510</wp:posOffset>
            </wp:positionV>
            <wp:extent cx="5848985" cy="3430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12/31/2019</w:t>
            </w: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156.92</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NQ US Pharma TR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153.57</w:t>
            </w:r>
          </w:p>
        </w:tc>
      </w:tr>
      <w:tr>
        <w:trPr>
          <w:trHeight w:val="27"/>
        </w:trPr>
        <w:tc>
          <w:tcPr>
            <w:tcW w:w="3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30"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table below reflects shares of Common Stock we repurchased under our share repurchase program, as well as Common Stock withheld by us for employees to satisfy their tax withholding obligations arising upon the vesting of restricted stock awards or restricted stock units granted under one of our long-term incentive plans, during the fourth quarter of 2019. Refer to Part II, Item 7. "Management's Discussion and Analysis of Financial Condition and Results of Operations - Liquidity and Capital Resources -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for further details of the share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3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Purchased as Part of a</w:t>
            </w:r>
          </w:p>
        </w:tc>
        <w:tc>
          <w:tcPr>
            <w:tcW w:w="3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 Shares that May Yet Be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2"/>
              </w:rPr>
              <w:t>Total Number of Shares</w:t>
            </w:r>
          </w:p>
        </w:tc>
        <w:tc>
          <w:tcPr>
            <w:tcW w:w="340" w:type="dxa"/>
            <w:vAlign w:val="bottom"/>
          </w:tcPr>
          <w:p>
            <w:pPr>
              <w:spacing w:after="0"/>
              <w:rPr>
                <w:sz w:val="18"/>
                <w:szCs w:val="18"/>
                <w:color w:val="auto"/>
              </w:rPr>
            </w:pPr>
          </w:p>
        </w:tc>
        <w:tc>
          <w:tcPr>
            <w:tcW w:w="2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Average Price Paid per</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2420" w:type="dxa"/>
            <w:vAlign w:val="bottom"/>
            <w:gridSpan w:val="2"/>
          </w:tcPr>
          <w:p>
            <w:pPr>
              <w:ind w:left="780"/>
              <w:spacing w:after="0"/>
              <w:rPr>
                <w:sz w:val="20"/>
                <w:szCs w:val="20"/>
                <w:color w:val="auto"/>
              </w:rPr>
            </w:pPr>
            <w:r>
              <w:rPr>
                <w:rFonts w:ascii="Arial" w:cs="Arial" w:eastAsia="Arial" w:hAnsi="Arial"/>
                <w:sz w:val="18"/>
                <w:szCs w:val="18"/>
                <w:b w:val="1"/>
                <w:bCs w:val="1"/>
                <w:color w:val="auto"/>
              </w:rPr>
              <w:t>Period</w:t>
            </w:r>
          </w:p>
        </w:tc>
        <w:tc>
          <w:tcPr>
            <w:tcW w:w="1960" w:type="dxa"/>
            <w:vAlign w:val="bottom"/>
          </w:tcPr>
          <w:p>
            <w:pPr>
              <w:jc w:val="right"/>
              <w:ind w:right="490"/>
              <w:spacing w:after="0"/>
              <w:rPr>
                <w:sz w:val="20"/>
                <w:szCs w:val="20"/>
                <w:color w:val="auto"/>
              </w:rPr>
            </w:pPr>
            <w:r>
              <w:rPr>
                <w:rFonts w:ascii="Arial" w:cs="Arial" w:eastAsia="Arial" w:hAnsi="Arial"/>
                <w:sz w:val="18"/>
                <w:szCs w:val="18"/>
                <w:b w:val="1"/>
                <w:bCs w:val="1"/>
                <w:color w:val="auto"/>
              </w:rPr>
              <w:t>Purchased</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Program</w:t>
            </w:r>
          </w:p>
        </w:tc>
      </w:tr>
      <w:tr>
        <w:trPr>
          <w:trHeight w:val="27"/>
        </w:trPr>
        <w:tc>
          <w:tcPr>
            <w:tcW w:w="2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11/1/2019–11/30/2019</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509,365</w:t>
            </w:r>
          </w:p>
        </w:tc>
        <w:tc>
          <w:tcPr>
            <w:tcW w:w="7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343.35</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508,314</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825,664,565</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12/1/2019–12/31/2019</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214,282</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371.59</w:t>
            </w:r>
          </w:p>
        </w:tc>
        <w:tc>
          <w:tcPr>
            <w:tcW w:w="3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214,282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745,967,321</w:t>
            </w:r>
          </w:p>
        </w:tc>
      </w:tr>
      <w:tr>
        <w:trPr>
          <w:trHeight w:val="27"/>
        </w:trPr>
        <w:tc>
          <w:tcPr>
            <w:tcW w:w="2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r>
      <w:tr>
        <w:trPr>
          <w:trHeight w:val="23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723,647</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3"/>
                <w:szCs w:val="13"/>
                <w:color w:val="auto"/>
              </w:rPr>
              <w:t>(a)</w:t>
            </w: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722,596</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w w:val="87"/>
              </w:rPr>
              <w:t>(a)</w:t>
            </w:r>
          </w:p>
        </w:tc>
        <w:tc>
          <w:tcPr>
            <w:tcW w:w="1960" w:type="dxa"/>
            <w:vAlign w:val="bottom"/>
            <w:shd w:val="clear" w:color="auto" w:fill="CCEEFF"/>
          </w:tcPr>
          <w:p>
            <w:pPr>
              <w:spacing w:after="0"/>
              <w:rPr>
                <w:sz w:val="20"/>
                <w:szCs w:val="20"/>
                <w:color w:val="auto"/>
              </w:rPr>
            </w:pPr>
          </w:p>
        </w:tc>
      </w:tr>
      <w:tr>
        <w:trPr>
          <w:trHeight w:val="27"/>
        </w:trPr>
        <w:tc>
          <w:tcPr>
            <w:tcW w:w="2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280" w:right="220" w:hanging="2"/>
        <w:spacing w:after="0" w:line="291" w:lineRule="auto"/>
        <w:tabs>
          <w:tab w:leader="none" w:pos="413" w:val="left"/>
        </w:tabs>
        <w:numPr>
          <w:ilvl w:val="0"/>
          <w:numId w:val="28"/>
        </w:numPr>
        <w:rPr>
          <w:rFonts w:ascii="Arial" w:cs="Arial" w:eastAsia="Arial" w:hAnsi="Arial"/>
          <w:sz w:val="8"/>
          <w:szCs w:val="8"/>
          <w:color w:val="auto"/>
        </w:rPr>
      </w:pPr>
      <w:r>
        <w:rPr>
          <w:rFonts w:ascii="Arial" w:cs="Arial" w:eastAsia="Arial" w:hAnsi="Arial"/>
          <w:sz w:val="13"/>
          <w:szCs w:val="13"/>
          <w:color w:val="auto"/>
        </w:rPr>
        <w:t>The difference between the total number of shares purchased and the total number of shares purchased as part of a publicly announced program is related to Common Stock withheld by us for employees to satisfy their tax withholding obligations arising upon the vesting of restricted stock awards or restricted stock units granted under one of our long-term incentive plans.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selected financial data set forth below for the years ended December 31, 2019, 2018, and 2017 and as of December 31, 2019 and 2018 are derived from and should be read in conjunction with our audited financial statements, including the notes thereto, included elsewhere in this report. The selected financial data for the years ended December 31, 2016 and 2015 and as of December 31, 2017, 2016, and 2015 are derived from our audited financial statements not included in this report. Certain prior year amounts have been reclassified to conform to the current year's presentation.</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i w:val="1"/>
                <w:iCs w:val="1"/>
                <w:color w:val="auto"/>
              </w:rPr>
              <w:t>(In millions, except per share data)</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Sanofi and Bayer collaboration revenue</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1,339.4</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7"/>
        </w:trPr>
        <w:tc>
          <w:tcPr>
            <w:tcW w:w="4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7,863.4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4,103.7</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4440" w:type="dxa"/>
            <w:vAlign w:val="bottom"/>
          </w:tcPr>
          <w:p>
            <w:pPr>
              <w:ind w:left="26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1,620.6</w:t>
            </w: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collaboration and contract manufacturing</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37"/>
        </w:trPr>
        <w:tc>
          <w:tcPr>
            <w:tcW w:w="4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5,653.6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2,851.8</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1,251.9</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1,225.1</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4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70"/>
        </w:trPr>
        <w:tc>
          <w:tcPr>
            <w:tcW w:w="44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304"/>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2,444.4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r>
      <w:tr>
        <w:trPr>
          <w:trHeight w:val="163"/>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89"/>
              </w:rPr>
              <w:t>As of December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w w:val="93"/>
              </w:rPr>
              <w:t>Cash, cash equivalents, and marketable securities (current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and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6,471.1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4,564.9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2,896.0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1,677.4</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11,734.5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708.5</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364.7</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8,757.3</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3,654.8</w:t>
            </w: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80" w:right="1000" w:firstLine="9"/>
        <w:spacing w:after="0" w:line="253" w:lineRule="auto"/>
        <w:tabs>
          <w:tab w:leader="none" w:pos="707" w:val="left"/>
        </w:tabs>
        <w:numPr>
          <w:ilvl w:val="0"/>
          <w:numId w:val="29"/>
        </w:numPr>
        <w:rPr>
          <w:rFonts w:ascii="Arial" w:cs="Arial" w:eastAsia="Arial" w:hAnsi="Arial"/>
          <w:sz w:val="9"/>
          <w:szCs w:val="9"/>
          <w:color w:val="auto"/>
        </w:rPr>
      </w:pPr>
      <w:r>
        <w:rPr>
          <w:rFonts w:ascii="Arial" w:cs="Arial" w:eastAsia="Arial" w:hAnsi="Arial"/>
          <w:sz w:val="14"/>
          <w:szCs w:val="14"/>
          <w:color w:val="auto"/>
        </w:rPr>
        <w:t xml:space="preserve">Research and development expenses for the year ended December 31, 2019 includes a $400.0 million up-front payment to Alnylam in connection with our collaboration agreement. See Part I, Item 1. "Collaboration Agreements - </w:t>
      </w:r>
      <w:r>
        <w:rPr>
          <w:rFonts w:ascii="Arial" w:cs="Arial" w:eastAsia="Arial" w:hAnsi="Arial"/>
          <w:sz w:val="14"/>
          <w:szCs w:val="14"/>
          <w:i w:val="1"/>
          <w:iCs w:val="1"/>
          <w:color w:val="auto"/>
        </w:rPr>
        <w:t>Collaboration with Alnylam</w:t>
      </w:r>
      <w:r>
        <w:rPr>
          <w:rFonts w:ascii="Arial" w:cs="Arial" w:eastAsia="Arial" w:hAnsi="Arial"/>
          <w:sz w:val="14"/>
          <w:szCs w:val="14"/>
          <w:color w:val="auto"/>
        </w:rPr>
        <w:t>") for further details.</w:t>
      </w:r>
    </w:p>
    <w:p>
      <w:pPr>
        <w:spacing w:after="0" w:line="11" w:lineRule="exact"/>
        <w:rPr>
          <w:rFonts w:ascii="Arial" w:cs="Arial" w:eastAsia="Arial" w:hAnsi="Arial"/>
          <w:sz w:val="9"/>
          <w:szCs w:val="9"/>
          <w:color w:val="auto"/>
        </w:rPr>
      </w:pPr>
    </w:p>
    <w:p>
      <w:pPr>
        <w:ind w:left="580" w:right="580" w:firstLine="9"/>
        <w:spacing w:after="0" w:line="234" w:lineRule="auto"/>
        <w:tabs>
          <w:tab w:leader="none" w:pos="721" w:val="left"/>
        </w:tabs>
        <w:numPr>
          <w:ilvl w:val="0"/>
          <w:numId w:val="29"/>
        </w:numPr>
        <w:rPr>
          <w:rFonts w:ascii="Arial" w:cs="Arial" w:eastAsia="Arial" w:hAnsi="Arial"/>
          <w:sz w:val="9"/>
          <w:szCs w:val="9"/>
          <w:color w:val="auto"/>
        </w:rPr>
      </w:pPr>
      <w:r>
        <w:rPr>
          <w:rFonts w:ascii="Arial" w:cs="Arial" w:eastAsia="Arial" w:hAnsi="Arial"/>
          <w:sz w:val="14"/>
          <w:szCs w:val="14"/>
          <w:color w:val="auto"/>
        </w:rPr>
        <w:t>Income taxes for the year ended December 31, 2018 includes a $162.1 million income tax benefit related to the Company's sale of non-inventory related assets between foreign subsidiaries. As a result of the Tax Cuts and Jobs Act being signed into law in December 2017, income taxes for the year ended December 31, 2017 included a charge of $326.2 million related to the re-measurement of our U.S. net deferred tax assets at the lower enacted corporate tax rate. See Note 15 to our Consolidated Financial Statements for further details.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2018 (filed with the SEC on February 7, 2019) for additional discussion of our financial condition and results of operations for the year ended December 31, 2017, as well as our financial condition and results of operations for the year ended December 31, 2018 compared to the year ended December 31,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described in Part I, Item 1. "Business," we currently have seven products that have received marketing approval and 22 product candidates in clinical development, all of which were discovered in our research laboratories. Refer to Part I, Item 1. "Business" for a summary of our clinical programs.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During the first quarter of 2018, we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sales consist of U.S. net product sales of EYLEA, Libtayo, and ARCALYST. We record revenue from product sales upon delivery to our distributors and specialty pharmacies (collectively, our "customers"). Revenue from product sales is recognized at a point in time when our customer is deemed to have obtained control of the product, which generally occurs upon receipt by our customer.</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amount of revenue we recognize from product sales varies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w:t>
      </w:r>
      <w:r>
        <w:rPr>
          <w:rFonts w:ascii="Arial" w:cs="Arial" w:eastAsia="Arial" w:hAnsi="Arial"/>
          <w:sz w:val="17"/>
          <w:szCs w:val="17"/>
          <w:i w:val="1"/>
          <w:iCs w:val="1"/>
          <w:color w:val="auto"/>
        </w:rPr>
        <w:t>Revenues</w:t>
      </w:r>
      <w:r>
        <w:rPr>
          <w:rFonts w:ascii="Arial" w:cs="Arial" w:eastAsia="Arial" w:hAnsi="Arial"/>
          <w:sz w:val="17"/>
          <w:szCs w:val="17"/>
          <w:color w:val="auto"/>
        </w:rPr>
        <w:t xml:space="preserve"> - </w:t>
      </w:r>
      <w:r>
        <w:rPr>
          <w:rFonts w:ascii="Arial" w:cs="Arial" w:eastAsia="Arial" w:hAnsi="Arial"/>
          <w:sz w:val="17"/>
          <w:szCs w:val="17"/>
          <w:i w:val="1"/>
          <w:iCs w:val="1"/>
          <w:color w:val="auto"/>
        </w:rPr>
        <w:t>Net Product Sales</w:t>
      </w:r>
      <w:r>
        <w:rPr>
          <w:rFonts w:ascii="Arial" w:cs="Arial" w:eastAsia="Arial" w:hAnsi="Arial"/>
          <w:sz w:val="17"/>
          <w:szCs w:val="17"/>
          <w:color w:val="auto"/>
        </w:rPr>
        <w:t>" section below for further details regarding our provisions, and credits/payments, for sales-related deductions.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entered into various agreements related to our activities to research, develop, manufacture, and commercialize product candidates and utilize our technology platforms. Depending on the terms of the arrangement, we may defer the recognition of all or a portion of the consideration received because the performance obligations are satisfied over time.</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performance obligation.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We review our estimate of the transaction price each period and make revisions to such estimates as necessary.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and could result in material changes to the amount of revenue recognized each year in the future.</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are entitled to reimbursement of all or a portion of the research and development expenses that we incur under a collaboration, we record those reimbursable amounts proportionately as we recognize our expenses. If the collaboration is a cost-sharing arrangement in which both we and our collaborator perform development work and share costs, we also recognize, as research and development expense in the period when our collaborator incurs development expenses, a portion of the collaborator's development expenses that we are obligated to reimburse. Our collaborators provide us with estimated development expenses for the most recent fiscal quarter. Our collaborators' estimates are reconciled to their actual expenses for such quarter in the subsequent fiscal quarter, and our portion of our collaborators' development expenses that we are obligated to reimburse is adjusted on a prospective basis accordingly, as necessary.</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certain of our collaboration agreements, product sales and cost of sales may be recorded by our collaborators as they are deemed to be the principal in the transaction. We share in any profits or losses arising from the commercialization of such products, and record our share of the variable consideration, representing net product sales less cost of goods sold and shared commercialization and other expenses, as collaboration revenue in the period in which such underlying sales occur and costs are incurred by the collaborator. Our collaborator provides us with our estimated share of the profits or losses from commercialization of such products for the most recent fiscal quarter. Our collaborators' estimates of profits or losses for such quarter are reconciled to actual profits or losses in the subsequent fiscal quarter, and our share of the profit or loss is adjusted on a prospective basis accordingly, as necessary.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arrangements where the collaborator records product sales, we may be obligated to use commercially reasonable efforts to supply commercial product to our collaborators and may be reimbursed for our manufacturing costs as commercial product is shipped to our collaborators; however, recognition of such cost reimbursements as collaboration revenue is deferred until the product is sold by our collaborators to third-party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stock-based compensation expense for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also includes an estimate, which is made at the time of grant, of the number of awards that are expected to be forfeited.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estimate is revised, if necessary, in subsequent periods if actual forfeitures differ from those estimates.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assumptions used in computing the fair value of stock option awards reflect our best estimates but involve uncertainties related to market and other conditions, many of which are outside of our control. Changes in any of these assumptions may materially affect the fair value of stock option awards granted and the amount of stock-based compensation recognized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unmarketable inventory to its estimated realizable value.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gridSpan w:val="12"/>
          </w:tcPr>
          <w:p>
            <w:pPr>
              <w:ind w:left="78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(In millions, except per share data)</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(5,653.6)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2,115.8</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1"/>
        </w:trPr>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86"/>
        </w:trPr>
        <w:tc>
          <w:tcPr>
            <w:tcW w:w="4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13"/>
        </w:trPr>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9"/>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2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2019 vs. 2018</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2018 vs. 2017</w:t>
            </w:r>
          </w:p>
        </w:tc>
      </w:tr>
      <w:tr>
        <w:trPr>
          <w:trHeight w:val="27"/>
        </w:trPr>
        <w:tc>
          <w:tcPr>
            <w:tcW w:w="120" w:type="dxa"/>
            <w:vAlign w:val="bottom"/>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product sales in the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040" w:type="dxa"/>
            <w:vAlign w:val="bottom"/>
            <w:gridSpan w:val="2"/>
          </w:tcPr>
          <w:p>
            <w:pPr>
              <w:ind w:left="280"/>
              <w:spacing w:after="0"/>
              <w:rPr>
                <w:sz w:val="20"/>
                <w:szCs w:val="20"/>
                <w:color w:val="auto"/>
              </w:rPr>
            </w:pPr>
            <w:r>
              <w:rPr>
                <w:rFonts w:ascii="Arial" w:cs="Arial" w:eastAsia="Arial" w:hAnsi="Arial"/>
                <w:sz w:val="18"/>
                <w:szCs w:val="18"/>
                <w:color w:val="auto"/>
              </w:rPr>
              <w:t>EYLEA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4,644.2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4,076.7</w:t>
            </w:r>
          </w:p>
        </w:tc>
        <w:tc>
          <w:tcPr>
            <w:tcW w:w="100" w:type="dxa"/>
            <w:vAlign w:val="bottom"/>
          </w:tcPr>
          <w:p>
            <w:pPr>
              <w:spacing w:after="0"/>
              <w:rPr>
                <w:sz w:val="21"/>
                <w:szCs w:val="21"/>
                <w:color w:val="auto"/>
              </w:rPr>
            </w:pPr>
          </w:p>
        </w:tc>
        <w:tc>
          <w:tcPr>
            <w:tcW w:w="3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374.8</w:t>
            </w:r>
          </w:p>
        </w:tc>
      </w:tr>
      <w:tr>
        <w:trPr>
          <w:trHeight w:val="27"/>
        </w:trPr>
        <w:tc>
          <w:tcPr>
            <w:tcW w:w="12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Libtayo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120" w:type="dxa"/>
            <w:vAlign w:val="bottom"/>
          </w:tcPr>
          <w:p>
            <w:pPr>
              <w:spacing w:after="0"/>
              <w:rPr>
                <w:sz w:val="21"/>
                <w:szCs w:val="21"/>
                <w:color w:val="auto"/>
              </w:rPr>
            </w:pPr>
          </w:p>
        </w:tc>
        <w:tc>
          <w:tcPr>
            <w:tcW w:w="4040" w:type="dxa"/>
            <w:vAlign w:val="bottom"/>
            <w:gridSpan w:val="2"/>
          </w:tcPr>
          <w:p>
            <w:pPr>
              <w:ind w:left="280"/>
              <w:spacing w:after="0"/>
              <w:rPr>
                <w:sz w:val="20"/>
                <w:szCs w:val="20"/>
                <w:color w:val="auto"/>
              </w:rPr>
            </w:pPr>
            <w:r>
              <w:rPr>
                <w:rFonts w:ascii="Arial" w:cs="Arial" w:eastAsia="Arial" w:hAnsi="Arial"/>
                <w:sz w:val="18"/>
                <w:szCs w:val="18"/>
                <w:color w:val="auto"/>
              </w:rPr>
              <w:t>ARCALYST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2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Sanofi and Bayer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040" w:type="dxa"/>
            <w:vAlign w:val="bottom"/>
            <w:gridSpan w:val="2"/>
          </w:tcPr>
          <w:p>
            <w:pPr>
              <w:ind w:left="280"/>
              <w:spacing w:after="0"/>
              <w:rPr>
                <w:sz w:val="20"/>
                <w:szCs w:val="20"/>
                <w:color w:val="auto"/>
              </w:rPr>
            </w:pPr>
            <w:r>
              <w:rPr>
                <w:rFonts w:ascii="Arial" w:cs="Arial" w:eastAsia="Arial" w:hAnsi="Arial"/>
                <w:sz w:val="18"/>
                <w:szCs w:val="18"/>
                <w:color w:val="auto"/>
              </w:rPr>
              <w:t>Sanofi</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233.9</w:t>
            </w:r>
          </w:p>
        </w:tc>
      </w:tr>
      <w:tr>
        <w:trPr>
          <w:trHeight w:val="27"/>
        </w:trPr>
        <w:tc>
          <w:tcPr>
            <w:tcW w:w="12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120" w:type="dxa"/>
            <w:vAlign w:val="bottom"/>
          </w:tcPr>
          <w:p>
            <w:pPr>
              <w:spacing w:after="0"/>
              <w:rPr>
                <w:sz w:val="21"/>
                <w:szCs w:val="21"/>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78.4</w:t>
            </w:r>
          </w:p>
        </w:tc>
      </w:tr>
      <w:tr>
        <w:trPr>
          <w:trHeight w:val="27"/>
        </w:trPr>
        <w:tc>
          <w:tcPr>
            <w:tcW w:w="120" w:type="dxa"/>
            <w:vAlign w:val="bottom"/>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6,710.8</w:t>
            </w:r>
          </w:p>
        </w:tc>
        <w:tc>
          <w:tcPr>
            <w:tcW w:w="1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r>
      <w:tr>
        <w:trPr>
          <w:trHeight w:val="20"/>
        </w:trPr>
        <w:tc>
          <w:tcPr>
            <w:tcW w:w="1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product sales of EYLEA in the United States increased in 2019 compared to 2018 due to higher sales volume, partly offset by an increase in sales-related deductions primarily due to higher rebates and discounts. On September 28, 2018, the FDA approved Libtayo for the treatment of patients with metastatic or locally advanced CSCC and sales commenced thereafter.</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414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Rebates,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Other Sales-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24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3"/>
              </w:rPr>
              <w:t>Distribution-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38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Discounts</w:t>
            </w:r>
          </w:p>
        </w:tc>
        <w:tc>
          <w:tcPr>
            <w:tcW w:w="24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8"/>
              </w:rPr>
              <w:t>Related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Deductions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(368.8)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(472.8)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727.9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(663.2)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1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jc w:val="center"/>
              <w:ind w:left="270"/>
              <w:spacing w:after="0"/>
              <w:rPr>
                <w:sz w:val="20"/>
                <w:szCs w:val="20"/>
                <w:color w:val="auto"/>
              </w:rPr>
            </w:pPr>
            <w:r>
              <w:rPr>
                <w:rFonts w:ascii="Arial" w:cs="Arial" w:eastAsia="Arial" w:hAnsi="Arial"/>
                <w:sz w:val="18"/>
                <w:szCs w:val="18"/>
                <w:b w:val="1"/>
                <w:bCs w:val="1"/>
                <w:color w:val="auto"/>
                <w:w w:val="90"/>
              </w:rPr>
              <w:t>Year Ended December 31,</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33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80" w:type="dxa"/>
            <w:vAlign w:val="bottom"/>
            <w:gridSpan w:val="6"/>
          </w:tcPr>
          <w:p>
            <w:pPr>
              <w:spacing w:after="0"/>
              <w:rPr>
                <w:sz w:val="20"/>
                <w:szCs w:val="20"/>
                <w:color w:val="auto"/>
              </w:rPr>
            </w:pPr>
            <w:r>
              <w:rPr>
                <w:rFonts w:ascii="Arial" w:cs="Arial" w:eastAsia="Arial" w:hAnsi="Arial"/>
                <w:sz w:val="18"/>
                <w:szCs w:val="18"/>
                <w:color w:val="auto"/>
                <w:w w:val="91"/>
              </w:rPr>
              <w:t>Reimbursement of research and development expenses - Discovery</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gridSpan w:val="5"/>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9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8"/>
              </w:rPr>
              <w:t>Reimbursement of research and development expenses - License and</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Agreement</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4"/>
              </w:rPr>
              <w:t>265.3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740" w:type="dxa"/>
            <w:vAlign w:val="bottom"/>
            <w:gridSpan w:val="5"/>
          </w:tcPr>
          <w:p>
            <w:pPr>
              <w:spacing w:after="0" w:line="270" w:lineRule="exact"/>
              <w:rPr>
                <w:sz w:val="20"/>
                <w:szCs w:val="20"/>
                <w:color w:val="auto"/>
              </w:rPr>
            </w:pPr>
            <w:r>
              <w:rPr>
                <w:rFonts w:ascii="Arial" w:cs="Arial" w:eastAsia="Arial" w:hAnsi="Arial"/>
                <w:sz w:val="18"/>
                <w:szCs w:val="18"/>
                <w:color w:val="auto"/>
              </w:rPr>
              <w:t>Reimbursement of commercialization-related expenses</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w w:val="84"/>
              </w:rPr>
              <w:t>417.2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740" w:type="dxa"/>
            <w:vAlign w:val="bottom"/>
            <w:gridSpan w:val="5"/>
            <w:shd w:val="clear" w:color="auto" w:fill="CCEEFF"/>
          </w:tcPr>
          <w:p>
            <w:pPr>
              <w:spacing w:after="0" w:line="270" w:lineRule="exact"/>
              <w:rPr>
                <w:sz w:val="20"/>
                <w:szCs w:val="20"/>
                <w:color w:val="auto"/>
              </w:rPr>
            </w:pPr>
            <w:r>
              <w:rPr>
                <w:rFonts w:ascii="Arial" w:cs="Arial" w:eastAsia="Arial" w:hAnsi="Arial"/>
                <w:sz w:val="18"/>
                <w:szCs w:val="18"/>
                <w:color w:val="auto"/>
                <w:w w:val="98"/>
              </w:rPr>
              <w:t>Reimbursement for manufacturing of commercial supplies</w:t>
            </w:r>
            <w:r>
              <w:rPr>
                <w:rFonts w:ascii="Arial" w:cs="Arial" w:eastAsia="Arial" w:hAnsi="Arial"/>
                <w:sz w:val="25"/>
                <w:szCs w:val="25"/>
                <w:color w:val="auto"/>
                <w:w w:val="98"/>
                <w:vertAlign w:val="superscript"/>
              </w:rPr>
              <w:t>(2)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4"/>
              </w:rPr>
              <w:t>127.6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Regeneron's share of profits (losses) in connection with commercialization of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antibodies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3380" w:type="dxa"/>
            <w:vAlign w:val="bottom"/>
            <w:gridSpan w:val="3"/>
          </w:tcPr>
          <w:p>
            <w:pPr>
              <w:ind w:left="20"/>
              <w:spacing w:after="0"/>
              <w:rPr>
                <w:sz w:val="20"/>
                <w:szCs w:val="20"/>
                <w:color w:val="auto"/>
              </w:rPr>
            </w:pPr>
            <w:r>
              <w:rPr>
                <w:rFonts w:ascii="Arial" w:cs="Arial" w:eastAsia="Arial" w:hAnsi="Arial"/>
                <w:sz w:val="18"/>
                <w:szCs w:val="18"/>
                <w:color w:val="auto"/>
              </w:rPr>
              <w:t>Total Antibody</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1,172.1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4"/>
              </w:rPr>
              <w:t>559.0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80" w:type="dxa"/>
            <w:vAlign w:val="bottom"/>
            <w:gridSpan w:val="6"/>
          </w:tcPr>
          <w:p>
            <w:pPr>
              <w:spacing w:after="0"/>
              <w:rPr>
                <w:sz w:val="20"/>
                <w:szCs w:val="20"/>
                <w:color w:val="auto"/>
              </w:rPr>
            </w:pPr>
            <w:r>
              <w:rPr>
                <w:rFonts w:ascii="Arial" w:cs="Arial" w:eastAsia="Arial" w:hAnsi="Arial"/>
                <w:sz w:val="18"/>
                <w:szCs w:val="18"/>
                <w:color w:val="auto"/>
                <w:w w:val="91"/>
              </w:rPr>
              <w:t>Reimbursement of research and development expenses - Discovery</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w w:val="84"/>
              </w:rPr>
              <w:t>154.4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40" w:type="dxa"/>
            <w:vAlign w:val="bottom"/>
            <w:gridSpan w:val="5"/>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9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8"/>
              </w:rPr>
              <w:t>Reimbursement of research and development expenses - License and</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Agreement</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4"/>
              </w:rPr>
              <w:t>157.4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740" w:type="dxa"/>
            <w:vAlign w:val="bottom"/>
            <w:gridSpan w:val="5"/>
          </w:tcPr>
          <w:p>
            <w:pPr>
              <w:spacing w:after="0" w:line="270" w:lineRule="exact"/>
              <w:rPr>
                <w:sz w:val="20"/>
                <w:szCs w:val="20"/>
                <w:color w:val="auto"/>
              </w:rPr>
            </w:pPr>
            <w:r>
              <w:rPr>
                <w:rFonts w:ascii="Arial" w:cs="Arial" w:eastAsia="Arial" w:hAnsi="Arial"/>
                <w:sz w:val="18"/>
                <w:szCs w:val="18"/>
                <w:color w:val="auto"/>
              </w:rPr>
              <w:t>Reimbursement of commercialization-related expenses</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2"/>
              </w:rPr>
              <w:t>Amounts recognized in connection with up-front payments received</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4"/>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(12.4)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Immuno-oncology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4"/>
              </w:rPr>
              <w:t>552.1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33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160" w:hanging="132"/>
        <w:spacing w:after="0"/>
        <w:tabs>
          <w:tab w:leader="none" w:pos="1160"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corresponding commercialization-related costs incurred by us are recorded within Selling, general and administrative expense.</w:t>
      </w:r>
    </w:p>
    <w:p>
      <w:pPr>
        <w:spacing w:after="0" w:line="41" w:lineRule="exact"/>
        <w:rPr>
          <w:rFonts w:ascii="Arial" w:cs="Arial" w:eastAsia="Arial" w:hAnsi="Arial"/>
          <w:sz w:val="9"/>
          <w:szCs w:val="9"/>
          <w:color w:val="auto"/>
        </w:rPr>
      </w:pPr>
    </w:p>
    <w:p>
      <w:pPr>
        <w:ind w:left="1160" w:hanging="132"/>
        <w:spacing w:after="0"/>
        <w:tabs>
          <w:tab w:leader="none" w:pos="1160"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corresponding costs incurred by us in connection with such production is recorded within Cost of collaboration and contract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Antibody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Discovery and Preclinical Development Agreement ("Antibody Discovery Agreement") with Sanofi ended on December 31, 2017 without any extension and, therefore, there was no further funding from Sanofi under the Antibody Discovery Agreement after 2017.</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"Reimbursement of commercialization-related expenses" in the table above represents reimbursement of internal and external costs incurred by Regeneron in connection with commercializing Dupixent, Praluent, and Kevzara.</w:t>
      </w:r>
    </w:p>
    <w:p>
      <w:pPr>
        <w:sectPr>
          <w:pgSz w:w="11900" w:h="16838" w:orient="portrait"/>
          <w:cols w:equalWidth="0" w:num="1">
            <w:col w:w="11420"/>
          </w:cols>
          <w:pgMar w:left="240" w:top="11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Regeneron's share of profits (losses) in connection with the commercialization of Dupixent, Praluent, and Kevzara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2,811.0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Regeneron's share of collaboration profits (losses)</w:t>
            </w:r>
          </w:p>
        </w:tc>
        <w:tc>
          <w:tcPr>
            <w:tcW w:w="2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Reimbursement of development expenses incurred by Sanofi</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accordance with Regeneron's 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Regeneron's share of profits (losses)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42"/>
        </w:trPr>
        <w:tc>
          <w:tcPr>
            <w:tcW w:w="4720" w:type="dxa"/>
            <w:vAlign w:val="bottom"/>
          </w:tcPr>
          <w:p>
            <w:pPr>
              <w:ind w:left="18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Regeneron's share of collaboration profits as a percentage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Dupixent, Praluent, and Kevzara net product sales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00" w:right="4740" w:hanging="9"/>
        <w:spacing w:after="0" w:line="333" w:lineRule="auto"/>
        <w:tabs>
          <w:tab w:leader="none" w:pos="1881" w:val="left"/>
        </w:tabs>
        <w:numPr>
          <w:ilvl w:val="0"/>
          <w:numId w:val="32"/>
        </w:numPr>
        <w:rPr>
          <w:rFonts w:ascii="Arial" w:cs="Arial" w:eastAsia="Arial" w:hAnsi="Arial"/>
          <w:sz w:val="9"/>
          <w:szCs w:val="9"/>
          <w:color w:val="auto"/>
        </w:rPr>
      </w:pPr>
      <w:r>
        <w:rPr>
          <w:rFonts w:ascii="Arial" w:cs="Arial" w:eastAsia="Arial" w:hAnsi="Arial"/>
          <w:sz w:val="14"/>
          <w:szCs w:val="14"/>
          <w:color w:val="auto"/>
        </w:rPr>
        <w:t xml:space="preserve">Global net product sales of Dupixent, Praluent, and Kevzara are recorded by Sanofi </w:t>
      </w:r>
      <w:r>
        <w:rPr>
          <w:rFonts w:ascii="Arial" w:cs="Arial" w:eastAsia="Arial" w:hAnsi="Arial"/>
          <w:sz w:val="8"/>
          <w:szCs w:val="8"/>
          <w:color w:val="auto"/>
        </w:rPr>
        <w:t xml:space="preserve">** </w:t>
      </w:r>
      <w:r>
        <w:rPr>
          <w:rFonts w:ascii="Arial" w:cs="Arial" w:eastAsia="Arial" w:hAnsi="Arial"/>
          <w:sz w:val="14"/>
          <w:szCs w:val="14"/>
          <w:color w:val="auto"/>
        </w:rPr>
        <w:t>Percentage not meaningful</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Sanofi share commercial expenses related to Dupixent, Praluent, and Kevzara in accordance with the companies' License and Collaboration Agreement. As such, during the same periods in which we recorded reimbursements from Sanofi related to our commercialization expenses, we also recorded our share of combined profits/losses in connection with the companies' commercialization of Dupixent, Praluent, and Kevzara within Sanofi collaboration revenue. During 2019, Sanofi collaboration revenues in connection with commercialization of antibodies increased, compared to 2018, primarily due to our share of higher Dupixent profits. See Part I, Item 1. "Business - Marketed Products" for a summary of global net product sales recorded by Sanofi in connection with our Antibody License and Collaboration Agreement.</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December 2019, we and Sanofi announced our intent to restructure the antibody collaboration for Kevzara and Praluent; completion of the proposed arrangement is expected to be finalized in the first quarter of 2020. Refer to Part I, Item 1. "Business - Collaboration Agreements - </w:t>
      </w:r>
      <w:r>
        <w:rPr>
          <w:rFonts w:ascii="Arial" w:cs="Arial" w:eastAsia="Arial" w:hAnsi="Arial"/>
          <w:sz w:val="18"/>
          <w:szCs w:val="18"/>
          <w:i w:val="1"/>
          <w:iCs w:val="1"/>
          <w:color w:val="auto"/>
        </w:rPr>
        <w:t>Collaborations with 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for further details.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Immuno-Oncology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Sanofi's reimbursement of immuno-oncology research and development costs under our IO Discovery Agreement decreased in 2019, compared to 2018 and 2017, due to the impact of the Amended IO Discovery Agreement (see Part I, Item 1. "Business - Collaboration Agreements - </w:t>
      </w:r>
      <w:r>
        <w:rPr>
          <w:rFonts w:ascii="Arial" w:cs="Arial" w:eastAsia="Arial" w:hAnsi="Arial"/>
          <w:sz w:val="16"/>
          <w:szCs w:val="16"/>
          <w:i w:val="1"/>
          <w:iCs w:val="1"/>
          <w:color w:val="auto"/>
        </w:rPr>
        <w:t>Collaborations with Sanofi</w:t>
      </w:r>
      <w:r>
        <w:rPr>
          <w:rFonts w:ascii="Arial" w:cs="Arial" w:eastAsia="Arial" w:hAnsi="Arial"/>
          <w:sz w:val="16"/>
          <w:szCs w:val="16"/>
          <w:color w:val="auto"/>
        </w:rPr>
        <w:t xml:space="preserve"> - </w:t>
      </w:r>
      <w:r>
        <w:rPr>
          <w:rFonts w:ascii="Arial" w:cs="Arial" w:eastAsia="Arial" w:hAnsi="Arial"/>
          <w:sz w:val="16"/>
          <w:szCs w:val="16"/>
          <w:i w:val="1"/>
          <w:iCs w:val="1"/>
          <w:color w:val="auto"/>
        </w:rPr>
        <w:t xml:space="preserve">Immuno-Oncology </w:t>
      </w:r>
      <w:r>
        <w:rPr>
          <w:rFonts w:ascii="Arial" w:cs="Arial" w:eastAsia="Arial" w:hAnsi="Arial"/>
          <w:sz w:val="16"/>
          <w:szCs w:val="16"/>
          <w:color w:val="auto"/>
        </w:rPr>
        <w:t>for further details). In 2018, we also recorded cumulative catch-up adjustments to revenue of $135.0 million (included in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connection with up-front payments received" in the Sanofi collaboration revenue table above) arising from changes in the estimate of the stage of completion of the collaborations' immuno-oncology programs, primarily in connection with the Amended IO Discovery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13"/>
        </w:trPr>
        <w:tc>
          <w:tcPr>
            <w:tcW w:w="10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r>
      <w:tr>
        <w:trPr>
          <w:trHeight w:val="27"/>
        </w:trPr>
        <w:tc>
          <w:tcPr>
            <w:tcW w:w="10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10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104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Regeneron's net profit in connection with commercialization of EYLEA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104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802.3</w:t>
            </w:r>
          </w:p>
        </w:tc>
      </w:tr>
      <w:tr>
        <w:trPr>
          <w:trHeight w:val="243"/>
        </w:trPr>
        <w:tc>
          <w:tcPr>
            <w:tcW w:w="10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Reimbursement of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0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57"/>
        </w:trPr>
        <w:tc>
          <w:tcPr>
            <w:tcW w:w="1040" w:type="dxa"/>
            <w:vAlign w:val="bottom"/>
          </w:tcPr>
          <w:p>
            <w:pPr>
              <w:spacing w:after="0"/>
              <w:rPr>
                <w:sz w:val="22"/>
                <w:szCs w:val="22"/>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938.1</w:t>
            </w:r>
          </w:p>
        </w:tc>
      </w:tr>
      <w:tr>
        <w:trPr>
          <w:trHeight w:val="20"/>
        </w:trPr>
        <w:tc>
          <w:tcPr>
            <w:tcW w:w="10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Bayer records net product sales of EYLEA outside the United States. Regeneron's net profit in connection with commercialization of EYLEA outside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is summarized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2,897.4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Regeneron's share of collaboration profit from sales outside the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1,148.0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856.1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of development expenses incurred by Bayer 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accordance with Regeneron's payment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 commercialization of</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Arial" w:cs="Arial" w:eastAsia="Arial" w:hAnsi="Arial"/>
                <w:sz w:val="18"/>
                <w:szCs w:val="18"/>
                <w:color w:val="auto"/>
              </w:rPr>
              <w:t>EYLEA outside the United States</w:t>
            </w: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Regeneron's net profit as a percentage of EYLEA net product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outside the United States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Teva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00"/>
              <w:spacing w:after="0"/>
              <w:rPr>
                <w:sz w:val="20"/>
                <w:szCs w:val="20"/>
                <w:color w:val="auto"/>
              </w:rPr>
            </w:pPr>
            <w:r>
              <w:rPr>
                <w:rFonts w:ascii="Arial" w:cs="Arial" w:eastAsia="Arial" w:hAnsi="Arial"/>
                <w:sz w:val="18"/>
                <w:szCs w:val="18"/>
                <w:color w:val="auto"/>
                <w:w w:val="90"/>
              </w:rPr>
              <w:t>Reimbursement of research and 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Total Teva collaboration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 other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Teva collaboration revenue (which is earned in connection with the development of fasinumab), "Other revenue" in the table above includes, but is not limited to:</w:t>
      </w:r>
    </w:p>
    <w:p>
      <w:pPr>
        <w:spacing w:after="0" w:line="8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recognition of a portion of deferred revenue from up-front and other payments received from MTPC in connection with our fasinumab collaboration;</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jc w:val="both"/>
        <w:ind w:left="660" w:hanging="328"/>
        <w:spacing w:after="0" w:line="22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agreements with BARDA related to REGN-EB3 for the treatment of Ebola;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in connection with sequencing of samples by the RGC for its customers.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Other revenue of $416.8 million in 2018 also included the impact of adopting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the new standard resulted in certain changes to the timing of revenue recognition related to our collaboration agreements. Amounts in periods prior to 2018 have not been adjusted in connection with the adoption of this standard.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74"/>
        </w:trPr>
        <w:tc>
          <w:tcPr>
            <w:tcW w:w="4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13"/>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 vs. 2018</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2018 vs. 2017</w:t>
            </w:r>
          </w:p>
        </w:tc>
      </w:tr>
      <w:tr>
        <w:trPr>
          <w:trHeight w:val="27"/>
        </w:trPr>
        <w:tc>
          <w:tcPr>
            <w:tcW w:w="540" w:type="dxa"/>
            <w:vAlign w:val="bottom"/>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r>
        <w:trPr>
          <w:trHeight w:val="243"/>
        </w:trPr>
        <w:tc>
          <w:tcPr>
            <w:tcW w:w="540" w:type="dxa"/>
            <w:vAlign w:val="bottom"/>
          </w:tcPr>
          <w:p>
            <w:pPr>
              <w:spacing w:after="0"/>
              <w:rPr>
                <w:sz w:val="21"/>
                <w:szCs w:val="21"/>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235.8</w:t>
            </w:r>
          </w:p>
        </w:tc>
      </w:tr>
      <w:tr>
        <w:trPr>
          <w:trHeight w:val="27"/>
        </w:trPr>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40" w:type="dxa"/>
            <w:vAlign w:val="bottom"/>
          </w:tcPr>
          <w:p>
            <w:pPr>
              <w:spacing w:after="0"/>
              <w:rPr>
                <w:sz w:val="23"/>
                <w:szCs w:val="23"/>
                <w:color w:val="auto"/>
              </w:rPr>
            </w:pPr>
          </w:p>
        </w:tc>
        <w:tc>
          <w:tcPr>
            <w:tcW w:w="35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540" w:type="dxa"/>
            <w:vAlign w:val="bottom"/>
          </w:tcPr>
          <w:p>
            <w:pPr>
              <w:spacing w:after="0"/>
              <w:rPr>
                <w:sz w:val="19"/>
                <w:szCs w:val="19"/>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Cost of collaboration and contract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540" w:type="dxa"/>
            <w:vAlign w:val="bottom"/>
          </w:tcPr>
          <w:p>
            <w:pPr>
              <w:spacing w:after="0"/>
              <w:rPr>
                <w:sz w:val="22"/>
                <w:szCs w:val="22"/>
                <w:color w:val="auto"/>
              </w:rPr>
            </w:pPr>
          </w:p>
        </w:tc>
        <w:tc>
          <w:tcPr>
            <w:tcW w:w="3560" w:type="dxa"/>
            <w:vAlign w:val="bottom"/>
            <w:tcBorders>
              <w:bottom w:val="single" w:sz="8" w:color="CCEEFF"/>
            </w:tcBorders>
            <w:gridSpan w:val="2"/>
          </w:tcPr>
          <w:p>
            <w:pPr>
              <w:ind w:left="180"/>
              <w:spacing w:after="0" w:line="257" w:lineRule="exact"/>
              <w:rPr>
                <w:sz w:val="20"/>
                <w:szCs w:val="20"/>
                <w:color w:val="auto"/>
              </w:rPr>
            </w:pPr>
            <w:r>
              <w:rPr>
                <w:rFonts w:ascii="Arial" w:cs="Arial" w:eastAsia="Arial" w:hAnsi="Arial"/>
                <w:sz w:val="18"/>
                <w:szCs w:val="18"/>
                <w:color w:val="auto"/>
              </w:rPr>
              <w:t>manufacturing</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r>
      <w:tr>
        <w:trPr>
          <w:trHeight w:val="257"/>
        </w:trPr>
        <w:tc>
          <w:tcPr>
            <w:tcW w:w="540" w:type="dxa"/>
            <w:vAlign w:val="bottom"/>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540" w:type="dxa"/>
            <w:vAlign w:val="bottom"/>
          </w:tcPr>
          <w:p>
            <w:pPr>
              <w:spacing w:after="0"/>
              <w:rPr>
                <w:sz w:val="21"/>
                <w:szCs w:val="21"/>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headcount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540" w:type="dxa"/>
            <w:vAlign w:val="bottom"/>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720" w:right="600" w:firstLine="4"/>
        <w:spacing w:after="0" w:line="238" w:lineRule="auto"/>
        <w:tabs>
          <w:tab w:leader="none" w:pos="861" w:val="left"/>
        </w:tabs>
        <w:numPr>
          <w:ilvl w:val="0"/>
          <w:numId w:val="34"/>
        </w:numPr>
        <w:rPr>
          <w:rFonts w:ascii="Arial" w:cs="Arial" w:eastAsia="Arial" w:hAnsi="Arial"/>
          <w:sz w:val="9"/>
          <w:szCs w:val="9"/>
          <w:color w:val="auto"/>
        </w:rPr>
      </w:pPr>
      <w:r>
        <w:rPr>
          <w:rFonts w:ascii="Arial" w:cs="Arial" w:eastAsia="Arial" w:hAnsi="Arial"/>
          <w:sz w:val="14"/>
          <w:szCs w:val="14"/>
          <w:color w:val="auto"/>
        </w:rPr>
        <w:t>Cost of goods sold includes costs in connection with producing commercial supplies for products that are sold by Regeneron in the United States (</w:t>
      </w:r>
      <w:r>
        <w:rPr>
          <w:rFonts w:ascii="Arial" w:cs="Arial" w:eastAsia="Arial" w:hAnsi="Arial"/>
          <w:sz w:val="14"/>
          <w:szCs w:val="14"/>
          <w:i w:val="1"/>
          <w:iCs w:val="1"/>
          <w:color w:val="auto"/>
        </w:rPr>
        <w:t>i.e.</w:t>
      </w:r>
      <w:r>
        <w:rPr>
          <w:rFonts w:ascii="Arial" w:cs="Arial" w:eastAsia="Arial" w:hAnsi="Arial"/>
          <w:sz w:val="14"/>
          <w:szCs w:val="14"/>
          <w:color w:val="auto"/>
        </w:rPr>
        <w:t>, EYLEA, Libtayo, and ARCALYST) and any royalties we are obligated to pay on such sales, period costs for our Limerick manufacturing facility, and amounts we are obligated to pay to Sanofi for its share of Libtayo U.S. gross profits.</w:t>
      </w:r>
    </w:p>
    <w:p>
      <w:pPr>
        <w:spacing w:after="0" w:line="20" w:lineRule="exact"/>
        <w:rPr>
          <w:rFonts w:ascii="Arial" w:cs="Arial" w:eastAsia="Arial" w:hAnsi="Arial"/>
          <w:sz w:val="9"/>
          <w:szCs w:val="9"/>
          <w:color w:val="auto"/>
        </w:rPr>
      </w:pPr>
    </w:p>
    <w:p>
      <w:pPr>
        <w:ind w:left="860" w:hanging="136"/>
        <w:spacing w:after="0"/>
        <w:tabs>
          <w:tab w:leader="none" w:pos="860" w:val="left"/>
        </w:tabs>
        <w:numPr>
          <w:ilvl w:val="0"/>
          <w:numId w:val="34"/>
        </w:numPr>
        <w:rPr>
          <w:rFonts w:ascii="Arial" w:cs="Arial" w:eastAsia="Arial" w:hAnsi="Arial"/>
          <w:sz w:val="9"/>
          <w:szCs w:val="9"/>
          <w:color w:val="auto"/>
        </w:rPr>
      </w:pPr>
      <w:r>
        <w:rPr>
          <w:rFonts w:ascii="Arial" w:cs="Arial" w:eastAsia="Arial" w:hAnsi="Arial"/>
          <w:sz w:val="14"/>
          <w:szCs w:val="14"/>
          <w:color w:val="auto"/>
        </w:rPr>
        <w:t>Cost of collaboration and contract manufacturing primarily includes costs we incur in connection with producing commercial drug supplies for Sanofi and Bayer.</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in 2019, 2018, and 2017 included a total of $464.3 million, $427.4 million, and $507.3 million, respectively, of non-cash compensation expense related to awards granted under our long-term incentive plans. Non-cash compensation expense in 2019 and 2018 benefited from a revision in our estimate of the number of stock options that were expected to be forfeited. As of December 31, 2019, unrecognized non-cash compensation expense related to outstanding stock options and unvested restricted stock was $521.9 million and $274.6 million, respectively. We expect to recognize this non-cash compensation expense related to stock options and restricted stock over weighted-average periods of 1.9 years and 3.4 years,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(see "Critical Accounting Policies and Use of Estimates - Inventories" above).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45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01"/>
        </w:trPr>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8"/>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4"/>
                <w:szCs w:val="24"/>
                <w:color w:val="auto"/>
              </w:rPr>
            </w:pPr>
          </w:p>
        </w:tc>
        <w:tc>
          <w:tcPr>
            <w:tcW w:w="27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2"/>
                <w:szCs w:val="22"/>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9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2019 vs. 2018</w:t>
            </w:r>
          </w:p>
        </w:tc>
        <w:tc>
          <w:tcPr>
            <w:tcW w:w="160" w:type="dxa"/>
            <w:vAlign w:val="bottom"/>
          </w:tcPr>
          <w:p>
            <w:pPr>
              <w:spacing w:after="0"/>
              <w:rPr>
                <w:sz w:val="22"/>
                <w:szCs w:val="22"/>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2018 vs. 2017</w:t>
            </w:r>
          </w:p>
        </w:tc>
      </w:tr>
      <w:tr>
        <w:trPr>
          <w:trHeight w:val="244"/>
        </w:trPr>
        <w:tc>
          <w:tcPr>
            <w:tcW w:w="340" w:type="dxa"/>
            <w:vAlign w:val="bottom"/>
          </w:tcPr>
          <w:p>
            <w:pPr>
              <w:spacing w:after="0"/>
              <w:rPr>
                <w:sz w:val="21"/>
                <w:szCs w:val="21"/>
                <w:color w:val="auto"/>
              </w:rPr>
            </w:pPr>
          </w:p>
        </w:tc>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Fasinumab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Libtayo (cemiplimab)</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340" w:type="dxa"/>
            <w:vAlign w:val="bottom"/>
          </w:tcPr>
          <w:p>
            <w:pPr>
              <w:spacing w:after="0"/>
              <w:rPr>
                <w:sz w:val="21"/>
                <w:szCs w:val="21"/>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Dupixent (dupilumab)</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40" w:type="dxa"/>
            <w:vAlign w:val="bottom"/>
          </w:tcPr>
          <w:p>
            <w:pPr>
              <w:spacing w:after="0"/>
              <w:rPr>
                <w:sz w:val="21"/>
                <w:szCs w:val="21"/>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Praluent (alirocumab)</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Evinacumab</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29"/>
        </w:trPr>
        <w:tc>
          <w:tcPr>
            <w:tcW w:w="340" w:type="dxa"/>
            <w:vAlign w:val="bottom"/>
          </w:tcPr>
          <w:p>
            <w:pPr>
              <w:spacing w:after="0"/>
              <w:rPr>
                <w:sz w:val="19"/>
                <w:szCs w:val="19"/>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Up-front payments related to license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4220" w:type="dxa"/>
            <w:vAlign w:val="bottom"/>
            <w:gridSpan w:val="2"/>
          </w:tcPr>
          <w:p>
            <w:pPr>
              <w:ind w:left="440"/>
              <w:spacing w:after="0"/>
              <w:rPr>
                <w:sz w:val="20"/>
                <w:szCs w:val="20"/>
                <w:color w:val="auto"/>
              </w:rPr>
            </w:pPr>
            <w:r>
              <w:rPr>
                <w:rFonts w:ascii="Arial" w:cs="Arial" w:eastAsia="Arial" w:hAnsi="Arial"/>
                <w:sz w:val="18"/>
                <w:szCs w:val="18"/>
                <w:color w:val="auto"/>
              </w:rPr>
              <w:t>collaboration agreements</w:t>
            </w: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0" w:type="dxa"/>
            <w:vAlign w:val="bottom"/>
          </w:tcPr>
          <w:p>
            <w:pPr>
              <w:spacing w:after="0"/>
              <w:rPr>
                <w:sz w:val="19"/>
                <w:szCs w:val="19"/>
                <w:color w:val="auto"/>
              </w:rPr>
            </w:pPr>
          </w:p>
        </w:tc>
        <w:tc>
          <w:tcPr>
            <w:tcW w:w="4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product candidates in clinical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4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and other research programs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340" w:type="dxa"/>
            <w:vAlign w:val="bottom"/>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Payroll and benefits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0" w:type="dxa"/>
            <w:vAlign w:val="bottom"/>
          </w:tcPr>
          <w:p>
            <w:pPr>
              <w:spacing w:after="0"/>
              <w:rPr>
                <w:sz w:val="19"/>
                <w:szCs w:val="19"/>
                <w:color w:val="auto"/>
              </w:rPr>
            </w:pPr>
          </w:p>
        </w:tc>
        <w:tc>
          <w:tcPr>
            <w:tcW w:w="4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Lab supplies and other research and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40" w:type="dxa"/>
            <w:vAlign w:val="bottom"/>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340" w:type="dxa"/>
            <w:vAlign w:val="bottom"/>
          </w:tcPr>
          <w:p>
            <w:pPr>
              <w:spacing w:after="0"/>
              <w:rPr>
                <w:sz w:val="21"/>
                <w:szCs w:val="21"/>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340" w:type="dxa"/>
            <w:vAlign w:val="bottom"/>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0"/>
        </w:trPr>
        <w:tc>
          <w:tcPr>
            <w:tcW w:w="340" w:type="dxa"/>
            <w:vAlign w:val="bottom"/>
          </w:tcPr>
          <w:p>
            <w:pPr>
              <w:spacing w:after="0"/>
              <w:rPr>
                <w:sz w:val="23"/>
                <w:szCs w:val="23"/>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57"/>
        </w:trPr>
        <w:tc>
          <w:tcPr>
            <w:tcW w:w="340" w:type="dxa"/>
            <w:vAlign w:val="bottom"/>
          </w:tcPr>
          <w:p>
            <w:pPr>
              <w:spacing w:after="0"/>
              <w:rPr>
                <w:sz w:val="22"/>
                <w:szCs w:val="22"/>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Research and development expenses in 2019 included a $400.0 million up-front payment to Alnylam (see Part I, Item 1. "Collaboration Agreements - </w:t>
      </w:r>
      <w:r>
        <w:rPr>
          <w:rFonts w:ascii="Arial" w:cs="Arial" w:eastAsia="Arial" w:hAnsi="Arial"/>
          <w:sz w:val="18"/>
          <w:szCs w:val="18"/>
          <w:i w:val="1"/>
          <w:iCs w:val="1"/>
          <w:color w:val="auto"/>
        </w:rPr>
        <w:t>Collaboration with Alnylam</w:t>
      </w:r>
      <w:r>
        <w:rPr>
          <w:rFonts w:ascii="Arial" w:cs="Arial" w:eastAsia="Arial" w:hAnsi="Arial"/>
          <w:sz w:val="18"/>
          <w:szCs w:val="18"/>
          <w:color w:val="auto"/>
        </w:rPr>
        <w:t>" for further information). Research and development expenses included non-cash compensation expense of $250.4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$229.0 million, and $271.9 million in 2019, 2018, and 2017, respectively.</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Selling, general, and administrative expenses increased in 2019, compared to 2018, primarily due to higher headcount and headcount-related costs, an increase in commercialization-related expenses for Dupixent and EYLEA, additional accruals for loss contingencies associated with ongoing litigation, and higher contributions to independent not-for-profit patient assistance organizations. In addition, in the fourth quarter of 2019, we recorded a $35.2 million charge related to employee separation costs, as the Company has eliminated certain commercialization activities and related headcount in connection with the proposed restructuring of the antibody agreement with Sanofi (as described in Part I, Item 1. "Business - Collaboration Agreements - </w:t>
      </w:r>
      <w:r>
        <w:rPr>
          <w:rFonts w:ascii="Arial" w:cs="Arial" w:eastAsia="Arial" w:hAnsi="Arial"/>
          <w:sz w:val="18"/>
          <w:szCs w:val="18"/>
          <w:i w:val="1"/>
          <w:iCs w:val="1"/>
          <w:color w:val="auto"/>
        </w:rPr>
        <w:t>Collaborations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 </w:t>
      </w:r>
      <w:r>
        <w:rPr>
          <w:rFonts w:ascii="Arial" w:cs="Arial" w:eastAsia="Arial" w:hAnsi="Arial"/>
          <w:sz w:val="18"/>
          <w:szCs w:val="18"/>
          <w:color w:val="auto"/>
        </w:rPr>
        <w:t>-</w:t>
      </w:r>
      <w:r>
        <w:rPr>
          <w:rFonts w:ascii="Arial" w:cs="Arial" w:eastAsia="Arial" w:hAnsi="Arial"/>
          <w:sz w:val="18"/>
          <w:szCs w:val="18"/>
          <w:i w:val="1"/>
          <w:iCs w:val="1"/>
          <w:color w:val="auto"/>
        </w:rPr>
        <w:t xml:space="preserve"> Antibody</w:t>
      </w:r>
      <w:r>
        <w:rPr>
          <w:rFonts w:ascii="Arial" w:cs="Arial" w:eastAsia="Arial" w:hAnsi="Arial"/>
          <w:sz w:val="18"/>
          <w:szCs w:val="18"/>
          <w:color w:val="auto"/>
        </w:rPr>
        <w:t>"). Selling, general, and administrative expenses also included $167.7 million, $169.2 million, and $208.4 million of non-cash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2019, 2018, and 2017,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increased in 2019, compared to 2018, primarily due to Libtayo sales in the United States, including (i) our obligation to pay Sanofi its share of Libtayo U.S.gross profits and (ii) third-party royalties. In addition, Cost of goods sold for the years ended December 31, 2019 and 2018 included inventory write-downs and reserves totaling $73.8 million and $12.5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Cost of collaboration and contract manufacturing in 2019, compared to 2018, was primarily due to the recognition of manufacturing costs associated with higher sales of Dupixent.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was positively impacted in 2019 by the recognition of unrealized gains on equity securities. Other income (expense), net, in 2019, compared to 2018, was also positively impacted by increased interest income earned on available-for-sale debt securities primarily due to higher average investment balances.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first quarter of 2018, we adopted Accounting Standards Update ("ASU")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which requires us to measure equity investments at fair value with changes in fair value recognized in net income; previously, such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were recognized in Other comprehensive income (loss).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30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2019 was positively impacted, compared to the U.S. federal statutory rate, primarily by federal tax credits for research activities, stock-based compensation, and the foreign-derived intangible income deduction. Our effective tax rate for 2018 was positively impacted, compared to the U.S. federal statutory rate, primarily by the sale of non-inventory related assets between foreign subsidiaries (for which we recorded a $162.1 million net income tax benefit), and, to a lesser extent, the federal tax credit for research activities, stock-based compensation, income earned in foreign jurisdictions with tax rates lower than the U.S. federal statutory rate, and tax planning in connection with the bill known as the "Tax Cuts and Jobs Act" (the "Act") (as further described below).</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the Act was signed into law. The Act, which became effective with respect to most of its provisions as of January 1, 2018, included a number of provisions that impact us, including reducing the U.S. federal corporate income tax rate from 35% to 21%, changing the taxation of foreign earnings (including taxation of certain global intangible low-taxed income), allowing for a foreign-derived intangible income deduction and immediate expensing of the cost for qualified assets, repealing the deduction for domestic manufacturing, and imposing further limitations on the deductibility of executive compensation. As a result of the Act being signed into law, we recognized a provisional charge of $326.2 million in the fourth quarter of 2017 related to the re-measurement of our U.S. net deferred tax assets at the lower enacted corporate tax rate. The provisional charge recorded in the fourth quarter of 2017 was an estimate and was subject to further analysis, interpretation, and clarification of the Act. During 2018, we recorded an income tax benefit of $68.0 million as a final adjustment to the provisional amount recorded as of December 31, 2017.</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4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86"/>
        </w:trPr>
        <w:tc>
          <w:tcPr>
            <w:tcW w:w="5620" w:type="dxa"/>
            <w:vAlign w:val="bottom"/>
            <w:gridSpan w:val="3"/>
          </w:tcPr>
          <w:p>
            <w:pPr>
              <w:spacing w:after="0"/>
              <w:rPr>
                <w:sz w:val="20"/>
                <w:szCs w:val="20"/>
                <w:color w:val="auto"/>
              </w:rPr>
            </w:pPr>
            <w:r>
              <w:rPr>
                <w:rFonts w:ascii="Arial" w:cs="Arial" w:eastAsia="Arial" w:hAnsi="Arial"/>
                <w:sz w:val="18"/>
                <w:szCs w:val="18"/>
                <w:color w:val="auto"/>
              </w:rPr>
              <w:t>Our financial condition is summarized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ind w:left="28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 Change</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1,501.8</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1,906.2</w:t>
            </w: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7,689.1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1,241.5</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653.8</w:t>
            </w:r>
          </w:p>
        </w:tc>
      </w:tr>
      <w:tr>
        <w:trPr>
          <w:trHeight w:val="237"/>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also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2019,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70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2019 vs. 2018</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2018 vs. 2017</w:t>
            </w:r>
          </w:p>
        </w:tc>
      </w:tr>
      <w:tr>
        <w:trPr>
          <w:trHeight w:val="27"/>
        </w:trPr>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(1,005.2)</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(457.8)</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4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net income of $2.116 billion in 2019 was negatively impacted by an up-front payment of $400.0 million made to Alnylam pursuant to our collaboration agreement. Our net income in 2019 was impacted by several non-cash items, including unrealized gains (net) on equity securities and inventory write-downs and reserves (see "Results of Operations" above), as well as the impact of Sanofi satisfying its Libtayo development funding obligation in shares of Regeneron stock (see "Sanofi Funding of Certain Development Costs" below). Deferred taxes as of December 31, 2019 increased by $130.6 million, compared to December 31, 2018, primarily due to the tax treatment of the up-front payment made to Alnylam and non-cash compensation expense. Deferred revenue as of December 31, 2019 increased compared to December 31, 2018 partially due to the impact of the receipt of a $461.9 million payment from Sanofi in connection with the termination of the 2015 IO Discovery Agreement (as described in Part I, Item 1. "Collaboration Agreements - </w:t>
      </w:r>
      <w:r>
        <w:rPr>
          <w:rFonts w:ascii="Arial" w:cs="Arial" w:eastAsia="Arial" w:hAnsi="Arial"/>
          <w:sz w:val="18"/>
          <w:szCs w:val="18"/>
          <w:i w:val="1"/>
          <w:iCs w:val="1"/>
          <w:color w:val="auto"/>
        </w:rPr>
        <w:t>Collaborations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Sanofi - Immuno-Oncology</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income of $2.444 billion in 2018 included the recognition of cumulative catch-up adjustments of $135.0 million within revenue primarily in connection with the termination of the 2015 IO Discovery Agreement and other non-cash items, including $75.8 million in connection with Sanofi satisfying its Libtayo development funding obligation in shares of Regeneron stock and $41.9 million related to unrealized losses (net) on equity securities. Deferred tax assets as of December 31, 2018 increased by $140.0 million, compared to December 31, 2017, primarily due to the impact of the Company's sale of non-inventory related assets between foreign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we purchased $400.0 million of Alnylam common stock in connection with entering into the collaboration agreement. Capital expenditures in 2019 included costs associated with the expanding our manufacturing facilities in Rensselaer, New York and Limerick, Ireland, including the initiation of the construction of a fill/finish facility.</w:t>
      </w:r>
    </w:p>
    <w:p>
      <w:pPr>
        <w:sectPr>
          <w:pgSz w:w="11900" w:h="16838" w:orient="portrait"/>
          <w:cols w:equalWidth="0" w:num="1">
            <w:col w:w="11420"/>
          </w:cols>
          <w:pgMar w:left="240" w:top="11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to incur capital expenditures of $520 million to $620 million in 2020 primarily in connection with the continued expansion of our manufacturing facilities, including the fill/finish facility and equipment, and laboratory expansion and renovations at our Tarrytown, New York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2019, we paid an aggregate of $275.9 million to purchase shares of our Common Stock. See further descriptions under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and "</w:t>
      </w:r>
      <w:r>
        <w:rPr>
          <w:rFonts w:ascii="Arial" w:cs="Arial" w:eastAsia="Arial" w:hAnsi="Arial"/>
          <w:sz w:val="18"/>
          <w:szCs w:val="18"/>
          <w:i w:val="1"/>
          <w:iCs w:val="1"/>
          <w:color w:val="auto"/>
        </w:rPr>
        <w:t>Sanofi Funding of Certain Development Costs</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an agreement with a syndicate of lenders (the "Credit Agreement") which provides for a $750.0 million senior unsecured five-year revolving credit facility (the "Credit Facility"), and contemporaneously terminated our then-existing credit agreement (the "Prior Credit Agreement"). The Credit Agreement was entered into on terms substantially similar to those of the Prior Credit Agreement. No borrowings were outstanding under the Prior Credit Agreement at the time of its termination.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2019.</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we repurchased 722,596 shares of our Common Stock under the program and recorded the cost of the shares received, or $254.0 million, as Treasury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described in Part I, Item 1. "Business - Collaborations - </w:t>
      </w:r>
      <w:r>
        <w:rPr>
          <w:rFonts w:ascii="Arial" w:cs="Arial" w:eastAsia="Arial" w:hAnsi="Arial"/>
          <w:sz w:val="17"/>
          <w:szCs w:val="17"/>
          <w:i w:val="1"/>
          <w:iCs w:val="1"/>
          <w:color w:val="auto"/>
        </w:rPr>
        <w:t>Collaborations with Sanofi</w:t>
      </w:r>
      <w:r>
        <w:rPr>
          <w:rFonts w:ascii="Arial" w:cs="Arial" w:eastAsia="Arial" w:hAnsi="Arial"/>
          <w:sz w:val="17"/>
          <w:szCs w:val="17"/>
          <w:color w:val="auto"/>
        </w:rPr>
        <w:t>," effective January 7, 2018, we have agreed to allow Sanofi to satisfy in whole or in part its funding obligations with respect to Libtayo development and/or Dupilumab/REGN3500 Eligible Investments by selling up to an aggregate of 1,400,000 shares (of which 869,828 shares remain available to be sold as of December 31, 2019) of our Common Stock directly or indirectly owned by Sanofi. During 2019, Sanofi elected to sell, and we elected to purchase (by issuing a credit towards the amount owed by Sanofi), 210,733 shares of the Company's Common Stock to satisfy Sanofi's funding obligation related to Libtayo development costs. Consequently, we recorded $73.3 million related to the shares received as Treasury Stock during 2019. In addition, during 2019, Sanofi elected to sell, and we elected to purchase (in cash), 93,286 shares of the Company's Common Stock in connection with Sanofi's funding obligation for Dupilumab/REGN3500 Eligible Investments. Consequently, we recorded the cost of the shares received, or $29.4 million, as Treasury Stock during 2019.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"Lease Participants"), which provided for lease financing in connection with the acquisition by BAL of the Facility and our lease of the Facility from BAL. In March 2017, we assigned our right to take title to the Facility under the Purchase Agreement to BAL, and the Lease Participants advanced $720.0 million, which was used by BAL to finance the purchase price for the Facility.</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amount required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the Credit Facility, funds generated by anticipated EYLEA and Dupixent net product sales, and, as described above under Part I, Item 1. "Business - Collaborations," funding for reimbursement of research and development costs that we are entitled to receive under our collaboration agreements, will enable us to meet our anticipated operating needs for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140"/>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Less than one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Greater than</w:t>
            </w:r>
          </w:p>
        </w:tc>
      </w:tr>
      <w:tr>
        <w:trPr>
          <w:trHeight w:val="234"/>
        </w:trPr>
        <w:tc>
          <w:tcPr>
            <w:tcW w:w="4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3 to 5 years</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5 years</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Purchase and other obligations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70"/>
        </w:trPr>
        <w:tc>
          <w:tcPr>
            <w:tcW w:w="4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Operating and finance lease obligations</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60" w:right="1000" w:hanging="1"/>
        <w:spacing w:after="0" w:line="253" w:lineRule="auto"/>
        <w:tabs>
          <w:tab w:leader="none" w:pos="1001" w:val="left"/>
        </w:tabs>
        <w:numPr>
          <w:ilvl w:val="0"/>
          <w:numId w:val="35"/>
        </w:numPr>
        <w:rPr>
          <w:rFonts w:ascii="Arial" w:cs="Arial" w:eastAsia="Arial" w:hAnsi="Arial"/>
          <w:sz w:val="9"/>
          <w:szCs w:val="9"/>
          <w:color w:val="auto"/>
        </w:rPr>
      </w:pPr>
      <w:r>
        <w:rPr>
          <w:rFonts w:ascii="Arial" w:cs="Arial" w:eastAsia="Arial" w:hAnsi="Arial"/>
          <w:sz w:val="14"/>
          <w:szCs w:val="14"/>
          <w:color w:val="auto"/>
        </w:rPr>
        <w:t>Primarily includes research and development commitments, including those related to clinical trials, and capital expenditures. Our obligation to pay certain of these amounts may increase or be reduced based on relevant future events.</w:t>
      </w:r>
    </w:p>
    <w:p>
      <w:pPr>
        <w:spacing w:after="0" w:line="11" w:lineRule="exact"/>
        <w:rPr>
          <w:rFonts w:ascii="Arial" w:cs="Arial" w:eastAsia="Arial" w:hAnsi="Arial"/>
          <w:sz w:val="9"/>
          <w:szCs w:val="9"/>
          <w:color w:val="auto"/>
        </w:rPr>
      </w:pPr>
    </w:p>
    <w:p>
      <w:pPr>
        <w:ind w:left="860" w:right="600" w:hanging="1"/>
        <w:spacing w:after="0" w:line="238" w:lineRule="auto"/>
        <w:tabs>
          <w:tab w:leader="none" w:pos="1001"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Includes rent payments with respect to finance lease obligations in connection with our property leases in Tarrytown, New York, as described under "</w:t>
      </w:r>
      <w:r>
        <w:rPr>
          <w:rFonts w:ascii="Arial" w:cs="Arial" w:eastAsia="Arial" w:hAnsi="Arial"/>
          <w:sz w:val="14"/>
          <w:szCs w:val="14"/>
          <w:i w:val="1"/>
          <w:iCs w:val="1"/>
          <w:color w:val="auto"/>
        </w:rPr>
        <w:t>Tarrytown, New York</w:t>
      </w:r>
      <w:r>
        <w:rPr>
          <w:rFonts w:ascii="Arial" w:cs="Arial" w:eastAsia="Arial" w:hAnsi="Arial"/>
          <w:sz w:val="14"/>
          <w:szCs w:val="14"/>
          <w:color w:val="auto"/>
        </w:rPr>
        <w:t xml:space="preserve"> </w:t>
      </w:r>
      <w:r>
        <w:rPr>
          <w:rFonts w:ascii="Arial" w:cs="Arial" w:eastAsia="Arial" w:hAnsi="Arial"/>
          <w:sz w:val="14"/>
          <w:szCs w:val="14"/>
          <w:i w:val="1"/>
          <w:iCs w:val="1"/>
          <w:color w:val="auto"/>
        </w:rPr>
        <w:t>Leases</w:t>
      </w:r>
      <w:r>
        <w:rPr>
          <w:rFonts w:ascii="Arial" w:cs="Arial" w:eastAsia="Arial" w:hAnsi="Arial"/>
          <w:sz w:val="14"/>
          <w:szCs w:val="14"/>
          <w:color w:val="auto"/>
        </w:rPr>
        <w:t>" above and Note 11 to our Consolidated Financial Statements. Amounts in the table above exclude the purchase price we would be obligated to pay if we were to</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our option to purchase the Facility.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Liabilities for unrecognized tax benefits, totaling $210.8 million at December 31, 2019, are not included in the table of contractual obligations above as, due to their nature, there is a high degree of uncertainty regarding the period of potential future cash settlement with taxing authorities. See Note 15 to our Consolidated Financial Statements.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trials underway and of additional clinical trials that we decide to initiate, and the various factors that affect the cost of each trial.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w:t>
      </w: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anticipate continuing to incur substantial commercialization costs for EYLEA, Dupixent, and Libtayo.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3 and Note 11 to our Consolidated Financial Statements.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Antibody and IO Collaborations with Sanofi and our collaboration with Bayer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for a defined percentage (generally 50%) of agreed-upon development expenses funded by Sanofi and Bayer. These reimbursements are deducted each quarter, in accordance with a formula, from our share of the collaboration profits (and, for our EYLEA collaboration with Bayer, inclusive of our percentage on product sales in Japan) otherwise payable to us, unless, in the case of EYLEA, we elect to reimburse these expenses at a faster rate. As of December 31, 2019, our contingent reimbursement obligation to Bayer for EYLEA was approximately $270 million and our contingent reimbursement obligation to Sanofi in connection with the companies' Antibody Collaboration and IO Collaboration was approximately $2.990 billion and $75 million, respectively. Therefore, we expect that, for the foreseeable future, a portion of our share of profits from sales under our collaborations with Bayer and Sanofi will be used to reimburse our collaborators for these obligations.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$48.6 million and $27.7 million decrease in the fair value of our investment portfolio as of December 31, 2019 and 2018, respectively.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March 2017 variable rate Tarrytown, New York lease (as described in Part II, Item 7.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primarily offset by our investments in marketable securities. In addition, we further manage our interest rate exposure related to our variable rate lease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2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hedged a portion of our floating interest rate exposure using interest rate swap and interest rate cap contracts. We estimate that a 100 basis point, or 1%, unfavorable change in interest rates would not have a material impact on the fair value of our interest rate swap or interest rate cap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Risk</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2019, 2018, and 2017, we did not record any charges for other-than-temporary impairments of our available-for-sale debt securities.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credit risk associated with the receivables due from our collaborators, including Bayer, Sanofi, and Teva. We are also subject to credit risk in connection with trade accounts receivable from our product sales. These trade accounts receivable are primarily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During 2019, 2018, and 2017, we did not recognize any charges for write-offs of accounts receivable related to our marketed products. As of December 31, 2019 and 2018, three customers accounted on a combined basis for 97% and 99%, respectively, of our net trade accounts receivables.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discussed further above, Bayer markets EYLEA outside the United States and Sanofi markets Dupixent, Praluent, and Kevzara worldwide,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 is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Risk</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We recorded $118.3 million of net unrealized gains and $41.9 million of net unrealized losses on equity securities in Other income (expense), net for the years ended December 31, 2019 and 2018,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F-44 of this report. The supplementary financial information required by this Item is included at page F-44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2019 using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that evaluation, our management has concluded that our internal control over financial reporting was effective as of December 31, 2019. The effectiveness of the Company's internal control over financial reporting as of December 31, 2019 has been audited by PricewaterhouseCoopers LLP, an independent registered public accounting firm, as stated in their report which appears under Part IV, Item 15.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2019 that has materially affected, or is reasonably likely to materially affect, our internal control over financial reporting.</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line="62"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(other than the information set forth in the next paragraph in this Item 10) will be included in our definitive proxy statement with respect to our 2020 Annual Meeting of Shareholders to be filed with the SEC, and is incorporated herein by reference.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2020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2020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2020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2020 Annual Meeting of Shareholders to be filed with the SEC, and is incorporated herein by reference.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520" w:type="dxa"/>
            <w:vAlign w:val="bottom"/>
            <w:gridSpan w:val="4"/>
          </w:tcPr>
          <w:p>
            <w:pPr>
              <w:spacing w:after="0"/>
              <w:rPr>
                <w:sz w:val="20"/>
                <w:szCs w:val="20"/>
                <w:color w:val="auto"/>
              </w:rPr>
            </w:pPr>
            <w:r>
              <w:rPr>
                <w:rFonts w:ascii="Arial" w:cs="Arial" w:eastAsia="Arial" w:hAnsi="Arial"/>
                <w:sz w:val="18"/>
                <w:szCs w:val="18"/>
                <w:i w:val="1"/>
                <w:iCs w:val="1"/>
                <w:color w:val="auto"/>
              </w:rPr>
              <w:t>3. Exhibits</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3"/>
        </w:trPr>
        <w:tc>
          <w:tcPr>
            <w:tcW w:w="38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1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2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right w:val="single" w:sz="8" w:color="CCEEFF"/>
            </w:tcBorders>
            <w:gridSpan w:val="6"/>
            <w:shd w:val="clear" w:color="auto" w:fill="CCEEFF"/>
          </w:tcPr>
          <w:p>
            <w:pPr>
              <w:spacing w:after="0" w:line="202"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Restated Certificate of Incorporation, as amended. (Incorporated by reference from the Form 10-Q for Regeneron</w:t>
              </w:r>
            </w:hyperlink>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Pharmaceuticals, Inc. (the "Registrant"), for the quarter ended June 30, 2015, filed August 4, 2015.)</w:t>
              </w:r>
            </w:hyperlink>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9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bottom w:val="single" w:sz="8" w:color="0000FF"/>
            </w:tcBorders>
            <w:gridSpan w:val="6"/>
          </w:tcPr>
          <w:p>
            <w:pPr>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Amended and Restated By-Laws. (Incorporated by reference from the Form 8-K for the Registrant filed</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December 21, 2016.)</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7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202" w:lineRule="exact"/>
              <w:rPr>
                <w:rFonts w:ascii="Arial" w:cs="Arial" w:eastAsia="Arial" w:hAnsi="Arial"/>
                <w:sz w:val="18"/>
                <w:szCs w:val="18"/>
                <w:color w:val="0000FF"/>
              </w:rPr>
            </w:pPr>
            <w:hyperlink w:anchor="page130">
              <w:r>
                <w:rPr>
                  <w:rFonts w:ascii="Arial" w:cs="Arial" w:eastAsia="Arial" w:hAnsi="Arial"/>
                  <w:sz w:val="18"/>
                  <w:szCs w:val="18"/>
                  <w:color w:val="0000FF"/>
                </w:rPr>
                <w:t>Description of Securities Registered Pursuant to Section 12 of the Securities Exchange Act of 1934.</w:t>
              </w:r>
            </w:hyperlink>
          </w:p>
        </w:tc>
      </w:tr>
      <w:tr>
        <w:trPr>
          <w:trHeight w:val="48"/>
        </w:trPr>
        <w:tc>
          <w:tcPr>
            <w:tcW w:w="380" w:type="dxa"/>
            <w:vAlign w:val="bottom"/>
            <w:tcBorders>
              <w:right w:val="single" w:sz="8" w:color="CCEEFF"/>
            </w:tcBorders>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0000FF"/>
            </w:tcBorders>
            <w:shd w:val="clear" w:color="auto" w:fill="CCEEFF"/>
          </w:tcPr>
          <w:p>
            <w:pPr>
              <w:spacing w:after="0"/>
              <w:rPr>
                <w:sz w:val="4"/>
                <w:szCs w:val="4"/>
                <w:color w:val="auto"/>
              </w:rPr>
            </w:pPr>
          </w:p>
        </w:tc>
        <w:tc>
          <w:tcPr>
            <w:tcW w:w="38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580" w:type="dxa"/>
            <w:vAlign w:val="bottom"/>
          </w:tcPr>
          <w:p>
            <w:pPr>
              <w:spacing w:after="0" w:line="202" w:lineRule="exact"/>
              <w:rPr>
                <w:sz w:val="20"/>
                <w:szCs w:val="20"/>
                <w:color w:val="auto"/>
              </w:rPr>
            </w:pPr>
            <w:r>
              <w:rPr>
                <w:rFonts w:ascii="Arial" w:cs="Arial" w:eastAsia="Arial" w:hAnsi="Arial"/>
                <w:sz w:val="18"/>
                <w:szCs w:val="18"/>
                <w:color w:val="auto"/>
              </w:rPr>
              <w:t>10.1 +</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6"/>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Regeneron Pharmaceuticals, Inc. Second Amended and Restated 2000 Long-Term Incentive Plan. (Incorporated</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by reference from the Registration Statement on Form S-8 for the Registrant, filed June 13, 2011.)</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38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10.1.1 +</w:t>
            </w: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202"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Form of option agreement and related notice of grant for use in connection with the grant of options to the</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5000" w:type="dxa"/>
            <w:vAlign w:val="bottom"/>
            <w:tcBorders>
              <w:right w:val="single" w:sz="8" w:color="CCEEFF"/>
            </w:tcBorders>
            <w:gridSpan w:val="3"/>
            <w:shd w:val="clear" w:color="auto" w:fill="0000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Registrant's non-employee directors and named executive officers under the Regeneron Pharmaceuticals, Inc.</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5000" w:type="dxa"/>
            <w:vAlign w:val="bottom"/>
            <w:tcBorders>
              <w:right w:val="single" w:sz="8" w:color="CCEEFF"/>
            </w:tcBorders>
            <w:gridSpan w:val="3"/>
            <w:shd w:val="clear" w:color="auto" w:fill="0000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Second Amended and Restated 2000 Long-Term Incentive Plan. (Incorporated by reference from the Form 8-K</w:t>
              </w:r>
            </w:hyperlink>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32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for the Registrant, filed December 16, 2005.)</w:t>
              </w:r>
            </w:hyperlink>
          </w:p>
        </w:tc>
        <w:tc>
          <w:tcPr>
            <w:tcW w:w="5000" w:type="dxa"/>
            <w:vAlign w:val="bottom"/>
            <w:tcBorders>
              <w:top w:val="single" w:sz="8" w:color="0000FF"/>
              <w:bottom w:val="single" w:sz="8" w:color="CCEEFF"/>
              <w:right w:val="single" w:sz="8" w:color="CCEEFF"/>
            </w:tcBorders>
            <w:gridSpan w:val="3"/>
            <w:shd w:val="clear" w:color="auto" w:fill="CCEEFF"/>
          </w:tcPr>
          <w:p>
            <w:pPr>
              <w:spacing w:after="0"/>
              <w:rPr>
                <w:sz w:val="21"/>
                <w:szCs w:val="21"/>
                <w:color w:val="auto"/>
              </w:rPr>
            </w:pPr>
          </w:p>
        </w:tc>
      </w:tr>
      <w:tr>
        <w:trPr>
          <w:trHeight w:val="203"/>
        </w:trPr>
        <w:tc>
          <w:tcPr>
            <w:tcW w:w="1020" w:type="dxa"/>
            <w:vAlign w:val="bottom"/>
            <w:gridSpan w:val="3"/>
          </w:tcPr>
          <w:p>
            <w:pPr>
              <w:ind w:left="380"/>
              <w:spacing w:after="0" w:line="202" w:lineRule="exact"/>
              <w:rPr>
                <w:sz w:val="20"/>
                <w:szCs w:val="20"/>
                <w:color w:val="auto"/>
              </w:rPr>
            </w:pPr>
            <w:r>
              <w:rPr>
                <w:rFonts w:ascii="Arial" w:cs="Arial" w:eastAsia="Arial" w:hAnsi="Arial"/>
                <w:sz w:val="18"/>
                <w:szCs w:val="18"/>
                <w:color w:val="auto"/>
                <w:w w:val="94"/>
              </w:rPr>
              <w:t>10.1.2 +</w:t>
            </w:r>
          </w:p>
        </w:tc>
        <w:tc>
          <w:tcPr>
            <w:tcW w:w="500" w:type="dxa"/>
            <w:vAlign w:val="bottom"/>
          </w:tcPr>
          <w:p>
            <w:pPr>
              <w:spacing w:after="0"/>
              <w:rPr>
                <w:sz w:val="17"/>
                <w:szCs w:val="17"/>
                <w:color w:val="auto"/>
              </w:rPr>
            </w:pPr>
          </w:p>
        </w:tc>
        <w:tc>
          <w:tcPr>
            <w:tcW w:w="8240" w:type="dxa"/>
            <w:vAlign w:val="bottom"/>
            <w:gridSpan w:val="6"/>
          </w:tcPr>
          <w:p>
            <w:pPr>
              <w:spacing w:after="0" w:line="202" w:lineRule="exact"/>
              <w:rPr>
                <w:rFonts w:ascii="Arial" w:cs="Arial" w:eastAsia="Arial" w:hAnsi="Arial"/>
                <w:sz w:val="18"/>
                <w:szCs w:val="18"/>
                <w:color w:val="0000FF"/>
                <w:w w:val="97"/>
              </w:rPr>
            </w:pPr>
            <w:hyperlink r:id="rId23">
              <w:r>
                <w:rPr>
                  <w:rFonts w:ascii="Arial" w:cs="Arial" w:eastAsia="Arial" w:hAnsi="Arial"/>
                  <w:sz w:val="18"/>
                  <w:szCs w:val="18"/>
                  <w:color w:val="0000FF"/>
                  <w:w w:val="97"/>
                </w:rPr>
                <w:t>Form of option agreement and related notice of grant for use in connection with the grant of options to the</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Registrant's executive officers other than the named executive officers under the Regeneron Pharmaceuticals, Inc.</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6"/>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Second Amended and Restated 2000 Long-Term Incentive Plan. (Incorporated by reference from the Form 8-K</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for the Registrant, filed December 16, 2005.)</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3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10.1.3 +</w:t>
            </w: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202"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240" w:type="dxa"/>
            <w:vAlign w:val="bottom"/>
            <w:tcBorders>
              <w:right w:val="single" w:sz="8" w:color="CCEEFF"/>
            </w:tcBorders>
            <w:gridSpan w:val="6"/>
            <w:shd w:val="clear" w:color="auto" w:fill="0000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tcBorders>
              <w:right w:val="single" w:sz="8" w:color="CCEEFF"/>
            </w:tcBorders>
            <w:gridSpan w:val="6"/>
            <w:shd w:val="clear" w:color="auto" w:fill="CCEEFF"/>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restricted stock awards to the Registrant's executive officers under the Regeneron Pharmaceuticals, Inc. Second</w:t>
              </w:r>
            </w:hyperlink>
          </w:p>
        </w:tc>
      </w:tr>
      <w:tr>
        <w:trPr>
          <w:trHeight w:val="131"/>
        </w:trPr>
        <w:tc>
          <w:tcPr>
            <w:tcW w:w="380" w:type="dxa"/>
            <w:vAlign w:val="bottom"/>
            <w:tcBorders>
              <w:right w:val="single" w:sz="8" w:color="CCEEFF"/>
            </w:tcBorders>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720" w:type="dxa"/>
            <w:vAlign w:val="bottom"/>
            <w:tcBorders>
              <w:top w:val="single" w:sz="8" w:color="0000FF"/>
            </w:tcBorders>
            <w:shd w:val="clear" w:color="auto" w:fill="CCEEFF"/>
          </w:tcPr>
          <w:p>
            <w:pPr>
              <w:spacing w:after="0"/>
              <w:rPr>
                <w:sz w:val="11"/>
                <w:szCs w:val="11"/>
                <w:color w:val="auto"/>
              </w:rPr>
            </w:pPr>
          </w:p>
        </w:tc>
        <w:tc>
          <w:tcPr>
            <w:tcW w:w="38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1060" w:type="dxa"/>
            <w:vAlign w:val="bottom"/>
            <w:tcBorders>
              <w:top w:val="single" w:sz="8" w:color="0000FF"/>
              <w:right w:val="single" w:sz="8" w:color="CCEEFF"/>
            </w:tcBorders>
            <w:shd w:val="clear" w:color="auto" w:fill="CCEEFF"/>
          </w:tcPr>
          <w:p>
            <w:pPr>
              <w:spacing w:after="0"/>
              <w:rPr>
                <w:sz w:val="11"/>
                <w:szCs w:val="11"/>
                <w:color w:val="auto"/>
              </w:rPr>
            </w:pPr>
          </w:p>
        </w:tc>
      </w:tr>
    </w:tbl>
    <w:p>
      <w:pPr>
        <w:sectPr>
          <w:pgSz w:w="11900" w:h="16900" w:orient="portrait"/>
          <w:cols w:equalWidth="0" w:num="1">
            <w:col w:w="11420"/>
          </w:cols>
          <w:pgMar w:left="240" w:top="130" w:right="239" w:bottom="0" w:gutter="0" w:footer="0" w:header="0"/>
        </w:sectPr>
      </w:pPr>
    </w:p>
    <w:bookmarkStart w:id="77" w:name="page78"/>
    <w:bookmarkEnd w:id="77"/>
    <w:p>
      <w:pPr>
        <w:ind w:left="1140"/>
        <w:spacing w:after="0" w:line="277"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Amended and Restated 2000 Long-Term Incentive Plan. (Incorporated by reference from the Form 8-K for the</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Registrant, filed December 13,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-293370</wp:posOffset>
            </wp:positionV>
            <wp:extent cx="596900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5969000" cy="291465"/>
                    </a:xfrm>
                    <a:prstGeom prst="rect">
                      <a:avLst/>
                    </a:prstGeom>
                    <a:noFill/>
                  </pic:spPr>
                </pic:pic>
              </a:graphicData>
            </a:graphic>
          </wp:anchor>
        </w:drawing>
      </w:r>
    </w:p>
    <w:p>
      <w:pPr>
        <w:jc w:val="both"/>
        <w:ind w:left="1140" w:hanging="1133"/>
        <w:spacing w:after="0" w:line="279"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10.1.5 +</w:t>
      </w:r>
      <w:r>
        <w:rPr>
          <w:sz w:val="20"/>
          <w:szCs w:val="20"/>
          <w:color w:val="auto"/>
        </w:rPr>
        <w:tab/>
      </w:r>
      <w:hyperlink r:id="rId26">
        <w:r>
          <w:rPr>
            <w:rFonts w:ascii="Arial" w:cs="Arial" w:eastAsia="Arial" w:hAnsi="Arial"/>
            <w:sz w:val="17"/>
            <w:szCs w:val="17"/>
            <w:u w:val="single" w:color="auto"/>
            <w:color w:val="0000FF"/>
          </w:rPr>
          <w:t>Form of option agreement and related notice of grant for use in connection with the grant of time based vesting</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stock options to the Registrant's non-employee directors and executive officers under the Regeneron</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Pharmaceuticals, Inc. Second Amended and Restated 2000 Long-Term Incentive Plan. (Incorporated by reference</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from the Form 10-Q for the Registrant, for the quarter ended March 31, 2009, filed April 30, 2009.)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-11430</wp:posOffset>
            </wp:positionH>
            <wp:positionV relativeFrom="paragraph">
              <wp:posOffset>-1270</wp:posOffset>
            </wp:positionV>
            <wp:extent cx="596900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jc w:val="both"/>
        <w:ind w:left="1140" w:hanging="1133"/>
        <w:spacing w:after="0" w:line="279"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10.1.6 +</w:t>
      </w:r>
      <w:r>
        <w:rPr>
          <w:sz w:val="20"/>
          <w:szCs w:val="20"/>
          <w:color w:val="auto"/>
        </w:rPr>
        <w:tab/>
      </w:r>
      <w:hyperlink r:id="rId28">
        <w:r>
          <w:rPr>
            <w:rFonts w:ascii="Arial" w:cs="Arial" w:eastAsia="Arial" w:hAnsi="Arial"/>
            <w:sz w:val="17"/>
            <w:szCs w:val="17"/>
            <w:u w:val="single" w:color="auto"/>
            <w:color w:val="0000FF"/>
          </w:rPr>
          <w:t>Form of option agreement and related notice of grant for use in connection with the grant of performance based</w:t>
        </w:r>
      </w:hyperlink>
      <w:r>
        <w:rPr>
          <w:rFonts w:ascii="Arial" w:cs="Arial" w:eastAsia="Arial" w:hAnsi="Arial"/>
          <w:sz w:val="17"/>
          <w:szCs w:val="17"/>
          <w:u w:val="single" w:color="auto"/>
          <w:color w:val="0000FF"/>
        </w:rPr>
        <w:t xml:space="preserve"> </w:t>
      </w:r>
      <w:hyperlink r:id="rId28">
        <w:r>
          <w:rPr>
            <w:rFonts w:ascii="Arial" w:cs="Arial" w:eastAsia="Arial" w:hAnsi="Arial"/>
            <w:sz w:val="17"/>
            <w:szCs w:val="17"/>
            <w:u w:val="single" w:color="auto"/>
            <w:color w:val="0000FF"/>
          </w:rPr>
          <w:t>vesting stock options to the Registrant's executive officers under the Regeneron Pharmaceuticals, Inc. Second</w:t>
        </w:r>
      </w:hyperlink>
      <w:r>
        <w:rPr>
          <w:rFonts w:ascii="Arial" w:cs="Arial" w:eastAsia="Arial" w:hAnsi="Arial"/>
          <w:sz w:val="17"/>
          <w:szCs w:val="17"/>
          <w:u w:val="single" w:color="auto"/>
          <w:color w:val="0000FF"/>
        </w:rPr>
        <w:t xml:space="preserve"> </w:t>
      </w:r>
      <w:hyperlink r:id="rId28">
        <w:r>
          <w:rPr>
            <w:rFonts w:ascii="Arial" w:cs="Arial" w:eastAsia="Arial" w:hAnsi="Arial"/>
            <w:sz w:val="17"/>
            <w:szCs w:val="17"/>
            <w:u w:val="single" w:color="auto"/>
            <w:color w:val="0000FF"/>
          </w:rPr>
          <w:t>Amended and Restated 2000 Long-Term Incentive Plan. (Incorporated by reference from the Form 10-Q for the</w:t>
        </w:r>
      </w:hyperlink>
      <w:r>
        <w:rPr>
          <w:rFonts w:ascii="Arial" w:cs="Arial" w:eastAsia="Arial" w:hAnsi="Arial"/>
          <w:sz w:val="17"/>
          <w:szCs w:val="17"/>
          <w:u w:val="single" w:color="auto"/>
          <w:color w:val="0000FF"/>
        </w:rPr>
        <w:t xml:space="preserve"> </w:t>
      </w:r>
      <w:hyperlink r:id="rId28">
        <w:r>
          <w:rPr>
            <w:rFonts w:ascii="Arial" w:cs="Arial" w:eastAsia="Arial" w:hAnsi="Arial"/>
            <w:sz w:val="17"/>
            <w:szCs w:val="17"/>
            <w:u w:val="single" w:color="auto"/>
            <w:color w:val="0000FF"/>
          </w:rPr>
          <w:t>Registrant, for the quarter ended March 31, 2009, filed April 30, 2009.)</w:t>
        </w:r>
      </w:hyperlink>
    </w:p>
    <w:p>
      <w:pPr>
        <w:spacing w:after="0" w:line="9" w:lineRule="exact"/>
        <w:rPr>
          <w:rFonts w:ascii="Arial" w:cs="Arial" w:eastAsia="Arial" w:hAnsi="Arial"/>
          <w:sz w:val="17"/>
          <w:szCs w:val="17"/>
          <w:u w:val="single" w:color="auto"/>
          <w:color w:val="0000FF"/>
        </w:rPr>
      </w:pPr>
    </w:p>
    <w:p>
      <w:pPr>
        <w:jc w:val="both"/>
        <w:ind w:left="1140" w:hanging="1133"/>
        <w:spacing w:after="0" w:line="279"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10.1.7 +</w:t>
      </w:r>
      <w:r>
        <w:rPr>
          <w:sz w:val="20"/>
          <w:szCs w:val="20"/>
          <w:color w:val="auto"/>
        </w:rPr>
        <w:tab/>
      </w:r>
      <w:hyperlink r:id="rId29">
        <w:r>
          <w:rPr>
            <w:rFonts w:ascii="Arial" w:cs="Arial" w:eastAsia="Arial" w:hAnsi="Arial"/>
            <w:sz w:val="17"/>
            <w:szCs w:val="17"/>
            <w:u w:val="single" w:color="auto"/>
            <w:color w:val="0000FF"/>
          </w:rPr>
          <w:t>Form of restricted stock award agreement and related notice of grant for use in connection with the grant of</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restricted stock awards to the Registrant's executive officers under the Regeneron Pharmaceuticals, Inc. Second</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Amended and Restated 2000 Long-Term Incentive Plan (revised). (Incorporated by reference from the Form 10-</w:t>
        </w:r>
      </w:hyperlink>
      <w:hyperlink r:id="rId29">
        <w:r>
          <w:rPr>
            <w:rFonts w:ascii="Arial" w:cs="Arial" w:eastAsia="Arial" w:hAnsi="Arial"/>
            <w:sz w:val="17"/>
            <w:szCs w:val="17"/>
            <w:u w:val="single" w:color="auto"/>
            <w:color w:val="0000FF"/>
          </w:rPr>
          <w:t>K for the Registrant, for the year ended December 31, 2010, filed February 17,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-11430</wp:posOffset>
            </wp:positionH>
            <wp:positionV relativeFrom="paragraph">
              <wp:posOffset>-1270</wp:posOffset>
            </wp:positionV>
            <wp:extent cx="596900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jc w:val="both"/>
        <w:ind w:left="1140" w:hanging="1133"/>
        <w:spacing w:after="0" w:line="279"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10.1.8 +</w:t>
      </w:r>
      <w:r>
        <w:rPr>
          <w:sz w:val="20"/>
          <w:szCs w:val="20"/>
          <w:color w:val="auto"/>
        </w:rPr>
        <w:tab/>
      </w:r>
      <w:hyperlink r:id="rId31">
        <w:r>
          <w:rPr>
            <w:rFonts w:ascii="Arial" w:cs="Arial" w:eastAsia="Arial" w:hAnsi="Arial"/>
            <w:sz w:val="17"/>
            <w:szCs w:val="17"/>
            <w:u w:val="single" w:color="auto"/>
            <w:color w:val="0000FF"/>
          </w:rPr>
          <w:t>Form of option agreement and related notice of grant for use in connection with the grant of performance based</w:t>
        </w:r>
      </w:hyperlink>
      <w:r>
        <w:rPr>
          <w:rFonts w:ascii="Arial" w:cs="Arial" w:eastAsia="Arial" w:hAnsi="Arial"/>
          <w:sz w:val="17"/>
          <w:szCs w:val="17"/>
          <w:u w:val="single" w:color="auto"/>
          <w:color w:val="0000FF"/>
        </w:rPr>
        <w:t xml:space="preserve"> </w:t>
      </w:r>
      <w:hyperlink r:id="rId31">
        <w:r>
          <w:rPr>
            <w:rFonts w:ascii="Arial" w:cs="Arial" w:eastAsia="Arial" w:hAnsi="Arial"/>
            <w:sz w:val="17"/>
            <w:szCs w:val="17"/>
            <w:u w:val="single" w:color="auto"/>
            <w:color w:val="0000FF"/>
          </w:rPr>
          <w:t>vesting stock options to the Registrant's executive officers under the Regeneron Pharmaceuticals, Inc. Second</w:t>
        </w:r>
      </w:hyperlink>
      <w:r>
        <w:rPr>
          <w:rFonts w:ascii="Arial" w:cs="Arial" w:eastAsia="Arial" w:hAnsi="Arial"/>
          <w:sz w:val="17"/>
          <w:szCs w:val="17"/>
          <w:u w:val="single" w:color="auto"/>
          <w:color w:val="0000FF"/>
        </w:rPr>
        <w:t xml:space="preserve"> </w:t>
      </w:r>
      <w:hyperlink r:id="rId31">
        <w:r>
          <w:rPr>
            <w:rFonts w:ascii="Arial" w:cs="Arial" w:eastAsia="Arial" w:hAnsi="Arial"/>
            <w:sz w:val="17"/>
            <w:szCs w:val="17"/>
            <w:u w:val="single" w:color="auto"/>
            <w:color w:val="0000FF"/>
          </w:rPr>
          <w:t>Amended and Restated 2000 Long-Term Incentive Plan (revised). (Incorporated by reference from the Form 10-</w:t>
        </w:r>
      </w:hyperlink>
      <w:hyperlink r:id="rId31">
        <w:r>
          <w:rPr>
            <w:rFonts w:ascii="Arial" w:cs="Arial" w:eastAsia="Arial" w:hAnsi="Arial"/>
            <w:sz w:val="17"/>
            <w:szCs w:val="17"/>
            <w:u w:val="single" w:color="auto"/>
            <w:color w:val="0000FF"/>
          </w:rPr>
          <w:t>K for the Registrant, for the year ended December 31, 2010, filed February 17, 2011.)</w:t>
        </w:r>
      </w:hyperlink>
    </w:p>
    <w:p>
      <w:pPr>
        <w:spacing w:after="0" w:line="198" w:lineRule="exact"/>
        <w:rPr>
          <w:rFonts w:ascii="Arial" w:cs="Arial" w:eastAsia="Arial" w:hAnsi="Arial"/>
          <w:sz w:val="17"/>
          <w:szCs w:val="17"/>
          <w:u w:val="single" w:color="auto"/>
          <w:color w:val="0000FF"/>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9340"/>
          </w:cols>
          <w:pgMar w:left="1280" w:top="125" w:right="1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left="2180" w:hanging="1133"/>
        <w:spacing w:after="0" w:line="279" w:lineRule="auto"/>
        <w:tabs>
          <w:tab w:leader="none" w:pos="2160" w:val="left"/>
        </w:tabs>
        <w:rPr>
          <w:rFonts w:ascii="Arial" w:cs="Arial" w:eastAsia="Arial" w:hAnsi="Arial"/>
          <w:sz w:val="17"/>
          <w:szCs w:val="17"/>
          <w:u w:val="single" w:color="auto"/>
          <w:color w:val="0000FF"/>
        </w:rPr>
      </w:pPr>
      <w:r>
        <w:rPr>
          <w:rFonts w:ascii="Arial" w:cs="Arial" w:eastAsia="Arial" w:hAnsi="Arial"/>
          <w:sz w:val="18"/>
          <w:szCs w:val="18"/>
          <w:color w:val="auto"/>
        </w:rPr>
        <w:t>10.1.9 +</w:t>
      </w:r>
      <w:r>
        <w:rPr>
          <w:sz w:val="20"/>
          <w:szCs w:val="20"/>
          <w:color w:val="auto"/>
        </w:rPr>
        <w:tab/>
      </w:r>
      <w:hyperlink r:id="rId32">
        <w:r>
          <w:rPr>
            <w:rFonts w:ascii="Arial" w:cs="Arial" w:eastAsia="Arial" w:hAnsi="Arial"/>
            <w:sz w:val="17"/>
            <w:szCs w:val="17"/>
            <w:u w:val="single" w:color="auto"/>
            <w:color w:val="0000FF"/>
          </w:rPr>
          <w:t>Form of option agreement and related notice of grant for use in connection with the grant of time based vesting</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stock options to the Registrant's non-employee directors under the Regeneron Pharmaceuticals, Inc. Second</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Amended and Restated 2000 Long-Term Incentive Plan (revised). (Incorporated by reference from the Form 10-</w:t>
        </w:r>
      </w:hyperlink>
      <w:hyperlink r:id="rId32">
        <w:r>
          <w:rPr>
            <w:rFonts w:ascii="Arial" w:cs="Arial" w:eastAsia="Arial" w:hAnsi="Arial"/>
            <w:sz w:val="17"/>
            <w:szCs w:val="17"/>
            <w:u w:val="single" w:color="auto"/>
            <w:color w:val="0000FF"/>
          </w:rPr>
          <w:t>K for the Registrant, for the year ended December 31, 2011, filed February 21, 2012.)</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-1270</wp:posOffset>
            </wp:positionV>
            <wp:extent cx="596900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5969000" cy="445770"/>
                    </a:xfrm>
                    <a:prstGeom prst="rect">
                      <a:avLst/>
                    </a:prstGeom>
                    <a:noFill/>
                  </pic:spPr>
                </pic:pic>
              </a:graphicData>
            </a:graphic>
          </wp:anchor>
        </w:drawing>
      </w:r>
    </w:p>
    <w:p>
      <w:pPr>
        <w:jc w:val="both"/>
        <w:ind w:left="2180" w:hanging="1133"/>
        <w:spacing w:after="0" w:line="264"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10.1.10 +</w:t>
      </w:r>
      <w:r>
        <w:rPr>
          <w:sz w:val="20"/>
          <w:szCs w:val="20"/>
          <w:color w:val="auto"/>
        </w:rPr>
        <w:tab/>
      </w:r>
      <w:hyperlink r:id="rId34">
        <w:r>
          <w:rPr>
            <w:rFonts w:ascii="Arial" w:cs="Arial" w:eastAsia="Arial" w:hAnsi="Arial"/>
            <w:sz w:val="18"/>
            <w:szCs w:val="18"/>
            <w:u w:val="single" w:color="auto"/>
            <w:color w:val="0000FF"/>
          </w:rPr>
          <w:t>Amendment No. 1 to the Regeneron Pharmaceuticals, Inc. Second Amended and Restated 2000 Long-Term</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Incentive Plan. (Incorporated by reference from the Form 10-K for the Registrant, for the year ended December</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31, 2013, filed February 13, 2014.)</w:t>
        </w:r>
      </w:hyperlink>
    </w:p>
    <w:p>
      <w:pPr>
        <w:spacing w:after="0" w:line="19" w:lineRule="exact"/>
        <w:rPr>
          <w:rFonts w:ascii="Arial" w:cs="Arial" w:eastAsia="Arial" w:hAnsi="Arial"/>
          <w:sz w:val="18"/>
          <w:szCs w:val="18"/>
          <w:u w:val="single" w:color="auto"/>
          <w:color w:val="0000FF"/>
        </w:rPr>
      </w:pPr>
    </w:p>
    <w:p>
      <w:pPr>
        <w:jc w:val="both"/>
        <w:ind w:left="2180" w:hanging="1133"/>
        <w:spacing w:after="0" w:line="298" w:lineRule="auto"/>
        <w:tabs>
          <w:tab w:leader="none" w:pos="216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35">
        <w:r>
          <w:rPr>
            <w:rFonts w:ascii="Arial" w:cs="Arial" w:eastAsia="Arial" w:hAnsi="Arial"/>
            <w:sz w:val="17"/>
            <w:szCs w:val="17"/>
            <w:u w:val="single" w:color="auto"/>
            <w:color w:val="0000FF"/>
          </w:rPr>
          <w:t>Amended and Restated Regeneron Pharmaceuticals, Inc. 2014 Long-Term Incentive Plan. (Incorporated by</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reference from the Registration Statement on Form S-8 for the Registrant, filed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59690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5969000" cy="445770"/>
                    </a:xfrm>
                    <a:prstGeom prst="rect">
                      <a:avLst/>
                    </a:prstGeom>
                    <a:noFill/>
                  </pic:spPr>
                </pic:pic>
              </a:graphicData>
            </a:graphic>
          </wp:anchor>
        </w:drawing>
      </w: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37">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stock options to the Registrant's executive officers under the Regeneron Pharmaceuticals, Inc. 2014 Long-Term</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Incentive Plan. (Incorporated by reference from the Form 8-K for the Registrant, filed June 18, 2014.)</w:t>
        </w:r>
      </w:hyperlink>
    </w:p>
    <w:p>
      <w:pPr>
        <w:spacing w:after="0" w:line="1" w:lineRule="exact"/>
        <w:rPr>
          <w:rFonts w:ascii="Arial" w:cs="Arial" w:eastAsia="Arial" w:hAnsi="Arial"/>
          <w:sz w:val="16"/>
          <w:szCs w:val="16"/>
          <w:u w:val="single" w:color="auto"/>
          <w:color w:val="0000FF"/>
        </w:rPr>
      </w:pP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10.2.2 +</w:t>
      </w:r>
      <w:r>
        <w:rPr>
          <w:sz w:val="20"/>
          <w:szCs w:val="20"/>
          <w:color w:val="auto"/>
        </w:rPr>
        <w:tab/>
      </w:r>
      <w:hyperlink r:id="rId38">
        <w:r>
          <w:rPr>
            <w:rFonts w:ascii="Arial" w:cs="Arial" w:eastAsia="Arial" w:hAnsi="Arial"/>
            <w:sz w:val="16"/>
            <w:szCs w:val="16"/>
            <w:u w:val="single" w:color="auto"/>
            <w:color w:val="0000FF"/>
          </w:rPr>
          <w:t>Form of restricted stock award agreement and related notice of grant for use in connection with the grant of</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restricted stock awards to the Registrant's executive officers under the Regeneron Pharmaceuticals, Inc. 2014</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Long-Term 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596900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5969000" cy="445770"/>
                    </a:xfrm>
                    <a:prstGeom prst="rect">
                      <a:avLst/>
                    </a:prstGeom>
                    <a:noFill/>
                  </pic:spPr>
                </pic:pic>
              </a:graphicData>
            </a:graphic>
          </wp:anchor>
        </w:drawing>
      </w: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40">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stock options to the Registrant's non-employee directors under the Regeneron Pharmaceuticals, Inc. 2014 Long-</w:t>
        </w:r>
      </w:hyperlink>
      <w:hyperlink r:id="rId40">
        <w:r>
          <w:rPr>
            <w:rFonts w:ascii="Arial" w:cs="Arial" w:eastAsia="Arial" w:hAnsi="Arial"/>
            <w:sz w:val="16"/>
            <w:szCs w:val="16"/>
            <w:u w:val="single" w:color="auto"/>
            <w:color w:val="0000FF"/>
          </w:rPr>
          <w:t>Term Incentive Plan. (Incorporated by reference from the Form 8-K for the Registrant, filed June 18, 2014.)</w:t>
        </w:r>
      </w:hyperlink>
    </w:p>
    <w:p>
      <w:pPr>
        <w:spacing w:after="0" w:line="1" w:lineRule="exact"/>
        <w:rPr>
          <w:rFonts w:ascii="Arial" w:cs="Arial" w:eastAsia="Arial" w:hAnsi="Arial"/>
          <w:sz w:val="16"/>
          <w:szCs w:val="16"/>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41">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stock options to P. Roy Vagelos, M.D. under the Regeneron Pharmaceuticals, Inc. 2014 Long-Term Incentive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Plan. (Incorporated by reference from the Form 10-K for the Registrant, for the year ended December 31, 2015,</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filed February 11,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43">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stock options to the Registrant's executive officers under the Regeneron Pharmaceuticals, Inc. 2014 Long-Term</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Incentive Plan (revised). (Incorporated by reference from the Form 8-K for the Registrant, filed November 19,</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2015.)</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44">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Long-Term Incentive Plan (revised). (Incorporated by reference from the Form 8-K for the Registrant, filed</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November 19,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46">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stock options to the Registrant's non-employee directors under the Regeneron Pharmaceuticals, Inc. 2014 Long-</w:t>
        </w:r>
      </w:hyperlink>
      <w:hyperlink r:id="rId46">
        <w:r>
          <w:rPr>
            <w:rFonts w:ascii="Arial" w:cs="Arial" w:eastAsia="Arial" w:hAnsi="Arial"/>
            <w:sz w:val="18"/>
            <w:szCs w:val="18"/>
            <w:u w:val="single" w:color="auto"/>
            <w:color w:val="0000FF"/>
          </w:rPr>
          <w:t>Term Incentive Plan (revised). (Incorporated by reference from the Form 10-K for the Registrant, for the year</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ended December 31, 2015, filed February 11, 2016.)</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47">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stock options to the Registrant's executive officers under the Amended and Restated Regeneron Pharmaceuticals,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 2014 Long-Term Incentive Plan. (Incorporated by reference from the Form 10-K for the Registrant, for the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year ended 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49">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stock options to P. Roy Vagelos, M.D. under the Amended and Restated Regeneron Pharmaceuticals, Inc. 2014</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Long-Term Incentive Plan. (Incorporated by reference from the Form 10-K for the Registrant, for the year ended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December 31, 2017, filed February 8, 2018.)</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10.2.10 +</w:t>
      </w:r>
      <w:r>
        <w:rPr>
          <w:sz w:val="20"/>
          <w:szCs w:val="20"/>
          <w:color w:val="auto"/>
        </w:rPr>
        <w:tab/>
      </w:r>
      <w:hyperlink r:id="rId50">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restricted stock awards to the Registrant's executive officers under the Amended and Restated Regeneron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Pharmaceuticals, Inc. 2014 Long-Term Incentive Plan. (Incorporated by reference from the Form 10-K for the</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Registrant, for the year ended 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10.2.11 +</w:t>
      </w:r>
      <w:r>
        <w:rPr>
          <w:sz w:val="20"/>
          <w:szCs w:val="20"/>
          <w:color w:val="auto"/>
        </w:rPr>
        <w:tab/>
      </w:r>
      <w:hyperlink r:id="rId52">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stock options to the Registrant's non-employee directors under the Amended and Restated Regeneron</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Pharmaceuticals, Inc. 2014 Long-Term Incentive Plan. (Incorporated by reference from the Form 10-K for the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Registrant, for the year ended December 31, 2017, filed February 8, 2018.)</w:t>
        </w:r>
      </w:hyperlink>
    </w:p>
    <w:p>
      <w:pPr>
        <w:spacing w:after="0" w:line="214"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380"/>
          </w:cols>
          <w:pgMar w:left="240" w:top="130" w:right="12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2180" w:type="dxa"/>
            <w:vAlign w:val="bottom"/>
            <w:gridSpan w:val="3"/>
          </w:tcPr>
          <w:p>
            <w:pPr>
              <w:ind w:left="1040"/>
              <w:spacing w:after="0"/>
              <w:rPr>
                <w:sz w:val="20"/>
                <w:szCs w:val="20"/>
                <w:color w:val="auto"/>
              </w:rPr>
            </w:pPr>
            <w:r>
              <w:rPr>
                <w:rFonts w:ascii="Arial" w:cs="Arial" w:eastAsia="Arial" w:hAnsi="Arial"/>
                <w:sz w:val="18"/>
                <w:szCs w:val="18"/>
                <w:color w:val="auto"/>
              </w:rPr>
              <w:t>10.2.12 +</w:t>
            </w:r>
          </w:p>
        </w:tc>
        <w:tc>
          <w:tcPr>
            <w:tcW w:w="8240" w:type="dxa"/>
            <w:vAlign w:val="bottom"/>
            <w:gridSpan w:val="13"/>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stock options to the Registrant's executive officers under the Amended and Restated Regeneron Pharmaceuticals,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Inc. 2014 Long-Term Incentive Plan (revised 2018). (Incorporated by reference from the Form 10-K for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Registrant, for the year ended December 31, 2018, filed February 7, 2019.)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10.2.13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stock options to P. Roy Vagelos, M.D. under the Amended and Restated Regeneron Pharmaceuticals, Inc. 2014</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Long-Term Incentive Plan (revised 2018). (Incorporated by reference from the Form 10-K for the Registrant, for</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the year ended December 31, 2018, filed February 7, 2019.)</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10.2.14 +</w:t>
            </w:r>
          </w:p>
        </w:tc>
        <w:tc>
          <w:tcPr>
            <w:tcW w:w="8240" w:type="dxa"/>
            <w:vAlign w:val="bottom"/>
            <w:gridSpan w:val="13"/>
          </w:tcPr>
          <w:p>
            <w:pPr>
              <w:spacing w:after="0" w:line="202"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7"/>
              </w:rPr>
            </w:pPr>
            <w:hyperlink r:id="rId55">
              <w:r>
                <w:rPr>
                  <w:rFonts w:ascii="Arial" w:cs="Arial" w:eastAsia="Arial" w:hAnsi="Arial"/>
                  <w:sz w:val="18"/>
                  <w:szCs w:val="18"/>
                  <w:color w:val="0000FF"/>
                  <w:w w:val="97"/>
                </w:rPr>
                <w:t>restricted stock awards to the Registrant's executive officers under the Amended and Restated Regeneron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Pharmaceuticals, Inc. 2014 Long-Term Incentive Plan (revised 2018). (Incorporated by reference from the Form</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10-K for the Registrant, for the year ended December 31, 2018, filed February 7, 2019.)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10.2.15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stock  options  to  the  Registrant's  non-employee  directors  under  the  Amended  and  Restated  Regeneron</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Pharmaceuticals, Inc. 2014 Long-Term Incentive Plan (revised 2018). (Incorporated by reference from the Form</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10-K for the Registrant, for the year ended December 31, 2018, filed February 7,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10.2.16 +</w:t>
            </w:r>
          </w:p>
        </w:tc>
        <w:tc>
          <w:tcPr>
            <w:tcW w:w="820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Form of restricted stock unit award agreement and related notice of grant for use in connection with the grant of</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restricted stock units to the Registrant's non-employee directors under the Amended and Restated Regeneron</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Pharmaceuticals, Inc. 2014 Long-Term Incentive Plan. (Incorporated by reference from the Form 10-K for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Registrant, for the year ended December 31, 2018, filed February 7, 2019.)</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10.2.17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3"/>
              </w:rPr>
            </w:pPr>
            <w:hyperlink w:anchor="page132">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89"/>
              </w:rPr>
            </w:pPr>
            <w:hyperlink w:anchor="page132">
              <w:r>
                <w:rPr>
                  <w:rFonts w:ascii="Arial" w:cs="Arial" w:eastAsia="Arial" w:hAnsi="Arial"/>
                  <w:sz w:val="18"/>
                  <w:szCs w:val="18"/>
                  <w:color w:val="0000FF"/>
                  <w:w w:val="89"/>
                </w:rPr>
                <w:t>stock options to the Registrant's executive officers under the Amended and Restated Regeneron Pharmaceuticals,</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w:anchor="page132">
              <w:r>
                <w:rPr>
                  <w:rFonts w:ascii="Arial" w:cs="Arial" w:eastAsia="Arial" w:hAnsi="Arial"/>
                  <w:sz w:val="18"/>
                  <w:szCs w:val="18"/>
                  <w:color w:val="0000FF"/>
                  <w:w w:val="91"/>
                </w:rPr>
                <w:t>Inc. 2014 Long-Term Incentive Plan (revised 2019).</w:t>
              </w:r>
            </w:hyperlink>
          </w:p>
        </w:tc>
        <w:tc>
          <w:tcPr>
            <w:tcW w:w="448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10.2.18 +</w:t>
            </w:r>
          </w:p>
        </w:tc>
        <w:tc>
          <w:tcPr>
            <w:tcW w:w="8240" w:type="dxa"/>
            <w:vAlign w:val="bottom"/>
            <w:gridSpan w:val="13"/>
          </w:tcPr>
          <w:p>
            <w:pPr>
              <w:spacing w:after="0" w:line="202" w:lineRule="exact"/>
              <w:rPr>
                <w:rFonts w:ascii="Arial" w:cs="Arial" w:eastAsia="Arial" w:hAnsi="Arial"/>
                <w:sz w:val="18"/>
                <w:szCs w:val="18"/>
                <w:color w:val="0000FF"/>
                <w:w w:val="93"/>
              </w:rPr>
            </w:pPr>
            <w:hyperlink w:anchor="page137">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stock options to P. Roy Vagelos, M.D. under the Amended and Restated Regeneron Pharmaceuticals, Inc. 2014</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Long-Term Incentive Plan (revised 2019).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10.2.19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6"/>
              </w:rPr>
            </w:pPr>
            <w:hyperlink w:anchor="page141">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w w:val="97"/>
              </w:rPr>
            </w:pPr>
            <w:hyperlink w:anchor="page141">
              <w:r>
                <w:rPr>
                  <w:rFonts w:ascii="Arial" w:cs="Arial" w:eastAsia="Arial" w:hAnsi="Arial"/>
                  <w:sz w:val="18"/>
                  <w:szCs w:val="18"/>
                  <w:color w:val="0000FF"/>
                  <w:w w:val="97"/>
                </w:rPr>
                <w:t>restricted stock awards to the Registrant's executive officers under the Amended and Restated Regeneron</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w:anchor="page141">
              <w:r>
                <w:rPr>
                  <w:rFonts w:ascii="Arial" w:cs="Arial" w:eastAsia="Arial" w:hAnsi="Arial"/>
                  <w:sz w:val="18"/>
                  <w:szCs w:val="18"/>
                  <w:color w:val="0000FF"/>
                </w:rPr>
                <w:t>Pharmaceuticals, Inc. 2014 Long-Term Incentive Plan (revised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10.2.20 +</w:t>
            </w:r>
          </w:p>
        </w:tc>
        <w:tc>
          <w:tcPr>
            <w:tcW w:w="8240" w:type="dxa"/>
            <w:vAlign w:val="bottom"/>
            <w:gridSpan w:val="13"/>
          </w:tcPr>
          <w:p>
            <w:pPr>
              <w:spacing w:after="0" w:line="202" w:lineRule="exact"/>
              <w:rPr>
                <w:rFonts w:ascii="Arial" w:cs="Arial" w:eastAsia="Arial" w:hAnsi="Arial"/>
                <w:sz w:val="18"/>
                <w:szCs w:val="18"/>
                <w:color w:val="0000FF"/>
                <w:w w:val="93"/>
              </w:rPr>
            </w:pPr>
            <w:hyperlink w:anchor="page146">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3"/>
              </w:rPr>
            </w:pPr>
            <w:hyperlink w:anchor="page146">
              <w:r>
                <w:rPr>
                  <w:rFonts w:ascii="Arial" w:cs="Arial" w:eastAsia="Arial" w:hAnsi="Arial"/>
                  <w:sz w:val="18"/>
                  <w:szCs w:val="18"/>
                  <w:color w:val="0000FF"/>
                  <w:w w:val="93"/>
                </w:rPr>
                <w:t>stock  options  to  the  Registrant's  non-employee  directors  under  the  Amended  and  Restated  Regeneron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Pharmaceuticals, Inc. 2014 Long-Term Incentive Plan (revised 2019).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10.2.21 +</w:t>
            </w:r>
          </w:p>
        </w:tc>
        <w:tc>
          <w:tcPr>
            <w:tcW w:w="820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2"/>
              </w:rPr>
            </w:pPr>
            <w:hyperlink w:anchor="page150">
              <w:r>
                <w:rPr>
                  <w:rFonts w:ascii="Arial" w:cs="Arial" w:eastAsia="Arial" w:hAnsi="Arial"/>
                  <w:sz w:val="18"/>
                  <w:szCs w:val="18"/>
                  <w:color w:val="0000FF"/>
                  <w:w w:val="92"/>
                </w:rPr>
                <w:t>Form of restricted stock unit award agreement and related notice of grant for use in connection with the grant of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3"/>
              </w:rPr>
            </w:pPr>
            <w:hyperlink w:anchor="page150">
              <w:r>
                <w:rPr>
                  <w:rFonts w:ascii="Arial" w:cs="Arial" w:eastAsia="Arial" w:hAnsi="Arial"/>
                  <w:sz w:val="18"/>
                  <w:szCs w:val="18"/>
                  <w:color w:val="0000FF"/>
                  <w:w w:val="93"/>
                </w:rPr>
                <w:t>restricted stock units to the Registrant's non-employee directors under the Amended and Restated Regeneron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3"/>
            <w:shd w:val="clear" w:color="auto" w:fill="CCEEFF"/>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Pharmaceuticals, Inc. 2014 Long-Term Incentive Plan (revised 2019).</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10.2.22 +</w:t>
            </w:r>
          </w:p>
        </w:tc>
        <w:tc>
          <w:tcPr>
            <w:tcW w:w="8240" w:type="dxa"/>
            <w:vAlign w:val="bottom"/>
            <w:gridSpan w:val="13"/>
          </w:tcPr>
          <w:p>
            <w:pPr>
              <w:spacing w:after="0" w:line="202" w:lineRule="exact"/>
              <w:rPr>
                <w:rFonts w:ascii="Arial" w:cs="Arial" w:eastAsia="Arial" w:hAnsi="Arial"/>
                <w:sz w:val="18"/>
                <w:szCs w:val="18"/>
                <w:color w:val="0000FF"/>
                <w:w w:val="91"/>
              </w:rPr>
            </w:pPr>
            <w:hyperlink w:anchor="page154">
              <w:r>
                <w:rPr>
                  <w:rFonts w:ascii="Arial" w:cs="Arial" w:eastAsia="Arial" w:hAnsi="Arial"/>
                  <w:sz w:val="18"/>
                  <w:szCs w:val="18"/>
                  <w:color w:val="0000FF"/>
                  <w:w w:val="91"/>
                </w:rPr>
                <w:t>Form of performance restricted stock unit award agreement and related notice of grant for use in connection with</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5"/>
              </w:rPr>
            </w:pPr>
            <w:hyperlink w:anchor="page154">
              <w:r>
                <w:rPr>
                  <w:rFonts w:ascii="Arial" w:cs="Arial" w:eastAsia="Arial" w:hAnsi="Arial"/>
                  <w:sz w:val="18"/>
                  <w:szCs w:val="18"/>
                  <w:color w:val="0000FF"/>
                  <w:w w:val="95"/>
                </w:rPr>
                <w:t>the grant of performance restricted stock units to Leonard S. Schleifer, M.D., Ph.D., George D. Yancopoulos,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1"/>
              </w:rPr>
            </w:pPr>
            <w:hyperlink w:anchor="page154">
              <w:r>
                <w:rPr>
                  <w:rFonts w:ascii="Arial" w:cs="Arial" w:eastAsia="Arial" w:hAnsi="Arial"/>
                  <w:sz w:val="18"/>
                  <w:szCs w:val="18"/>
                  <w:color w:val="0000FF"/>
                  <w:w w:val="91"/>
                </w:rPr>
                <w:t>M.D., Ph.D., and P. Roy Vagelos, M.D. under the Amended and Restated Regeneron Pharmaceuticals, Inc. 2014</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154">
              <w:r>
                <w:rPr>
                  <w:rFonts w:ascii="Arial" w:cs="Arial" w:eastAsia="Arial" w:hAnsi="Arial"/>
                  <w:sz w:val="18"/>
                  <w:szCs w:val="18"/>
                  <w:color w:val="0000FF"/>
                </w:rPr>
                <w:t>Long-Term Incentive Plan.</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10.3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Amended and Restated Employment Agreement, dated as of November 14, 2008, between the Registrant and</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Leonard S. Schleifer, M.D., Ph.D. (Incorporated by reference from the Form 10-K for the Registrant, for the year</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ended December 31, 2008, filed February 26, 2009.)</w:t>
              </w:r>
            </w:hyperlink>
          </w:p>
        </w:tc>
        <w:tc>
          <w:tcPr>
            <w:tcW w:w="446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10.4* +</w:t>
            </w:r>
          </w:p>
        </w:tc>
        <w:tc>
          <w:tcPr>
            <w:tcW w:w="8240" w:type="dxa"/>
            <w:vAlign w:val="bottom"/>
            <w:gridSpan w:val="13"/>
          </w:tcPr>
          <w:p>
            <w:pPr>
              <w:spacing w:after="0" w:line="202"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Employment Agreement, dated as of December 31, 1998, between the Registrant and P. Roy Vagelos, M.D.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90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(Incorporated by reference from the Form 10-K for the Registrant, for the year ended December 31, 2004, filed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March 11, 2005.)</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10.5 +</w:t>
            </w:r>
          </w:p>
        </w:tc>
        <w:tc>
          <w:tcPr>
            <w:tcW w:w="8240" w:type="dxa"/>
            <w:vAlign w:val="bottom"/>
            <w:gridSpan w:val="13"/>
            <w:shd w:val="clear" w:color="auto" w:fill="CCEEFF"/>
          </w:tcPr>
          <w:p>
            <w:pPr>
              <w:spacing w:after="0" w:line="202"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Offer Letter for Robert E. Landry effective September 9, 2013. (Incorporated by reference from the Form 8-K for</w:t>
              </w:r>
            </w:hyperlink>
          </w:p>
        </w:tc>
      </w:tr>
      <w:tr>
        <w:trPr>
          <w:trHeight w:val="244"/>
        </w:trPr>
        <w:tc>
          <w:tcPr>
            <w:tcW w:w="1020" w:type="dxa"/>
            <w:vAlign w:val="bottom"/>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the Registrant, filed September 12, 2013.)</w:t>
              </w:r>
            </w:hyperlink>
          </w:p>
        </w:tc>
        <w:tc>
          <w:tcPr>
            <w:tcW w:w="5180" w:type="dxa"/>
            <w:vAlign w:val="bottom"/>
            <w:tcBorders>
              <w:top w:val="single" w:sz="8" w:color="0000FF"/>
              <w:bottom w:val="single" w:sz="8" w:color="CCEEFF"/>
              <w:right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10.6 +</w:t>
            </w:r>
          </w:p>
        </w:tc>
        <w:tc>
          <w:tcPr>
            <w:tcW w:w="8200" w:type="dxa"/>
            <w:vAlign w:val="bottom"/>
            <w:tcBorders>
              <w:bottom w:val="single" w:sz="8" w:color="0000FF"/>
            </w:tcBorders>
            <w:gridSpan w:val="12"/>
          </w:tcPr>
          <w:p>
            <w:pPr>
              <w:spacing w:after="0" w:line="202"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Regeneron Pharmaceuticals, Inc. Change in Control Severance Plan, amended and restated effective as of</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3"/>
          </w:tcPr>
          <w:p>
            <w:pPr>
              <w:spacing w:after="0" w:line="19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November 14, 2008. (Incorporated by reference from the Form 10-K for the Registrant, for the year ended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December 31, 2008, filed February 26, 2009.)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10.7 +</w:t>
            </w:r>
          </w:p>
        </w:tc>
        <w:tc>
          <w:tcPr>
            <w:tcW w:w="820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Regeneron Pharmaceuticals, Inc. Cash Incentive Bonus Plan. (Incorporated by reference from the Form 8-K for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the Registrant, filed June 17, 2015.)</w:t>
              </w:r>
            </w:hyperlink>
          </w:p>
        </w:tc>
        <w:tc>
          <w:tcPr>
            <w:tcW w:w="5660" w:type="dxa"/>
            <w:vAlign w:val="bottom"/>
            <w:tcBorders>
              <w:bottom w:val="single" w:sz="8" w:color="CCEEFF"/>
            </w:tcBorders>
            <w:gridSpan w:val="10"/>
            <w:shd w:val="clear" w:color="auto" w:fill="CCEEFF"/>
          </w:tcPr>
          <w:p>
            <w:pPr>
              <w:spacing w:after="0"/>
              <w:rPr>
                <w:sz w:val="21"/>
                <w:szCs w:val="21"/>
                <w:color w:val="auto"/>
              </w:rPr>
            </w:pPr>
          </w:p>
        </w:tc>
      </w:tr>
      <w:tr>
        <w:trPr>
          <w:trHeight w:val="432"/>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60" w:type="dxa"/>
            <w:vAlign w:val="bottom"/>
            <w:gridSpan w:val="6"/>
          </w:tcPr>
          <w:p>
            <w:pPr>
              <w:ind w:left="34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420"/>
          </w:cols>
          <w:pgMar w:left="240" w:top="118" w:right="1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1"/>
        </w:trPr>
        <w:tc>
          <w:tcPr>
            <w:tcW w:w="2180" w:type="dxa"/>
            <w:vAlign w:val="bottom"/>
            <w:gridSpan w:val="3"/>
          </w:tcPr>
          <w:p>
            <w:pPr>
              <w:ind w:left="1040"/>
              <w:spacing w:after="0"/>
              <w:rPr>
                <w:sz w:val="20"/>
                <w:szCs w:val="20"/>
                <w:color w:val="auto"/>
              </w:rPr>
            </w:pPr>
            <w:r>
              <w:rPr>
                <w:rFonts w:ascii="Arial" w:cs="Arial" w:eastAsia="Arial" w:hAnsi="Arial"/>
                <w:sz w:val="18"/>
                <w:szCs w:val="18"/>
                <w:color w:val="auto"/>
              </w:rPr>
              <w:t>10.8*</w:t>
            </w:r>
          </w:p>
        </w:tc>
        <w:tc>
          <w:tcPr>
            <w:tcW w:w="8200" w:type="dxa"/>
            <w:vAlign w:val="bottom"/>
            <w:tcBorders>
              <w:bottom w:val="single" w:sz="8" w:color="0000FF"/>
            </w:tcBorders>
            <w:gridSpan w:val="13"/>
          </w:tcPr>
          <w:p>
            <w:pPr>
              <w:spacing w:after="0"/>
              <w:rPr>
                <w:rFonts w:ascii="Arial" w:cs="Arial" w:eastAsia="Arial" w:hAnsi="Arial"/>
                <w:sz w:val="18"/>
                <w:szCs w:val="18"/>
                <w:color w:val="0000FF"/>
              </w:rPr>
            </w:pPr>
            <w:hyperlink r:id="rId62">
              <w:r>
                <w:rPr>
                  <w:rFonts w:ascii="Arial" w:cs="Arial" w:eastAsia="Arial" w:hAnsi="Arial"/>
                  <w:sz w:val="18"/>
                  <w:szCs w:val="18"/>
                  <w:color w:val="0000FF"/>
                </w:rPr>
                <w:t>IL-1 Antibody Termination Agreement by and between Novartis Pharma AG, Novartis Pharmaceuticals</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Corporation and the Registrant, dated as of June 8, 2009. (Incorporated by reference from the Form 10-Q for the</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Registrant, for the quarter ended June 30, 2009, filed August 4, 2009.)</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10.9*</w:t>
            </w:r>
          </w:p>
        </w:tc>
        <w:tc>
          <w:tcPr>
            <w:tcW w:w="82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Amended and Restated Collaboration Agreement, dated as of February 23, 2015, by and between Sanofi-Aventis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US LLC and the Registrant. (Incorporated by reference from the Form 10-Q for the Registrant, for the quarter</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ended March 31, 2015, filed May 7, 2015.)</w:t>
              </w:r>
            </w:hyperlink>
          </w:p>
        </w:tc>
        <w:tc>
          <w:tcPr>
            <w:tcW w:w="514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10.10*</w:t>
            </w:r>
          </w:p>
        </w:tc>
        <w:tc>
          <w:tcPr>
            <w:tcW w:w="820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License and Collaboration Agreement, dated as of October 18, 2006, by and between Bayer HealthCare LLC and</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the Registrant. (Incorporated by reference from the Form 10-Q for the Registrant, for the quarter ended</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September 30, 2006, filed November 6, 2006.)</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10.10.1*</w:t>
            </w:r>
          </w:p>
        </w:tc>
        <w:tc>
          <w:tcPr>
            <w:tcW w:w="82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Restated Amendment Agreement, dated December 30, 2014 and entered into effective as of May 7, 2012, by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between Bayer HealthCare LLC and the Registrant. (Incorporated by reference from the Form 10-K for the</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Registrant, for the year ended December 31, 2014, filed February 12, 2015.)</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10.10.2**</w:t>
            </w:r>
          </w:p>
        </w:tc>
        <w:tc>
          <w:tcPr>
            <w:tcW w:w="8220" w:type="dxa"/>
            <w:vAlign w:val="bottom"/>
            <w:tcBorders>
              <w:bottom w:val="single" w:sz="8" w:color="0000FF"/>
            </w:tcBorders>
            <w:gridSpan w:val="14"/>
          </w:tcPr>
          <w:p>
            <w:pPr>
              <w:spacing w:after="0" w:line="202" w:lineRule="exact"/>
              <w:rPr>
                <w:rFonts w:ascii="Arial" w:cs="Arial" w:eastAsia="Arial" w:hAnsi="Arial"/>
                <w:sz w:val="18"/>
                <w:szCs w:val="18"/>
                <w:color w:val="0000FF"/>
                <w:w w:val="95"/>
              </w:rPr>
            </w:pPr>
            <w:hyperlink w:anchor="page161">
              <w:r>
                <w:rPr>
                  <w:rFonts w:ascii="Arial" w:cs="Arial" w:eastAsia="Arial" w:hAnsi="Arial"/>
                  <w:sz w:val="18"/>
                  <w:szCs w:val="18"/>
                  <w:color w:val="0000FF"/>
                  <w:w w:val="95"/>
                </w:rPr>
                <w:t>Second Amendment Agreement, dated December 19, 2019, by and between Bayer HealthCare LLC and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w:anchor="page161">
              <w:r>
                <w:rPr>
                  <w:rFonts w:ascii="Arial" w:cs="Arial" w:eastAsia="Arial" w:hAnsi="Arial"/>
                  <w:sz w:val="18"/>
                  <w:szCs w:val="18"/>
                  <w:color w:val="0000FF"/>
                </w:rPr>
                <w:t>Registrant.</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10.11</w:t>
            </w:r>
          </w:p>
        </w:tc>
        <w:tc>
          <w:tcPr>
            <w:tcW w:w="82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License and Collaboration Agreement, dated as of January 10, 2014, by and between Bayer HealthCare LLC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the Registrant. (Incorporated by reference from the Form 10-Q for the Registrant, for the quarter ended March 31,</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2014, filed May 8, 2014.)</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10.12*</w:t>
            </w:r>
          </w:p>
        </w:tc>
        <w:tc>
          <w:tcPr>
            <w:tcW w:w="820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Amended and Restated Discovery and Preclinical Development Agreement, dated as of November 10, 2009, by</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and between Aventis Pharmaceuticals Inc. and the Registrant. (Incorporated by reference from the Form 10-K/A</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for the Registrant, for the year ended December 31, 2009, filed June 2, 2010.)</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10.12.1*</w:t>
            </w:r>
          </w:p>
        </w:tc>
        <w:tc>
          <w:tcPr>
            <w:tcW w:w="820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Amendment No. 1 to Amended and Restated Discovery and Preclinical Development Agreement, dated July 27,</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2015 and entered into effective as of July 1, 2015, by and between the Registrant and Sanofi Biotechnology SAS,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as successor-in-interest to Aventis Pharmaceuticals, Inc. (Incorporated by reference from the Form 10-Q for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Registrant, for the quarter ended September 30, 2015, filed November 4, 2015.)</w:t>
              </w:r>
            </w:hyperlink>
          </w:p>
        </w:tc>
        <w:tc>
          <w:tcPr>
            <w:tcW w:w="250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10.13*</w:t>
            </w:r>
          </w:p>
        </w:tc>
        <w:tc>
          <w:tcPr>
            <w:tcW w:w="8200" w:type="dxa"/>
            <w:vAlign w:val="bottom"/>
            <w:tcBorders>
              <w:bottom w:val="single" w:sz="8" w:color="0000FF"/>
            </w:tcBorders>
            <w:gridSpan w:val="13"/>
          </w:tcPr>
          <w:p>
            <w:pPr>
              <w:spacing w:after="0" w:line="202"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Amended and Restated License and Collaboration Agreement, dated as of November 10, 2009, by and among</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Aventis Pharmaceuticals Inc., sanofi-aventis Amerique du Nord, and the Registrant. (Incorporated by reference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from the Form 10-K/A for the Registrant, for the year ended December 31, 2009, filed June 2, 2010.)</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10.13.1*</w:t>
            </w:r>
          </w:p>
        </w:tc>
        <w:tc>
          <w:tcPr>
            <w:tcW w:w="8240" w:type="dxa"/>
            <w:vAlign w:val="bottom"/>
            <w:gridSpan w:val="15"/>
            <w:shd w:val="clear" w:color="auto" w:fill="CCEEFF"/>
          </w:tcPr>
          <w:p>
            <w:pPr>
              <w:spacing w:after="0" w:line="202"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First Amendment to Amended and Restated License and Collaboration Agreement by and between the Registrant</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and Aventis Pharmaceuticals Inc., dated May 1, 2013. (Incorporated by reference from the Form 10-Q for the</w:t>
              </w:r>
            </w:hyperlink>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Registrant, for the quarter ended June 30, 2013, filed August 6, 2013.)</w:t>
              </w:r>
            </w:hyperlink>
          </w:p>
        </w:tc>
        <w:tc>
          <w:tcPr>
            <w:tcW w:w="318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10.13.2*</w:t>
            </w:r>
          </w:p>
        </w:tc>
        <w:tc>
          <w:tcPr>
            <w:tcW w:w="8220" w:type="dxa"/>
            <w:vAlign w:val="bottom"/>
            <w:tcBorders>
              <w:bottom w:val="single" w:sz="8" w:color="0000FF"/>
            </w:tcBorders>
            <w:gridSpan w:val="14"/>
          </w:tcPr>
          <w:p>
            <w:pPr>
              <w:spacing w:after="0" w:line="202"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Amendment No. 2 to Amended and Restated License and Collaboration Agreement, dated July 27, 2015 and</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entered into effective as of July 1, 2015, by and between the Registrant and Sanofi Biotechnology SAS, as</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successor-in-interest to Aventis Pharmaceuticals, Inc. (Incorporated by reference from the Form 10-Q for the</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Registrant, for the quarter ended September 30, 2015, filed November 4, 2015.)</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10.14</w:t>
            </w:r>
          </w:p>
        </w:tc>
        <w:tc>
          <w:tcPr>
            <w:tcW w:w="82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Amended and Restated Investor Agreement, dated as of January 11, 2014, by and among Sanofi, sanofi-aventis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US LLC, Aventis Pharmaceuticals Inc., sanofi-aventis Amerique du Nord, and the Registrant. (Incorporated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reference from the Form 8-K for the Registrant, filed January 13, 2014.)</w:t>
              </w:r>
            </w:hyperlink>
          </w:p>
        </w:tc>
        <w:tc>
          <w:tcPr>
            <w:tcW w:w="304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10.15*</w:t>
            </w:r>
          </w:p>
        </w:tc>
        <w:tc>
          <w:tcPr>
            <w:tcW w:w="8220" w:type="dxa"/>
            <w:vAlign w:val="bottom"/>
            <w:tcBorders>
              <w:bottom w:val="single" w:sz="8" w:color="0000FF"/>
            </w:tcBorders>
            <w:gridSpan w:val="14"/>
          </w:tcPr>
          <w:p>
            <w:pPr>
              <w:spacing w:after="0" w:line="20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Letter Agreement by and between the Registrant and Aventis Pharmaceuticals Inc., dated May 2, 2013.</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(Incorporated by reference from the Form 10-Q for the Registrant, for the quarter ended June 30, 2013, filed</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August 6, 2013.)</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10.16</w:t>
            </w:r>
          </w:p>
        </w:tc>
        <w:tc>
          <w:tcPr>
            <w:tcW w:w="820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Credit Agreement, dated as of December 14, 2018, by and among the Registrant, as a borrower and guarantor;</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certain direct subsidiaries of the Registrant, as the initial subsidiary borrowers; JPMorgan Chase Bank, N.A., as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administrative agent; Bank of America, N.A. and U.S. Bank National Association, as co-syndication agents;</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Barclays Bank PLC, Citibank, N.A., Fifth Third Bank, and MUFG Bank, Ltd., as co-documentation agents;</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JPMorgan Chase Bank, N.A., Bank of America, N.A., and U.S. Bank National Association, as the issuing banks;</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JPMorgan Chase Bank, N.A., as the swingline lender; and the other lenders party thereto from time to time.</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(Incorporated by reference from the Form 8-K for the Registrant, filed December 17, 2018.)</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10.17*</w:t>
            </w:r>
          </w:p>
        </w:tc>
        <w:tc>
          <w:tcPr>
            <w:tcW w:w="820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Amended and Restated Immuno-oncology Discovery and Development Agreement, executed on January 2, 2019</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and effective as of December 31, 2018, by and between the Registrant and Sanofi Biotechnology SAS.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2180" w:right="40"/>
        <w:spacing w:after="0" w:line="277"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(Incorporated by reference from the Form 10-K for the Registrant, for the year ended December 31, 2018, filed</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February 7, 2019).</w:t>
        </w:r>
      </w:hyperlink>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20"/>
          </w:cols>
          <w:pgMar w:left="240" w:top="118" w:right="1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2"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10.18*</w:t>
            </w:r>
          </w:p>
        </w:tc>
        <w:tc>
          <w:tcPr>
            <w:tcW w:w="8240" w:type="dxa"/>
            <w:vAlign w:val="bottom"/>
            <w:gridSpan w:val="19"/>
            <w:shd w:val="clear" w:color="auto" w:fill="CCEEFF"/>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Immuno-oncology License and Collaboration Agreement, dated July 27, 2015 and entered into effective as of</w:t>
              </w:r>
            </w:hyperlink>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July 1, 2015, by and between the Registrant and Sanofi Biotechnology SAS. (Incorporated by reference from the</w:t>
              </w:r>
            </w:hyperlink>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Form 10-Q for the Registrant, for the quarter ended September 30, 2015, filed November 4, 2015.)</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10.19*</w:t>
            </w:r>
          </w:p>
        </w:tc>
        <w:tc>
          <w:tcPr>
            <w:tcW w:w="8240" w:type="dxa"/>
            <w:vAlign w:val="bottom"/>
            <w:gridSpan w:val="19"/>
          </w:tcPr>
          <w:p>
            <w:pPr>
              <w:spacing w:after="0" w:line="202"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Collaboration Agreement, dated as of September 29, 2015, by and between Regeneron Ireland and Mitsubishi</w:t>
              </w:r>
            </w:hyperlink>
          </w:p>
        </w:tc>
      </w:tr>
      <w:tr>
        <w:trPr>
          <w:trHeight w:val="196"/>
        </w:trPr>
        <w:tc>
          <w:tcPr>
            <w:tcW w:w="116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Tanabe Pharma Corporation. (Incorporated by reference from the Form 10-Q for the Registrant, for the quarter</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ended September 30, 2015, filed November 4, 2015.)</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10.20*</w:t>
            </w:r>
          </w:p>
        </w:tc>
        <w:tc>
          <w:tcPr>
            <w:tcW w:w="8200" w:type="dxa"/>
            <w:vAlign w:val="bottom"/>
            <w:tcBorders>
              <w:bottom w:val="single" w:sz="8" w:color="0000FF"/>
              <w:right w:val="single" w:sz="8" w:color="CCEEFF"/>
            </w:tcBorders>
            <w:gridSpan w:val="17"/>
            <w:shd w:val="clear" w:color="auto" w:fill="CCEEFF"/>
          </w:tcPr>
          <w:p>
            <w:pPr>
              <w:spacing w:after="0" w:line="202"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ANG2 License and Collaboration Agreement, dated as of March 23, 2016, by and between Bayer HealthCare</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LLC and the Registrant. (Incorporated by reference from the Form 10-Q for the Registrant, for the quarter ended</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March 31, 2016, filed May 5, 2016.)</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10.21*</w:t>
            </w:r>
          </w:p>
        </w:tc>
        <w:tc>
          <w:tcPr>
            <w:tcW w:w="8240" w:type="dxa"/>
            <w:vAlign w:val="bottom"/>
            <w:gridSpan w:val="19"/>
          </w:tcPr>
          <w:p>
            <w:pPr>
              <w:spacing w:after="0" w:line="202"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Collaboration Agreement, dated as of September 17, 2016, by and between Teva Pharmaceuticals International</w:t>
              </w:r>
            </w:hyperlink>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2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GmbH and Regeneron Ireland. (Incorporated by reference from the Form 10-Q for the Registrant, for the quarter</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ended September 30, 2016, filed November 4, 2016.)</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10.22*</w:t>
            </w:r>
          </w:p>
        </w:tc>
        <w:tc>
          <w:tcPr>
            <w:tcW w:w="8240" w:type="dxa"/>
            <w:vAlign w:val="bottom"/>
            <w:gridSpan w:val="19"/>
            <w:shd w:val="clear" w:color="auto" w:fill="CCEEFF"/>
          </w:tcPr>
          <w:p>
            <w:pPr>
              <w:spacing w:after="0" w:line="202"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Purchase Agreement, dated as of December 30, 2016, by and among BMR-Landmark at Eastview LLC and</w:t>
              </w:r>
            </w:hyperlink>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BMR-Landmark at Eastview IV LLC and the Registrant. (Incorporated by reference from the Form 10-K for the</w:t>
              </w:r>
            </w:hyperlink>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Registrant, for the year ended December 31, 2016, filed February 9, 2017.)</w:t>
              </w:r>
            </w:hyperlink>
          </w:p>
        </w:tc>
        <w:tc>
          <w:tcPr>
            <w:tcW w:w="284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10.23</w:t>
            </w:r>
          </w:p>
        </w:tc>
        <w:tc>
          <w:tcPr>
            <w:tcW w:w="8200" w:type="dxa"/>
            <w:vAlign w:val="bottom"/>
            <w:tcBorders>
              <w:bottom w:val="single" w:sz="8" w:color="0000FF"/>
            </w:tcBorders>
            <w:gridSpan w:val="17"/>
          </w:tcPr>
          <w:p>
            <w:pPr>
              <w:spacing w:after="0" w:line="202"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Amended and Restated Participation Agreement, dated as of May 2, 2019, by and among Old Saw Mill Holdings</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w w:val="97"/>
              </w:rPr>
            </w:pPr>
            <w:hyperlink r:id="rId81">
              <w:r>
                <w:rPr>
                  <w:rFonts w:ascii="Arial" w:cs="Arial" w:eastAsia="Arial" w:hAnsi="Arial"/>
                  <w:sz w:val="18"/>
                  <w:szCs w:val="18"/>
                  <w:color w:val="0000FF"/>
                  <w:w w:val="97"/>
                </w:rPr>
                <w:t>LLC, as lessee; Bank of America, N.A., as administrative agent; BA Leasing BSC, LLC, as lessor; and the</w:t>
              </w:r>
            </w:hyperlink>
          </w:p>
        </w:tc>
      </w:tr>
      <w:tr>
        <w:trPr>
          <w:trHeight w:val="196"/>
        </w:trPr>
        <w:tc>
          <w:tcPr>
            <w:tcW w:w="116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lenders party thereto from time to time. (Incorporated by reference from the Form 8-K for the Registrant, filed</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May 3, 2019.)</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10.24</w:t>
            </w:r>
          </w:p>
        </w:tc>
        <w:tc>
          <w:tcPr>
            <w:tcW w:w="8200" w:type="dxa"/>
            <w:vAlign w:val="bottom"/>
            <w:tcBorders>
              <w:bottom w:val="single" w:sz="8" w:color="0000FF"/>
              <w:right w:val="single" w:sz="8" w:color="CCEEFF"/>
            </w:tcBorders>
            <w:gridSpan w:val="17"/>
            <w:shd w:val="clear" w:color="auto" w:fill="CCEEFF"/>
          </w:tcPr>
          <w:p>
            <w:pPr>
              <w:spacing w:after="0" w:line="202" w:lineRule="exact"/>
              <w:rPr>
                <w:rFonts w:ascii="Arial" w:cs="Arial" w:eastAsia="Arial" w:hAnsi="Arial"/>
                <w:sz w:val="18"/>
                <w:szCs w:val="18"/>
                <w:color w:val="0000FF"/>
                <w:w w:val="96"/>
              </w:rPr>
            </w:pPr>
            <w:hyperlink r:id="rId82">
              <w:r>
                <w:rPr>
                  <w:rFonts w:ascii="Arial" w:cs="Arial" w:eastAsia="Arial" w:hAnsi="Arial"/>
                  <w:sz w:val="18"/>
                  <w:szCs w:val="18"/>
                  <w:color w:val="0000FF"/>
                  <w:w w:val="96"/>
                </w:rPr>
                <w:t>Amended and Restated Lease and Remedies Agreement, dated as of May 2, 2019, between Old Saw Mill</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Holdings LLC, as lessee, and BA Leasing BSC, LLC, as lessor. (Incorporated by reference from the Form 8-K</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for the Registrant, filed May 3, 2019.)</w:t>
              </w:r>
            </w:hyperlink>
          </w:p>
        </w:tc>
        <w:tc>
          <w:tcPr>
            <w:tcW w:w="550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10.25</w:t>
            </w:r>
          </w:p>
        </w:tc>
        <w:tc>
          <w:tcPr>
            <w:tcW w:w="8200" w:type="dxa"/>
            <w:vAlign w:val="bottom"/>
            <w:tcBorders>
              <w:bottom w:val="single" w:sz="8" w:color="0000FF"/>
            </w:tcBorders>
            <w:gridSpan w:val="17"/>
          </w:tcPr>
          <w:p>
            <w:pPr>
              <w:spacing w:after="0" w:line="202" w:lineRule="exact"/>
              <w:rPr>
                <w:rFonts w:ascii="Arial" w:cs="Arial" w:eastAsia="Arial" w:hAnsi="Arial"/>
                <w:sz w:val="18"/>
                <w:szCs w:val="18"/>
                <w:color w:val="0000FF"/>
                <w:w w:val="88"/>
              </w:rPr>
            </w:pPr>
            <w:hyperlink r:id="rId83">
              <w:r>
                <w:rPr>
                  <w:rFonts w:ascii="Arial" w:cs="Arial" w:eastAsia="Arial" w:hAnsi="Arial"/>
                  <w:sz w:val="18"/>
                  <w:szCs w:val="18"/>
                  <w:color w:val="0000FF"/>
                  <w:w w:val="88"/>
                </w:rPr>
                <w:t>Amended and Restated Guaranty, dated as of May 2, 2019, made by Regeneron Pharmaceuticals, Inc., Regeneron</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Healthcare Solutions, Inc., and Regeneron Genetics Center LLC, as guarantors. (Incorporated by reference from</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the Form 8-K for the Registrant, filed May 3, 2019.)</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10.26</w:t>
            </w:r>
          </w:p>
        </w:tc>
        <w:tc>
          <w:tcPr>
            <w:tcW w:w="8240" w:type="dxa"/>
            <w:vAlign w:val="bottom"/>
            <w:gridSpan w:val="19"/>
            <w:shd w:val="clear" w:color="auto" w:fill="CCEEFF"/>
          </w:tcPr>
          <w:p>
            <w:pPr>
              <w:spacing w:after="0" w:line="202"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Letter Agreement, dated as of January 7, 2018, by and among the Registrant, Sanofi, sanofi-aventis US LLC,</w:t>
              </w:r>
            </w:hyperlink>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Aventis Pharmaceuticals Inc., sanofi-aventis Amérique du Nord, and Sanofi Biotechnology SAS. (Incorporated</w:t>
              </w:r>
            </w:hyperlink>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by reference from the Form 10-Q for the Registrant, for the quarter ended March 31, 2018, filed May 3, 2018.)</w:t>
              </w:r>
            </w:hyperlink>
          </w:p>
        </w:tc>
        <w:tc>
          <w:tcPr>
            <w:tcW w:w="26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10.27**</w:t>
            </w:r>
          </w:p>
        </w:tc>
        <w:tc>
          <w:tcPr>
            <w:tcW w:w="8240" w:type="dxa"/>
            <w:vAlign w:val="bottom"/>
            <w:gridSpan w:val="19"/>
          </w:tcPr>
          <w:p>
            <w:pPr>
              <w:spacing w:after="0" w:line="202"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Master Agreement, dated as of April 8, 2019, by and between the Registrant and Alnylam Pharmaceuticals, Inc.</w:t>
              </w:r>
            </w:hyperlink>
          </w:p>
        </w:tc>
      </w:tr>
      <w:tr>
        <w:trPr>
          <w:trHeight w:val="196"/>
        </w:trPr>
        <w:tc>
          <w:tcPr>
            <w:tcW w:w="116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(Incorporated by reference from the Form 10-Q for the Registrant, for the quarter ended June 30, 2019, filed</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August 6, 2019).</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10.27.1**</w:t>
            </w:r>
          </w:p>
        </w:tc>
        <w:tc>
          <w:tcPr>
            <w:tcW w:w="742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Form of Co-Co Collaboration Agreement (Exhibit B to Master Agreement contained in Exhibit 10.27).</w:t>
              </w:r>
            </w:hyperlink>
          </w:p>
        </w:tc>
        <w:tc>
          <w:tcPr>
            <w:tcW w:w="82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10.27.2**</w:t>
            </w:r>
          </w:p>
        </w:tc>
        <w:tc>
          <w:tcPr>
            <w:tcW w:w="8240" w:type="dxa"/>
            <w:vAlign w:val="bottom"/>
            <w:gridSpan w:val="19"/>
          </w:tcPr>
          <w:p>
            <w:pPr>
              <w:spacing w:after="0" w:line="202" w:lineRule="exact"/>
              <w:rPr>
                <w:rFonts w:ascii="Arial" w:cs="Arial" w:eastAsia="Arial" w:hAnsi="Arial"/>
                <w:sz w:val="18"/>
                <w:szCs w:val="18"/>
                <w:color w:val="0000FF"/>
              </w:rPr>
            </w:pPr>
            <w:hyperlink r:id="rId87">
              <w:r>
                <w:rPr>
                  <w:rFonts w:ascii="Arial" w:cs="Arial" w:eastAsia="Arial" w:hAnsi="Arial"/>
                  <w:sz w:val="18"/>
                  <w:szCs w:val="18"/>
                  <w:color w:val="0000FF"/>
                </w:rPr>
                <w:t>Form of License Agreement (Exhibit C to Master Agreement contained in Exhibit 10.27).</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10.28**</w:t>
            </w:r>
          </w:p>
        </w:tc>
        <w:tc>
          <w:tcPr>
            <w:tcW w:w="8240" w:type="dxa"/>
            <w:vAlign w:val="bottom"/>
            <w:gridSpan w:val="19"/>
            <w:shd w:val="clear" w:color="auto" w:fill="CCEEFF"/>
          </w:tcPr>
          <w:p>
            <w:pPr>
              <w:spacing w:after="0" w:line="202"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Investor Agreement, dated as of April 8, 2019, by and between the Registrant and Alnylam Pharmaceuticals, Inc.</w:t>
              </w:r>
            </w:hyperlink>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5"/>
              </w:rPr>
            </w:pPr>
            <w:hyperlink r:id="rId88">
              <w:r>
                <w:rPr>
                  <w:rFonts w:ascii="Arial" w:cs="Arial" w:eastAsia="Arial" w:hAnsi="Arial"/>
                  <w:sz w:val="18"/>
                  <w:szCs w:val="18"/>
                  <w:color w:val="0000FF"/>
                  <w:w w:val="95"/>
                </w:rPr>
                <w:t>(Incorporated by reference from the Form 10-Q for the Registrant, for the quarter ended June 30, 2019, filed</w:t>
              </w:r>
            </w:hyperlink>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August 6, 2019.)</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10.29</w:t>
            </w:r>
          </w:p>
        </w:tc>
        <w:tc>
          <w:tcPr>
            <w:tcW w:w="8200" w:type="dxa"/>
            <w:vAlign w:val="bottom"/>
            <w:tcBorders>
              <w:bottom w:val="single" w:sz="8" w:color="0000FF"/>
            </w:tcBorders>
            <w:gridSpan w:val="17"/>
          </w:tcPr>
          <w:p>
            <w:pPr>
              <w:spacing w:after="0" w:line="202"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Stock  Purchase  Agreement,  dated  as  of  April  8,  2019,  by  and  between  the  Registrant  and  Alnylam</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0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Pharmaceuticals, Inc. (Incorporated by reference from the Form 10-Q for the Registrant, for the quarter ended</w:t>
              </w:r>
            </w:hyperlink>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9"/>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June 30, 2019, filed August 6, 2019.)</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21.1</w:t>
            </w:r>
          </w:p>
        </w:tc>
        <w:tc>
          <w:tcPr>
            <w:tcW w:w="8240" w:type="dxa"/>
            <w:vAlign w:val="bottom"/>
            <w:gridSpan w:val="19"/>
            <w:shd w:val="clear" w:color="auto" w:fill="CCEEFF"/>
          </w:tcPr>
          <w:p>
            <w:pPr>
              <w:spacing w:after="0" w:line="202" w:lineRule="exact"/>
              <w:rPr>
                <w:rFonts w:ascii="Arial" w:cs="Arial" w:eastAsia="Arial" w:hAnsi="Arial"/>
                <w:sz w:val="18"/>
                <w:szCs w:val="18"/>
                <w:color w:val="0000FF"/>
              </w:rPr>
            </w:pPr>
            <w:hyperlink w:anchor="page167">
              <w:r>
                <w:rPr>
                  <w:rFonts w:ascii="Arial" w:cs="Arial" w:eastAsia="Arial" w:hAnsi="Arial"/>
                  <w:sz w:val="18"/>
                  <w:szCs w:val="18"/>
                  <w:color w:val="0000FF"/>
                </w:rPr>
                <w:t>Subsidiaries of the Registrant.</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23.1</w:t>
            </w:r>
          </w:p>
        </w:tc>
        <w:tc>
          <w:tcPr>
            <w:tcW w:w="8240" w:type="dxa"/>
            <w:vAlign w:val="bottom"/>
            <w:gridSpan w:val="19"/>
          </w:tcPr>
          <w:p>
            <w:pPr>
              <w:spacing w:after="0" w:line="202" w:lineRule="exact"/>
              <w:rPr>
                <w:rFonts w:ascii="Arial" w:cs="Arial" w:eastAsia="Arial" w:hAnsi="Arial"/>
                <w:sz w:val="18"/>
                <w:szCs w:val="18"/>
                <w:color w:val="0000FF"/>
              </w:rPr>
            </w:pPr>
            <w:hyperlink w:anchor="page168">
              <w:r>
                <w:rPr>
                  <w:rFonts w:ascii="Arial" w:cs="Arial" w:eastAsia="Arial" w:hAnsi="Arial"/>
                  <w:sz w:val="18"/>
                  <w:szCs w:val="18"/>
                  <w:color w:val="0000FF"/>
                </w:rPr>
                <w:t>Consent of PricewaterhouseCoopers LLP, Independent Registered Public Accounting Firm.</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24.1</w:t>
            </w:r>
          </w:p>
        </w:tc>
        <w:tc>
          <w:tcPr>
            <w:tcW w:w="8240" w:type="dxa"/>
            <w:vAlign w:val="bottom"/>
            <w:gridSpan w:val="19"/>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Power of Attorney (included on the signature page of this Annual Report on Form 10-K).</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31.1</w:t>
            </w:r>
          </w:p>
        </w:tc>
        <w:tc>
          <w:tcPr>
            <w:tcW w:w="8240" w:type="dxa"/>
            <w:vAlign w:val="bottom"/>
            <w:gridSpan w:val="19"/>
          </w:tcPr>
          <w:p>
            <w:pPr>
              <w:spacing w:after="0" w:line="202" w:lineRule="exact"/>
              <w:rPr>
                <w:rFonts w:ascii="Arial" w:cs="Arial" w:eastAsia="Arial" w:hAnsi="Arial"/>
                <w:sz w:val="18"/>
                <w:szCs w:val="18"/>
                <w:color w:val="0000FF"/>
                <w:w w:val="96"/>
              </w:rPr>
            </w:pPr>
            <w:hyperlink w:anchor="page169">
              <w:r>
                <w:rPr>
                  <w:rFonts w:ascii="Arial" w:cs="Arial" w:eastAsia="Arial" w:hAnsi="Arial"/>
                  <w:sz w:val="18"/>
                  <w:szCs w:val="18"/>
                  <w:color w:val="0000FF"/>
                  <w:w w:val="96"/>
                </w:rPr>
                <w:t>Certification of Principal Executive Officer pursuant to Rule 13a-14(a) under the Securities Exchange Act of</w:t>
              </w:r>
            </w:hyperlink>
          </w:p>
        </w:tc>
      </w:tr>
      <w:tr>
        <w:trPr>
          <w:trHeight w:val="196"/>
        </w:trPr>
        <w:tc>
          <w:tcPr>
            <w:tcW w:w="1160" w:type="dxa"/>
            <w:vAlign w:val="bottom"/>
          </w:tcPr>
          <w:p>
            <w:pPr>
              <w:spacing w:after="0"/>
              <w:rPr>
                <w:sz w:val="17"/>
                <w:szCs w:val="17"/>
                <w:color w:val="auto"/>
              </w:rPr>
            </w:pPr>
          </w:p>
        </w:tc>
        <w:tc>
          <w:tcPr>
            <w:tcW w:w="1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169">
              <w:r>
                <w:rPr>
                  <w:rFonts w:ascii="Arial" w:cs="Arial" w:eastAsia="Arial" w:hAnsi="Arial"/>
                  <w:sz w:val="18"/>
                  <w:szCs w:val="18"/>
                  <w:color w:val="0000FF"/>
                </w:rPr>
                <w:t>1934.</w:t>
              </w:r>
            </w:hyperlink>
          </w:p>
        </w:tc>
        <w:tc>
          <w:tcPr>
            <w:tcW w:w="1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31.2</w:t>
            </w:r>
          </w:p>
        </w:tc>
        <w:tc>
          <w:tcPr>
            <w:tcW w:w="8240" w:type="dxa"/>
            <w:vAlign w:val="bottom"/>
            <w:gridSpan w:val="19"/>
            <w:shd w:val="clear" w:color="auto" w:fill="CCEEFF"/>
          </w:tcPr>
          <w:p>
            <w:pPr>
              <w:spacing w:after="0" w:line="202" w:lineRule="exact"/>
              <w:rPr>
                <w:rFonts w:ascii="Arial" w:cs="Arial" w:eastAsia="Arial" w:hAnsi="Arial"/>
                <w:sz w:val="18"/>
                <w:szCs w:val="18"/>
                <w:color w:val="0000FF"/>
                <w:w w:val="97"/>
              </w:rPr>
            </w:pPr>
            <w:hyperlink w:anchor="page170">
              <w:r>
                <w:rPr>
                  <w:rFonts w:ascii="Arial" w:cs="Arial" w:eastAsia="Arial" w:hAnsi="Arial"/>
                  <w:sz w:val="18"/>
                  <w:szCs w:val="18"/>
                  <w:color w:val="0000FF"/>
                  <w:w w:val="97"/>
                </w:rPr>
                <w:t>Certification of Principal Financial Officer pursuant to Rule 13a-14(a) under the Securities Exchange Act of</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w:anchor="page170">
              <w:r>
                <w:rPr>
                  <w:rFonts w:ascii="Arial" w:cs="Arial" w:eastAsia="Arial" w:hAnsi="Arial"/>
                  <w:sz w:val="18"/>
                  <w:szCs w:val="18"/>
                  <w:color w:val="0000FF"/>
                </w:rPr>
                <w:t>1934.</w:t>
              </w:r>
            </w:hyperlink>
          </w:p>
        </w:tc>
        <w:tc>
          <w:tcPr>
            <w:tcW w:w="18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0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10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5620" w:right="200" w:hanging="4579"/>
        <w:spacing w:after="0" w:line="559" w:lineRule="auto"/>
        <w:tabs>
          <w:tab w:leader="none" w:pos="2172" w:val="left"/>
        </w:tabs>
        <w:numPr>
          <w:ilvl w:val="0"/>
          <w:numId w:val="36"/>
        </w:numPr>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Certification of Principal Executive Officer and Principal Financial Officer pursuant to 18 U.S.C. Section 1350.</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80</w:t>
      </w:r>
    </w:p>
    <w:p>
      <w:pPr>
        <w:sectPr>
          <w:pgSz w:w="11900" w:h="16838" w:orient="portrait"/>
          <w:cols w:equalWidth="0" w:num="1">
            <w:col w:w="10420"/>
          </w:cols>
          <w:pgMar w:left="240" w:top="130" w:right="1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232410</wp:posOffset>
            </wp:positionV>
            <wp:extent cx="5969000" cy="995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0">
                      <a:extLst>
                        <a:ext uri="{28A0092B-C50C-407E-A947-70E740481C1C}"/>
                      </a:extLst>
                    </a:blip>
                    <a:srcRect/>
                    <a:stretch>
                      <a:fillRect/>
                    </a:stretch>
                  </pic:blipFill>
                  <pic:spPr bwMode="auto">
                    <a:xfrm>
                      <a:off x="0" y="0"/>
                      <a:ext cx="5969000" cy="995045"/>
                    </a:xfrm>
                    <a:prstGeom prst="rect">
                      <a:avLst/>
                    </a:prstGeom>
                    <a:noFill/>
                  </pic:spPr>
                </pic:pic>
              </a:graphicData>
            </a:graphic>
          </wp:anchor>
        </w:drawing>
      </w:r>
    </w:p>
    <w:p>
      <w:pPr>
        <w:spacing w:after="0" w:line="359" w:lineRule="exact"/>
        <w:rPr>
          <w:sz w:val="20"/>
          <w:szCs w:val="20"/>
          <w:color w:val="auto"/>
        </w:rPr>
      </w:pPr>
    </w:p>
    <w:p>
      <w:pPr>
        <w:jc w:val="both"/>
        <w:ind w:left="2180" w:hanging="1139"/>
        <w:spacing w:after="0" w:line="291" w:lineRule="auto"/>
        <w:tabs>
          <w:tab w:leader="none" w:pos="2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Consolidated Balance Sheets as of December 31, 2019 and 2018;</w:t>
      </w:r>
    </w:p>
    <w:p>
      <w:pPr>
        <w:jc w:val="both"/>
        <w:ind w:left="2180" w:hanging="4"/>
        <w:spacing w:after="0" w:line="253" w:lineRule="auto"/>
        <w:tabs>
          <w:tab w:leader="none" w:pos="24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Registrant's Consolidated Statements of Operations and Comprehensive Income for the years ended December 31, 2019, 2018, and 2017; (iii) the Registrant's Consolidated Statements of Stockholders’ Equity for the years ended December 31, 2019, 2018, and 2017; (iv) the Registrant's Consolidated Statements of Cash Flows for the years ended December 31, 2019, 2018, and 2017; and (v) the notes to the Registrant's Consolidated Financial Statements.</w:t>
      </w:r>
    </w:p>
    <w:p>
      <w:pPr>
        <w:spacing w:after="0" w:line="29" w:lineRule="exact"/>
        <w:rPr>
          <w:sz w:val="20"/>
          <w:szCs w:val="20"/>
          <w:color w:val="auto"/>
        </w:rPr>
      </w:pPr>
    </w:p>
    <w:p>
      <w:pPr>
        <w:ind w:left="2180" w:hanging="1139"/>
        <w:spacing w:after="0"/>
        <w:tabs>
          <w:tab w:leader="none" w:pos="2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_______</w:t>
      </w:r>
    </w:p>
    <w:p>
      <w:pPr>
        <w:spacing w:after="0" w:line="328"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4"/>
          <w:szCs w:val="14"/>
          <w:color w:val="auto"/>
        </w:rPr>
        <w:t>*   Portions of this document have been omitted and filed separately with the Commission pursuant to requests for confidential treatment pursuant to Rule 24b-2.</w:t>
      </w:r>
    </w:p>
    <w:p>
      <w:pPr>
        <w:spacing w:after="0" w:line="109" w:lineRule="exact"/>
        <w:rPr>
          <w:rFonts w:ascii="Arial" w:cs="Arial" w:eastAsia="Arial" w:hAnsi="Arial"/>
          <w:sz w:val="18"/>
          <w:szCs w:val="18"/>
          <w:color w:val="auto"/>
        </w:rPr>
      </w:pPr>
    </w:p>
    <w:p>
      <w:pPr>
        <w:ind w:left="380" w:hanging="313"/>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Certain confidential portions of this exhibit were omitted in accordance with Item 601(b)(10) of Regulation S-K.</w:t>
      </w:r>
    </w:p>
    <w:p>
      <w:pPr>
        <w:spacing w:after="0" w:line="109" w:lineRule="exact"/>
        <w:rPr>
          <w:rFonts w:ascii="Arial" w:cs="Arial" w:eastAsia="Arial" w:hAnsi="Arial"/>
          <w:sz w:val="14"/>
          <w:szCs w:val="14"/>
          <w:color w:val="auto"/>
        </w:rPr>
      </w:pPr>
    </w:p>
    <w:p>
      <w:pPr>
        <w:ind w:left="380" w:hanging="250"/>
        <w:spacing w:after="0"/>
        <w:tabs>
          <w:tab w:leader="none" w:pos="3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380"/>
          </w:cols>
          <w:pgMar w:left="240" w:top="130" w:right="12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280" w:type="dxa"/>
            <w:vAlign w:val="bottom"/>
            <w:gridSpan w:val="3"/>
          </w:tcPr>
          <w:p>
            <w:pPr>
              <w:ind w:left="2040"/>
              <w:spacing w:after="0"/>
              <w:rPr>
                <w:sz w:val="20"/>
                <w:szCs w:val="20"/>
                <w:color w:val="auto"/>
              </w:rPr>
            </w:pPr>
            <w:r>
              <w:rPr>
                <w:rFonts w:ascii="Arial" w:cs="Arial" w:eastAsia="Arial" w:hAnsi="Arial"/>
                <w:sz w:val="18"/>
                <w:szCs w:val="18"/>
                <w:b w:val="1"/>
                <w:bCs w:val="1"/>
                <w:color w:val="auto"/>
              </w:rPr>
              <w:t>Title</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6"/>
        </w:trPr>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(Principal Executive Officer)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6"/>
        </w:trPr>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Executive Vice President, Finance and Chief</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Financial Officer (Principal Financial Officer)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6"/>
        </w:trPr>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Vice President, Controller (Principal Accounting</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CHRISTOPHER R. FENIMORE</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Officer)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Christopher R. Fenimore</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Scientific Officer, and 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Chairman of the Board</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BONNIE L. BASSLER</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Bonnie L. Bassler,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N. ANTHONY COLES</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N. Anthony Coles,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HUDA Y. ZOGHBI</w:t>
            </w:r>
          </w:p>
        </w:tc>
        <w:tc>
          <w:tcPr>
            <w:tcW w:w="428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7, 2020</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Huda Y. Zoghbi,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75"/>
        </w:trPr>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ind w:left="118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2"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Report of Independent Registered Public Accounting Firm</w:t>
              </w:r>
            </w:hyperlink>
          </w:p>
        </w:tc>
        <w:tc>
          <w:tcPr>
            <w:tcW w:w="458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60"/>
              <w:spacing w:after="0" w:line="202" w:lineRule="exact"/>
              <w:rPr>
                <w:rFonts w:ascii="Arial" w:cs="Arial" w:eastAsia="Arial" w:hAnsi="Arial"/>
                <w:sz w:val="18"/>
                <w:szCs w:val="18"/>
                <w:color w:val="0000FF"/>
                <w:w w:val="93"/>
              </w:rPr>
            </w:pPr>
            <w:hyperlink w:anchor="page87">
              <w:r>
                <w:rPr>
                  <w:rFonts w:ascii="Arial" w:cs="Arial" w:eastAsia="Arial" w:hAnsi="Arial"/>
                  <w:sz w:val="18"/>
                  <w:szCs w:val="18"/>
                  <w:color w:val="0000FF"/>
                  <w:w w:val="93"/>
                </w:rPr>
                <w:t>F- 2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00" w:type="dxa"/>
            <w:vAlign w:val="bottom"/>
            <w:gridSpan w:val="8"/>
          </w:tcPr>
          <w:p>
            <w:pPr>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Balance Sheets as of December 31, 2019 and 2018</w:t>
              </w:r>
            </w:hyperlink>
          </w:p>
        </w:tc>
        <w:tc>
          <w:tcPr>
            <w:tcW w:w="100" w:type="dxa"/>
            <w:vAlign w:val="bottom"/>
          </w:tcPr>
          <w:p>
            <w:pPr>
              <w:spacing w:after="0"/>
              <w:rPr>
                <w:sz w:val="17"/>
                <w:szCs w:val="17"/>
                <w:color w:val="auto"/>
              </w:rPr>
            </w:pPr>
          </w:p>
        </w:tc>
        <w:tc>
          <w:tcPr>
            <w:tcW w:w="1160" w:type="dxa"/>
            <w:vAlign w:val="bottom"/>
            <w:gridSpan w:val="5"/>
          </w:tcPr>
          <w:p>
            <w:pPr>
              <w:jc w:val="center"/>
              <w:ind w:right="260"/>
              <w:spacing w:after="0" w:line="202" w:lineRule="exact"/>
              <w:rPr>
                <w:rFonts w:ascii="Arial" w:cs="Arial" w:eastAsia="Arial" w:hAnsi="Arial"/>
                <w:sz w:val="18"/>
                <w:szCs w:val="18"/>
                <w:color w:val="0000FF"/>
                <w:w w:val="93"/>
              </w:rPr>
            </w:pPr>
            <w:hyperlink w:anchor="page89">
              <w:r>
                <w:rPr>
                  <w:rFonts w:ascii="Arial" w:cs="Arial" w:eastAsia="Arial" w:hAnsi="Arial"/>
                  <w:sz w:val="18"/>
                  <w:szCs w:val="18"/>
                  <w:color w:val="0000FF"/>
                  <w:w w:val="93"/>
                </w:rPr>
                <w:t>F- 4</w:t>
              </w:r>
            </w:hyperlink>
          </w:p>
        </w:tc>
      </w:tr>
      <w:tr>
        <w:trPr>
          <w:trHeight w:val="48"/>
        </w:trPr>
        <w:tc>
          <w:tcPr>
            <w:tcW w:w="4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4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00" w:type="dxa"/>
            <w:vAlign w:val="bottom"/>
            <w:gridSpan w:val="8"/>
            <w:shd w:val="clear" w:color="auto" w:fill="CCEEFF"/>
          </w:tcPr>
          <w:p>
            <w:pPr>
              <w:spacing w:after="0" w:line="202"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Consolidated Statements of Operations and Comprehensive Income for the Years Ended December 31, 2019, 2018,</w:t>
              </w:r>
            </w:hyperlink>
          </w:p>
        </w:tc>
        <w:tc>
          <w:tcPr>
            <w:tcW w:w="10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center"/>
              <w:ind w:right="260"/>
              <w:spacing w:after="0" w:line="202"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F- 5</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83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and 2017</w:t>
              </w:r>
            </w:hyperlink>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800" w:type="dxa"/>
            <w:vAlign w:val="bottom"/>
            <w:gridSpan w:val="8"/>
          </w:tcPr>
          <w:p>
            <w:pPr>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Stockholders' Equity for the Years Ended December 31, 2019, 2018, and 2017</w:t>
              </w:r>
            </w:hyperlink>
          </w:p>
        </w:tc>
        <w:tc>
          <w:tcPr>
            <w:tcW w:w="100" w:type="dxa"/>
            <w:vAlign w:val="bottom"/>
          </w:tcPr>
          <w:p>
            <w:pPr>
              <w:spacing w:after="0"/>
              <w:rPr>
                <w:sz w:val="17"/>
                <w:szCs w:val="17"/>
                <w:color w:val="auto"/>
              </w:rPr>
            </w:pPr>
          </w:p>
        </w:tc>
        <w:tc>
          <w:tcPr>
            <w:tcW w:w="1160" w:type="dxa"/>
            <w:vAlign w:val="bottom"/>
            <w:gridSpan w:val="5"/>
          </w:tcPr>
          <w:p>
            <w:pPr>
              <w:jc w:val="center"/>
              <w:ind w:right="260"/>
              <w:spacing w:after="0" w:line="202" w:lineRule="exact"/>
              <w:rPr>
                <w:rFonts w:ascii="Arial" w:cs="Arial" w:eastAsia="Arial" w:hAnsi="Arial"/>
                <w:sz w:val="18"/>
                <w:szCs w:val="18"/>
                <w:color w:val="0000FF"/>
                <w:w w:val="93"/>
              </w:rPr>
            </w:pPr>
            <w:hyperlink w:anchor="page91">
              <w:r>
                <w:rPr>
                  <w:rFonts w:ascii="Arial" w:cs="Arial" w:eastAsia="Arial" w:hAnsi="Arial"/>
                  <w:sz w:val="18"/>
                  <w:szCs w:val="18"/>
                  <w:color w:val="0000FF"/>
                  <w:w w:val="93"/>
                </w:rPr>
                <w:t>F- 6</w:t>
              </w:r>
            </w:hyperlink>
          </w:p>
        </w:tc>
      </w:tr>
      <w:tr>
        <w:trPr>
          <w:trHeight w:val="48"/>
        </w:trPr>
        <w:tc>
          <w:tcPr>
            <w:tcW w:w="4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4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3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800" w:type="dxa"/>
            <w:vAlign w:val="bottom"/>
            <w:gridSpan w:val="8"/>
            <w:shd w:val="clear" w:color="auto" w:fill="CCEEFF"/>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 for the Years Ended December 31, 2019, 2018, and 2017</w:t>
              </w:r>
            </w:hyperlink>
          </w:p>
        </w:tc>
        <w:tc>
          <w:tcPr>
            <w:tcW w:w="10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center"/>
              <w:ind w:right="260"/>
              <w:spacing w:after="0" w:line="202" w:lineRule="exact"/>
              <w:rPr>
                <w:rFonts w:ascii="Arial" w:cs="Arial" w:eastAsia="Arial" w:hAnsi="Arial"/>
                <w:sz w:val="18"/>
                <w:szCs w:val="18"/>
                <w:color w:val="0000FF"/>
                <w:w w:val="93"/>
              </w:rPr>
            </w:pPr>
            <w:hyperlink w:anchor="page93">
              <w:r>
                <w:rPr>
                  <w:rFonts w:ascii="Arial" w:cs="Arial" w:eastAsia="Arial" w:hAnsi="Arial"/>
                  <w:sz w:val="18"/>
                  <w:szCs w:val="18"/>
                  <w:color w:val="0000FF"/>
                  <w:w w:val="93"/>
                </w:rPr>
                <w:t>F- 8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4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5"/>
          </w:tcPr>
          <w:p>
            <w:pPr>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Notes to Consolidated Financial Statements</w:t>
              </w:r>
            </w:hyperlink>
          </w:p>
        </w:tc>
        <w:tc>
          <w:tcPr>
            <w:tcW w:w="18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jc w:val="center"/>
              <w:ind w:right="240"/>
              <w:spacing w:after="0" w:line="202" w:lineRule="exact"/>
              <w:rPr>
                <w:rFonts w:ascii="Arial" w:cs="Arial" w:eastAsia="Arial" w:hAnsi="Arial"/>
                <w:sz w:val="18"/>
                <w:szCs w:val="18"/>
                <w:color w:val="0000FF"/>
                <w:w w:val="92"/>
              </w:rPr>
            </w:pPr>
            <w:hyperlink w:anchor="page94">
              <w:r>
                <w:rPr>
                  <w:rFonts w:ascii="Arial" w:cs="Arial" w:eastAsia="Arial" w:hAnsi="Arial"/>
                  <w:sz w:val="18"/>
                  <w:szCs w:val="18"/>
                  <w:color w:val="0000FF"/>
                  <w:w w:val="92"/>
                </w:rPr>
                <w:t xml:space="preserve">F- 9 </w:t>
              </w:r>
            </w:hyperlink>
            <w:r>
              <w:rPr>
                <w:rFonts w:ascii="Arial" w:cs="Arial" w:eastAsia="Arial" w:hAnsi="Arial"/>
                <w:sz w:val="18"/>
                <w:szCs w:val="18"/>
                <w:color w:val="0000FF"/>
                <w:w w:val="92"/>
              </w:rPr>
              <w:t xml:space="preserve">to </w:t>
            </w:r>
            <w:hyperlink w:anchor="page129">
              <w:r>
                <w:rPr>
                  <w:rFonts w:ascii="Arial" w:cs="Arial" w:eastAsia="Arial" w:hAnsi="Arial"/>
                  <w:sz w:val="18"/>
                  <w:szCs w:val="18"/>
                  <w:color w:val="0000FF"/>
                  <w:w w:val="92"/>
                </w:rPr>
                <w:t>F- 44</w:t>
              </w:r>
            </w:hyperlink>
          </w:p>
        </w:tc>
      </w:tr>
      <w:tr>
        <w:trPr>
          <w:trHeight w:val="20"/>
        </w:trPr>
        <w:tc>
          <w:tcPr>
            <w:tcW w:w="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0760"/>
          </w:cols>
          <w:pgMar w:left="240" w:top="130" w:right="89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Regeneron Pharmaceuticals, Inc. and its subsidiaries (the "Company") as of December 31, 2019 and 2018, and the related consolidated statements of operations and comprehensive income,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Collaboration Revenue related to Research and Development Performance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 1 to the consolidated financial statements, revenues related to collaboration arrangements where the Company satisfies performance obligations during the development phase over time are typically recognized using an input method on the basis of research and development costs incurred relative to the total expected costs which determines the extent of progress in each period towards completion of the performance obligation. Collaboration revenue for non-refundable up-front payments, development milestones, and payments for development activities, for which management used an input method, was $497.6 million for the year ended December 31, 2019. Management has disclosed that there is variability in the scope of activities and length of time necessary to develop a drug product, potential delays in development programs, changes to development plans and budgets as programs progress, and uncertainty in the ultimate requirements to obtain governmental approval for commercialization related to these estimates.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recognition of collaboration revenue related to research and development performance obligations is a critical audit matter are there was significant judgment by management when developing the total expected research and development costs to complete the performance obligation. This in turn led to significant audit effort in performing procedures and evaluating evidence to assess the reasonableness of the estimates of the costs to complete.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total expected research and development costs to complete the performance obligation. These procedures also included, among others, evaluating and testing management’s process for determining the total expected research and development costs at completion for a sample of contracts, which included evaluating the reasonableness of actual costs incurred and estimated costs to complete. Evaluating the reasonableness of estimated costs to complete involved assessing management’s ability to reasonably estimate costs to complete the performance obligation by (i) obtaining supporting evidence for expected development activities; (ii) evaluating the identification of circumstances that may warrant a modification to estimated costs to complete; and (iii) agreeing estimates of total budgeted costs to contracts or other agreements with collaboration partners.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3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21"/>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8"/>
              </w:rPr>
              <w:t>(In millions,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1,342.2</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226.4</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1,415.5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1,151.2</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7,689.1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6,447.6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3,256.8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1,755.0</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2,575.8</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828.7</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14,805.2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11,734.5</w:t>
            </w:r>
          </w:p>
        </w:tc>
      </w:tr>
      <w:tr>
        <w:trPr>
          <w:trHeight w:val="67"/>
        </w:trPr>
        <w:tc>
          <w:tcPr>
            <w:tcW w:w="1160" w:type="dxa"/>
            <w:vAlign w:val="bottom"/>
            <w:tcBorders>
              <w:bottom w:val="single" w:sz="8" w:color="CCEEFF"/>
            </w:tcBorders>
          </w:tcPr>
          <w:p>
            <w:pPr>
              <w:spacing w:after="0"/>
              <w:rPr>
                <w:sz w:val="5"/>
                <w:szCs w:val="5"/>
                <w:color w:val="auto"/>
              </w:rPr>
            </w:pPr>
          </w:p>
        </w:tc>
        <w:tc>
          <w:tcPr>
            <w:tcW w:w="69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1160" w:type="dxa"/>
            <w:vAlign w:val="bottom"/>
            <w:shd w:val="clear" w:color="auto" w:fill="CCEEFF"/>
          </w:tcPr>
          <w:p>
            <w:pPr>
              <w:spacing w:after="0"/>
              <w:rPr>
                <w:sz w:val="22"/>
                <w:szCs w:val="22"/>
                <w:color w:val="auto"/>
              </w:rPr>
            </w:pPr>
          </w:p>
        </w:tc>
        <w:tc>
          <w:tcPr>
            <w:tcW w:w="6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6940" w:type="dxa"/>
            <w:vAlign w:val="bottom"/>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218.2</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246.7</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 - 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205.8</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2,096.6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1,442.8</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Finance lease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708.5</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revenue - other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184.9</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361.7</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3,715.5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2,977.2</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1,848,970 in 2019 and 1,911,354 in 2018</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- 113,288,103 in 2019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111,084,951 in 2018</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3,911.6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5,254.3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4,860,123 shares in 2019 and 3,990,021 shares in 2018</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11,089.7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8,757.3</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7" w:right="259" w:bottom="906"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00"/>
          </w:cols>
          <w:pgMar w:left="240" w:top="117" w:right="259" w:bottom="906"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3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21"/>
        </w:trPr>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41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80" w:type="dxa"/>
            <w:vAlign w:val="bottom"/>
            <w:gridSpan w:val="8"/>
          </w:tcPr>
          <w:p>
            <w:pPr>
              <w:jc w:val="center"/>
              <w:ind w:left="43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140" w:type="dxa"/>
            <w:vAlign w:val="bottom"/>
            <w:gridSpan w:val="4"/>
          </w:tcPr>
          <w:p>
            <w:pPr>
              <w:jc w:val="center"/>
              <w:ind w:right="5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2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3,718.5</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877.2</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938.1</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338.4</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5,872.2</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2,075.1</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1,320.4</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202.5</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0"/>
              </w:rPr>
              <w:t>Cost of collaboration and contract manufacturing</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5,653.6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3,792.6</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2,079.6</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2,078.5</w:t>
            </w:r>
          </w:p>
        </w:tc>
      </w:tr>
      <w:tr>
        <w:trPr>
          <w:trHeight w:val="284"/>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2,115.8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1,198.5</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10.34</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106.3</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r>
      <w:tr>
        <w:trPr>
          <w:trHeight w:val="284"/>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2,115.8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2,444.4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1,198.5</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w w:val="94"/>
              </w:rPr>
              <w:t>Unrealized gain (loss) on marketable securities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gain on cash flow hedges</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57"/>
        </w:trPr>
        <w:tc>
          <w:tcPr>
            <w:tcW w:w="120" w:type="dxa"/>
            <w:vAlign w:val="bottom"/>
          </w:tcPr>
          <w:p>
            <w:pPr>
              <w:spacing w:after="0"/>
              <w:rPr>
                <w:sz w:val="22"/>
                <w:szCs w:val="22"/>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4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1,212.0</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172085</wp:posOffset>
            </wp:positionV>
            <wp:extent cx="7100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3">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189230</wp:posOffset>
            </wp:positionV>
            <wp:extent cx="71005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F- 5</w:t>
      </w:r>
    </w:p>
    <w:p>
      <w:pPr>
        <w:sectPr>
          <w:pgSz w:w="11900" w:h="16838" w:orient="portrait"/>
          <w:cols w:equalWidth="0" w:num="1">
            <w:col w:w="11320"/>
          </w:cols>
          <w:pgMar w:left="240" w:top="118"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24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11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jc w:val="center"/>
              <w:ind w:right="70"/>
              <w:spacing w:after="0"/>
              <w:rPr>
                <w:sz w:val="20"/>
                <w:szCs w:val="20"/>
                <w:color w:val="auto"/>
              </w:rPr>
            </w:pPr>
            <w:r>
              <w:rPr>
                <w:rFonts w:ascii="Arial" w:cs="Arial" w:eastAsia="Arial" w:hAnsi="Arial"/>
                <w:sz w:val="18"/>
                <w:szCs w:val="18"/>
                <w:b w:val="1"/>
                <w:bCs w:val="1"/>
                <w:color w:val="auto"/>
              </w:rPr>
              <w:t>REGENERON PHARMACEUTICALS, INC.</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gridSpan w:val="14"/>
          </w:tcPr>
          <w:p>
            <w:pPr>
              <w:jc w:val="center"/>
              <w:ind w:right="36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gridSpan w:val="13"/>
          </w:tcPr>
          <w:p>
            <w:pPr>
              <w:ind w:left="400"/>
              <w:spacing w:after="0"/>
              <w:rPr>
                <w:sz w:val="20"/>
                <w:szCs w:val="20"/>
                <w:color w:val="auto"/>
              </w:rPr>
            </w:pPr>
            <w:r>
              <w:rPr>
                <w:rFonts w:ascii="Arial" w:cs="Arial" w:eastAsia="Arial" w:hAnsi="Arial"/>
                <w:sz w:val="18"/>
                <w:szCs w:val="18"/>
                <w:b w:val="1"/>
                <w:bCs w:val="1"/>
                <w:color w:val="auto"/>
              </w:rPr>
              <w:t>For the Years Ended December 31, 2019, 2018, and 2017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4"/>
          </w:tcPr>
          <w:p>
            <w:pPr>
              <w:jc w:val="center"/>
              <w:ind w:left="110"/>
              <w:spacing w:after="0"/>
              <w:rPr>
                <w:sz w:val="20"/>
                <w:szCs w:val="20"/>
                <w:color w:val="auto"/>
              </w:rPr>
            </w:pPr>
            <w:r>
              <w:rPr>
                <w:rFonts w:ascii="Arial" w:cs="Arial" w:eastAsia="Arial" w:hAnsi="Arial"/>
                <w:sz w:val="18"/>
                <w:szCs w:val="18"/>
                <w:b w:val="1"/>
                <w:bCs w:val="1"/>
                <w:i w:val="1"/>
                <w:iCs w:val="1"/>
                <w:color w:val="auto"/>
                <w:w w:val="93"/>
              </w:rPr>
              <w:t>(In millions)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5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Treasury Stock</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580" w:type="dxa"/>
            <w:vAlign w:val="bottom"/>
            <w:gridSpan w:val="4"/>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9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$ 3,030.0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$ 1,748.2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(316.2)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4,449.3</w:t>
            </w:r>
          </w:p>
        </w:tc>
        <w:tc>
          <w:tcPr>
            <w:tcW w:w="0" w:type="dxa"/>
            <w:vAlign w:val="bottom"/>
          </w:tcPr>
          <w:p>
            <w:pPr>
              <w:spacing w:after="0"/>
              <w:rPr>
                <w:sz w:val="1"/>
                <w:szCs w:val="1"/>
                <w:color w:val="auto"/>
              </w:rPr>
            </w:pPr>
          </w:p>
        </w:tc>
      </w:tr>
      <w:tr>
        <w:trPr>
          <w:trHeight w:val="229"/>
        </w:trPr>
        <w:tc>
          <w:tcPr>
            <w:tcW w:w="2480" w:type="dxa"/>
            <w:vAlign w:val="bottom"/>
            <w:gridSpan w:val="2"/>
          </w:tcPr>
          <w:p>
            <w:pPr>
              <w:ind w:left="40"/>
              <w:spacing w:after="0"/>
              <w:rPr>
                <w:sz w:val="20"/>
                <w:szCs w:val="20"/>
                <w:color w:val="auto"/>
              </w:rPr>
            </w:pPr>
            <w:r>
              <w:rPr>
                <w:rFonts w:ascii="Arial" w:cs="Arial" w:eastAsia="Arial" w:hAnsi="Arial"/>
                <w:sz w:val="18"/>
                <w:szCs w:val="18"/>
                <w:color w:val="auto"/>
                <w:w w:val="98"/>
              </w:rPr>
              <w:t>Issuance of Common Stock for</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200"/>
              <w:spacing w:after="0"/>
              <w:rPr>
                <w:sz w:val="20"/>
                <w:szCs w:val="20"/>
                <w:color w:val="auto"/>
              </w:rPr>
            </w:pPr>
            <w:r>
              <w:rPr>
                <w:rFonts w:ascii="Arial" w:cs="Arial" w:eastAsia="Arial" w:hAnsi="Arial"/>
                <w:sz w:val="18"/>
                <w:szCs w:val="18"/>
                <w:color w:val="auto"/>
                <w:w w:val="99"/>
              </w:rPr>
              <w:t>equity awards granted under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long-term incentive plans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Common Stock tendered upon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exercise of stock options and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vesting of restricted stock for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9"/>
        </w:trPr>
        <w:tc>
          <w:tcPr>
            <w:tcW w:w="2480" w:type="dxa"/>
            <w:vAlign w:val="bottom"/>
            <w:gridSpan w:val="2"/>
          </w:tcPr>
          <w:p>
            <w:pPr>
              <w:ind w:left="40"/>
              <w:spacing w:after="0"/>
              <w:rPr>
                <w:sz w:val="20"/>
                <w:szCs w:val="20"/>
                <w:color w:val="auto"/>
              </w:rPr>
            </w:pPr>
            <w:r>
              <w:rPr>
                <w:rFonts w:ascii="Arial" w:cs="Arial" w:eastAsia="Arial" w:hAnsi="Arial"/>
                <w:sz w:val="18"/>
                <w:szCs w:val="18"/>
                <w:color w:val="auto"/>
                <w:w w:val="98"/>
              </w:rPr>
              <w:t>Issuance of Common Stock for</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401(k) Savings Plan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43"/>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3,512.9</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6,144.1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for</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equity awards granted under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 plans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2480" w:type="dxa"/>
            <w:vAlign w:val="bottom"/>
            <w:gridSpan w:val="2"/>
          </w:tcPr>
          <w:p>
            <w:pPr>
              <w:ind w:left="40"/>
              <w:spacing w:after="0"/>
              <w:rPr>
                <w:sz w:val="20"/>
                <w:szCs w:val="20"/>
                <w:color w:val="auto"/>
              </w:rPr>
            </w:pPr>
            <w:r>
              <w:rPr>
                <w:rFonts w:ascii="Arial" w:cs="Arial" w:eastAsia="Arial" w:hAnsi="Arial"/>
                <w:sz w:val="18"/>
                <w:szCs w:val="18"/>
                <w:color w:val="auto"/>
                <w:w w:val="99"/>
              </w:rPr>
              <w:t>Common Stock tendered upon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200"/>
              <w:spacing w:after="0"/>
              <w:rPr>
                <w:sz w:val="20"/>
                <w:szCs w:val="20"/>
                <w:color w:val="auto"/>
              </w:rPr>
            </w:pPr>
            <w:r>
              <w:rPr>
                <w:rFonts w:ascii="Arial" w:cs="Arial" w:eastAsia="Arial" w:hAnsi="Arial"/>
                <w:sz w:val="18"/>
                <w:szCs w:val="18"/>
                <w:color w:val="auto"/>
                <w:w w:val="97"/>
              </w:rPr>
              <w:t>exercise of stock options and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200"/>
              <w:spacing w:after="0"/>
              <w:rPr>
                <w:sz w:val="20"/>
                <w:szCs w:val="20"/>
                <w:color w:val="auto"/>
              </w:rPr>
            </w:pPr>
            <w:r>
              <w:rPr>
                <w:rFonts w:ascii="Arial" w:cs="Arial" w:eastAsia="Arial" w:hAnsi="Arial"/>
                <w:sz w:val="18"/>
                <w:szCs w:val="18"/>
                <w:color w:val="auto"/>
                <w:w w:val="98"/>
              </w:rPr>
              <w:t>vesting of restricted stock for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employee tax obligations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Issuance of Common Stock for</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401(k) Savings Plan</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2480" w:type="dxa"/>
            <w:vAlign w:val="bottom"/>
            <w:gridSpan w:val="2"/>
          </w:tcPr>
          <w:p>
            <w:pPr>
              <w:ind w:left="40"/>
              <w:spacing w:after="0"/>
              <w:rPr>
                <w:sz w:val="20"/>
                <w:szCs w:val="20"/>
                <w:color w:val="auto"/>
              </w:rPr>
            </w:pPr>
            <w:r>
              <w:rPr>
                <w:rFonts w:ascii="Arial" w:cs="Arial" w:eastAsia="Arial" w:hAnsi="Arial"/>
                <w:sz w:val="18"/>
                <w:szCs w:val="18"/>
                <w:color w:val="auto"/>
                <w:w w:val="95"/>
              </w:rPr>
              <w:t>Repurchases of Common Stock</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9"/>
        </w:trPr>
        <w:tc>
          <w:tcPr>
            <w:tcW w:w="2480" w:type="dxa"/>
            <w:vAlign w:val="bottom"/>
            <w:gridSpan w:val="2"/>
          </w:tcPr>
          <w:p>
            <w:pPr>
              <w:ind w:left="40"/>
              <w:spacing w:after="0"/>
              <w:rPr>
                <w:sz w:val="20"/>
                <w:szCs w:val="20"/>
                <w:color w:val="auto"/>
              </w:rPr>
            </w:pPr>
            <w:r>
              <w:rPr>
                <w:rFonts w:ascii="Arial" w:cs="Arial" w:eastAsia="Arial" w:hAnsi="Arial"/>
                <w:sz w:val="18"/>
                <w:szCs w:val="18"/>
                <w:color w:val="auto"/>
              </w:rPr>
              <w:t>Cumulative-effect adjustment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upon adoption of new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accounting standards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29"/>
        </w:trPr>
        <w:tc>
          <w:tcPr>
            <w:tcW w:w="2480" w:type="dxa"/>
            <w:vAlign w:val="bottom"/>
            <w:gridSpan w:val="2"/>
          </w:tcPr>
          <w:p>
            <w:pPr>
              <w:ind w:left="40"/>
              <w:spacing w:after="0"/>
              <w:rPr>
                <w:sz w:val="20"/>
                <w:szCs w:val="20"/>
                <w:color w:val="auto"/>
              </w:rPr>
            </w:pPr>
            <w:r>
              <w:rPr>
                <w:rFonts w:ascii="Arial" w:cs="Arial" w:eastAsia="Arial" w:hAnsi="Arial"/>
                <w:sz w:val="18"/>
                <w:szCs w:val="18"/>
                <w:color w:val="auto"/>
                <w:w w:val="99"/>
              </w:rPr>
              <w:t>Other comprehensive loss, net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200"/>
              <w:spacing w:after="0"/>
              <w:rPr>
                <w:sz w:val="20"/>
                <w:szCs w:val="20"/>
                <w:color w:val="auto"/>
              </w:rPr>
            </w:pPr>
            <w:r>
              <w:rPr>
                <w:rFonts w:ascii="Arial" w:cs="Arial" w:eastAsia="Arial" w:hAnsi="Arial"/>
                <w:sz w:val="18"/>
                <w:szCs w:val="18"/>
                <w:color w:val="auto"/>
              </w:rPr>
              <w:t>of tax</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3,911.6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11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25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1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920" w:type="dxa"/>
            <w:vAlign w:val="bottom"/>
            <w:gridSpan w:val="17"/>
          </w:tcPr>
          <w:p>
            <w:pPr>
              <w:ind w:left="80"/>
              <w:spacing w:after="0"/>
              <w:rPr>
                <w:sz w:val="20"/>
                <w:szCs w:val="20"/>
                <w:color w:val="auto"/>
              </w:rPr>
            </w:pPr>
            <w:r>
              <w:rPr>
                <w:rFonts w:ascii="Arial" w:cs="Arial" w:eastAsia="Arial" w:hAnsi="Arial"/>
                <w:sz w:val="18"/>
                <w:szCs w:val="18"/>
                <w:b w:val="1"/>
                <w:bCs w:val="1"/>
                <w:color w:val="auto"/>
              </w:rPr>
              <w:t xml:space="preserve">CONSOLIDATED STATEMENTS OF STOCKHOLDERS' EQUITY </w:t>
            </w:r>
            <w:r>
              <w:rPr>
                <w:rFonts w:ascii="Arial" w:cs="Arial" w:eastAsia="Arial" w:hAnsi="Arial"/>
                <w:sz w:val="18"/>
                <w:szCs w:val="18"/>
                <w:b w:val="1"/>
                <w:bCs w:val="1"/>
                <w:i w:val="1"/>
                <w:iCs w:val="1"/>
                <w:color w:val="auto"/>
              </w:rPr>
              <w:t>(continued)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6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Common Stock</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5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Treasury Stock</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580" w:type="dxa"/>
            <w:vAlign w:val="bottom"/>
            <w:gridSpan w:val="4"/>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9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Issuance of Common Stock for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shd w:val="clear" w:color="auto" w:fill="CCEEFF"/>
              </w:rPr>
              <w:t>equity awards granted under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long-term incentive plans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9"/>
        </w:trPr>
        <w:tc>
          <w:tcPr>
            <w:tcW w:w="2500" w:type="dxa"/>
            <w:vAlign w:val="bottom"/>
            <w:gridSpan w:val="2"/>
          </w:tcPr>
          <w:p>
            <w:pPr>
              <w:ind w:left="40"/>
              <w:spacing w:after="0"/>
              <w:rPr>
                <w:sz w:val="20"/>
                <w:szCs w:val="20"/>
                <w:color w:val="auto"/>
              </w:rPr>
            </w:pPr>
            <w:r>
              <w:rPr>
                <w:rFonts w:ascii="Arial" w:cs="Arial" w:eastAsia="Arial" w:hAnsi="Arial"/>
                <w:sz w:val="18"/>
                <w:szCs w:val="18"/>
                <w:color w:val="auto"/>
                <w:w w:val="99"/>
              </w:rPr>
              <w:t>Common Stock tendered upon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0"/>
              <w:spacing w:after="0"/>
              <w:rPr>
                <w:sz w:val="20"/>
                <w:szCs w:val="20"/>
                <w:color w:val="auto"/>
              </w:rPr>
            </w:pPr>
            <w:r>
              <w:rPr>
                <w:rFonts w:ascii="Arial" w:cs="Arial" w:eastAsia="Arial" w:hAnsi="Arial"/>
                <w:sz w:val="18"/>
                <w:szCs w:val="18"/>
                <w:color w:val="auto"/>
                <w:w w:val="98"/>
              </w:rPr>
              <w:t>exercise of stock options 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0"/>
              <w:spacing w:after="0"/>
              <w:rPr>
                <w:sz w:val="20"/>
                <w:szCs w:val="20"/>
                <w:color w:val="auto"/>
              </w:rPr>
            </w:pPr>
            <w:r>
              <w:rPr>
                <w:rFonts w:ascii="Arial" w:cs="Arial" w:eastAsia="Arial" w:hAnsi="Arial"/>
                <w:sz w:val="18"/>
                <w:szCs w:val="18"/>
                <w:color w:val="auto"/>
                <w:w w:val="99"/>
              </w:rPr>
              <w:t>vesting of restricted stock for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0"/>
              <w:spacing w:after="0"/>
              <w:rPr>
                <w:sz w:val="20"/>
                <w:szCs w:val="20"/>
                <w:color w:val="auto"/>
              </w:rPr>
            </w:pPr>
            <w:r>
              <w:rPr>
                <w:rFonts w:ascii="Arial" w:cs="Arial" w:eastAsia="Arial" w:hAnsi="Arial"/>
                <w:sz w:val="18"/>
                <w:szCs w:val="18"/>
                <w:color w:val="auto"/>
              </w:rPr>
              <w:t>employee tax obligations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Issuance/distribution of</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for 401(k)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w w:val="96"/>
              </w:rPr>
              <w:t>Repurchases of Common Stock</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shd w:val="clear" w:color="auto" w:fill="CCEEFF"/>
              </w:rPr>
              <w:t>Conversion of Class A Stock to</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Common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466.9</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Adjustment upon adoption of</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new accounting standard</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comprehensive income,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net of tax</w:t>
            </w:r>
          </w:p>
        </w:tc>
        <w:tc>
          <w:tcPr>
            <w:tcW w:w="1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   0.1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$ 4,428.6</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$ 7,379.8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(739.9)</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   11,089.7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11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21"/>
        </w:trPr>
        <w:tc>
          <w:tcPr>
            <w:tcW w:w="1160" w:type="dxa"/>
            <w:vAlign w:val="bottom"/>
            <w:tcBorders>
              <w:top w:val="single" w:sz="8" w:color="0000EE"/>
            </w:tcBorders>
          </w:tcPr>
          <w:p>
            <w:pPr>
              <w:spacing w:after="0"/>
              <w:rPr>
                <w:sz w:val="24"/>
                <w:szCs w:val="24"/>
                <w:color w:val="auto"/>
              </w:rPr>
            </w:pPr>
          </w:p>
        </w:tc>
        <w:tc>
          <w:tcPr>
            <w:tcW w:w="700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00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440" w:type="dxa"/>
            <w:vAlign w:val="bottom"/>
          </w:tcPr>
          <w:p>
            <w:pPr>
              <w:jc w:val="center"/>
              <w:ind w:left="357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1,198.5</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145.5</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507.3</w:t>
            </w:r>
          </w:p>
        </w:tc>
      </w:tr>
      <w:tr>
        <w:trPr>
          <w:trHeight w:val="24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63.5</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318.8</w:t>
            </w:r>
          </w:p>
        </w:tc>
      </w:tr>
      <w:tr>
        <w:trPr>
          <w:trHeight w:val="24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r>
      <w:tr>
        <w:trPr>
          <w:trHeight w:val="243"/>
        </w:trPr>
        <w:tc>
          <w:tcPr>
            <w:tcW w:w="6600" w:type="dxa"/>
            <w:vAlign w:val="bottom"/>
            <w:gridSpan w:val="2"/>
          </w:tcPr>
          <w:p>
            <w:pPr>
              <w:ind w:left="72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(314.2)</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43"/>
        </w:trPr>
        <w:tc>
          <w:tcPr>
            <w:tcW w:w="6600" w:type="dxa"/>
            <w:vAlign w:val="bottom"/>
            <w:gridSpan w:val="2"/>
          </w:tcPr>
          <w:p>
            <w:pPr>
              <w:ind w:left="72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w w:val="91"/>
              </w:rPr>
              <w:t>Increase (decrease)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7"/>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1,307.1</w:t>
            </w:r>
          </w:p>
        </w:tc>
      </w:tr>
      <w:tr>
        <w:trPr>
          <w:trHeight w:val="277"/>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(1,277.2)</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544.6</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(1,005.2)</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in connection with finance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finance lease liabilities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w w:val="95"/>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277.5</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547.7</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6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1,630.3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1,480.2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825.2</w:t>
            </w:r>
          </w:p>
        </w:tc>
      </w:tr>
      <w:tr>
        <w:trPr>
          <w:trHeight w:val="271"/>
        </w:trPr>
        <w:tc>
          <w:tcPr>
            <w:tcW w:w="1160" w:type="dxa"/>
            <w:vAlign w:val="bottom"/>
            <w:shd w:val="clear" w:color="auto" w:fill="CCEEFF"/>
          </w:tcPr>
          <w:p>
            <w:pPr>
              <w:spacing w:after="0"/>
              <w:rPr>
                <w:sz w:val="23"/>
                <w:szCs w:val="23"/>
                <w:color w:val="auto"/>
              </w:rPr>
            </w:pPr>
          </w:p>
        </w:tc>
        <w:tc>
          <w:tcPr>
            <w:tcW w:w="5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754.8</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05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7">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005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200"/>
          </w:cols>
          <w:pgMar w:left="240" w:top="118" w:right="45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Regeneron Pharmaceuticals, Inc. and its subsidiaries ("Regeneron," "Company," "we," "us," and "our")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 The Company's products that have received marketing approval, which are currently marketed by us and/or our collaborators, consist of EYLEA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(aflibercept), Dupixent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(dupilumab), Libtayo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(cemiplimab), Praluent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(alirocumab), Kevzara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(sarilumab), ARCALYST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(rilonacept), and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is a party to collaboration agreements to develop and commercialize, as applicable, certain products and product candidates (see Note 3).</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operates in one business segment, which includes all activities related to the discovery, development, and commercialization of medicines for the treatment of serious diseases.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adopted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(the "effective date") and used the effective date as our date of initial application. See Note 11. The new standard requires a lessee to recognize on its balance sheet (for both finance and operating leases) a liability for future lease payments and a right-of-use asset representing its right to use the underlying asset over the lease term. We elected the practical expedients upon transition, which permitted companies to not reassess lease identification, classification, and initial direct costs under the new standard for leases that commenced prior to the effective date. Upon adoption of the new standard, we recognized right-of-use assets of $33.2 million related to operating leases as of January 1, 2019. The impact of adopting the standard for the facilities that we had historically applied build-to-suit and capital lease accounting was not material to our Consolidated Financial Statements. Prior period amounts have not been adjusted in connection with the adoption of this standard.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of January 1, 2018. The Company adopted the standard using the modified retrospective method, and thus recognized a cumulative-effect adjustment to reduce Retained earnings and increase Deferred revenue on January 1, 2018 by $143.4 million, net of tax. Prior period amounts were not adjusted in connection with the adoption of this standard. We also adopted Accounting Standards Update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as of January 1, 2018. The Company recognized a cumulative-effect adjustment, related to unrealized gains on equity securities, to reduce Accumulated other comprehensive income and increase Retained earnings on January 1, 2018 by $6.6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Concentrations of credit risk with respect to accounts receivable are significant. The Company has a concentration of credit risk associated with the receivables due from its collaborators Bayer, Sanofi, and Teva. The Company is also subject to credit risk with accounts receivable from its product sales, which are due from several distributors and specialty pharmacies (the Company's customers). As of December 31, 2019 and 2018, three individual customers accounted for 97% and 99%, respectively, of the Company's net trade accounts receivable balances. The Company has contractual payment terms with each of its customers, and the Company monitors its customers' financial performance and credit worthiness so that it can properly assess and respond to any changes in their credit profile. As of December 31, 2019 and 2018, there were no reserves against trade accounts receivable. In addition, during the years ended December 31, 2019, 2018, and 2017, the Company did not recognize any charges for write-offs of trade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Securities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concentration and diversification. We invest our cash primarily in debt securities of investment grade institutions. We consider our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 (expense), net.</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investments in equity securities that are carried at fair value with changes in fair value recognized within Other income (expense), net. We have elected to measure certain equity investments we hold that do not have readily determinable fair values at cost less impairment, if any, and adjust for observable price changes in orderly transactions for identical or similar investments of the same issuer within Other income (expense), net.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reviews its portfolio of available-for-sale debt securities, using both quantitative and qualitative factors, to determine if declines in fair value below cost are other-than-temporary. If a decline in the fair value of an available-for-sale debt security in the Company's investment portfolio is deemed to be other-than-temporary, the Company writes down the cost basis of the security to its current fair value and recognizes a loss as a charge against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trade accounts receivable arise from product sales and represent amounts due from its distributors and specialty pharmacies (collectively, the Company's trade "customers"), which are all located in the United States.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reserves against receivables for estimated losses, if any, that may result from a counterparty's inability to pay. Amounts determined to be uncollectible are written-off against the reserve.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The Company determines the cost of inventory using the first-in, first-out, or FIFO, method.</w:t>
      </w:r>
    </w:p>
    <w:p>
      <w:pPr>
        <w:spacing w:after="0" w:line="3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unmarketable inventory to its estimated realizable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82"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10–50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20" w:type="dxa"/>
            <w:vAlign w:val="bottom"/>
          </w:tcPr>
          <w:p>
            <w:pPr>
              <w:ind w:left="400"/>
              <w:spacing w:after="0"/>
              <w:rPr>
                <w:sz w:val="20"/>
                <w:szCs w:val="20"/>
                <w:color w:val="auto"/>
              </w:rPr>
            </w:pPr>
            <w:r>
              <w:rPr>
                <w:rFonts w:ascii="Arial" w:cs="Arial" w:eastAsia="Arial" w:hAnsi="Arial"/>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Revenue</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 revenue consists of U.S. net product sales of EYLEA, Libtayo, and ARCALYST. Revenue from product sales is recognized at a point in time when our customer is deemed to have obtained control of the product, which generally occurs upon receipt by our distributors and specialty pharmacies. The Company's written contracts with its customers stipulate product is shipped freight on board destination (FOB destination).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its marketed products in the United States to several distributors and specialty pharmacies. Under these distribution models, the distributors and specialty pharmacies take physical delivery of product. For EYLEA and Libtayo, the distributors and specialty pharmacies sell the product directly to healthcare providers.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 of revenue we recognize from product sales varies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estimates reductions to product sales for Medicaid and Veterans' Administration ("VA") programs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certain other qualifying federal and state government programs, and for other programs, including group purchasing organizations. Based upon the Company's contracts with government agencies and other organizations, statutorily-defined discounts applicable to government-funded programs, historical experience, and estimated payor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w:t>
      </w:r>
      <w:r>
        <w:rPr>
          <w:rFonts w:ascii="Arial" w:cs="Arial" w:eastAsia="Arial" w:hAnsi="Arial"/>
          <w:sz w:val="17"/>
          <w:szCs w:val="17"/>
          <w:i w:val="1"/>
          <w:iCs w:val="1"/>
          <w:color w:val="auto"/>
        </w:rPr>
        <w:t>i.e.</w:t>
      </w:r>
      <w:r>
        <w:rPr>
          <w:rFonts w:ascii="Arial" w:cs="Arial" w:eastAsia="Arial" w:hAnsi="Arial"/>
          <w:sz w:val="17"/>
          <w:szCs w:val="17"/>
          <w:color w:val="auto"/>
        </w:rPr>
        <w:t>, distributors and specialty pharmacies). The Company's customers charge the Company for the difference between what they pay for the products and the ultimate selling price to the</w:t>
      </w:r>
    </w:p>
    <w:p>
      <w:pPr>
        <w:sectPr>
          <w:pgSz w:w="11900" w:h="16838" w:orient="portrait"/>
          <w:cols w:equalWidth="0" w:num="1">
            <w:col w:w="11420"/>
          </w:cols>
          <w:pgMar w:left="240" w:top="13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20"/>
          </w:cols>
          <w:pgMar w:left="240" w:top="130" w:right="23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healthcare providers. The Company's reserve for this discounted pricing is based on expected sales to qualified healthcare providers and the chargebacks that customers have already claimed.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distribution and related fees due to its customers generally based on gross sales.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Sales-Related Deductions</w:t>
      </w:r>
      <w:r>
        <w:rPr>
          <w:rFonts w:ascii="Arial" w:cs="Arial" w:eastAsia="Arial" w:hAnsi="Arial"/>
          <w:sz w:val="18"/>
          <w:szCs w:val="18"/>
          <w:color w:val="auto"/>
        </w:rPr>
        <w:t>: The Company estimates other sales-related deductions offered to customers based on written contracts.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records other sales-related deductions generally based on gross sales.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Consistent with industry practice, the Company offers its customers a limited right to return product purchased directly from the 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of EYLEA and Libtayo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Revenue</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entered into various agreements related to our activities to research, develop, manufacture, and commercialize product candidates and utilize our technology platforms. The Company earns collaboration revenue in connection with collaboration agreements to utilize our technology platforms and develop and/or commercialize product candidates where we deem the collaborator to be our customer. During the first quarter of 2018, we adopted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Under ASC 606, revenue is measured as the amount of consideration we expect to be entitled to in exchange for transferring</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providing services to a customer, and is recognized when (or as) we satisfy performance obligations under the terms of a contract. Depending on the terms of the arrangement, we may defer the recognition of all or a portion of the consideration received because the performance obligations are satisfied over time.</w:t>
      </w:r>
    </w:p>
    <w:p>
      <w:pPr>
        <w:spacing w:after="0" w:line="2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performance obligation.</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these agreements typically include consideration to be provided to the Company in the form of non-refundable up-front payments, development milestones, reimbursements for development activities, as well as reimbursements for commercialization activities, sales milestones, and sharing of profits or losses arising from the commercialization of products.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inception of the contract, the transaction price reflects the amount of consideration we expect to be entitled to in exchange for transferring promised goods or services to our customer.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 We review our estimate of the transaction price and the total expected cost each period, and make revisions to such estimates as necessary. When we are entitled to reimbursement of all or a portion of the research and development expenses that we incur under a collaboration, we record those reimbursable amounts proportionately as we recognize our expenses. We recognized collaboration revenue for non-refundable up-front payments, development milestones, and payments for development activities, for which we used an input method, of $497.6 million and $837.7 million for the years ended December 31, 2019 and 2018, respectively.</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collaboration is a cost-sharing arrangement in which both we and our collaborator perform development work and share costs, we also recognize, as research and development expense in the period when our collaborator incurs development expenses, the portion of the collaborator's development expenses that we are obligated to reimburse. Our collaborators provide us with estimated development expenses for the most recent fiscal quarter.</w:t>
      </w:r>
    </w:p>
    <w:p>
      <w:pPr>
        <w:spacing w:after="0" w:line="2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The Company shares in any profits or losses arising from the commercialization of such products, and records its share of the variable consideration, representing net product sales less cost of goods sold and shared commercialization and other expenses, as collaboration revenue in the period in which such underlying</w:t>
      </w:r>
    </w:p>
    <w:p>
      <w:pPr>
        <w:sectPr>
          <w:pgSz w:w="11900" w:h="16838" w:orient="portrait"/>
          <w:cols w:equalWidth="0" w:num="1">
            <w:col w:w="11420"/>
          </w:cols>
          <w:pgMar w:left="240" w:top="13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F- 12</w:t>
      </w:r>
    </w:p>
    <w:p>
      <w:pPr>
        <w:sectPr>
          <w:pgSz w:w="11900" w:h="16838" w:orient="portrait"/>
          <w:cols w:equalWidth="0" w:num="1">
            <w:col w:w="11420"/>
          </w:cols>
          <w:pgMar w:left="240" w:top="130" w:right="239" w:bottom="1440" w:gutter="0" w:footer="0" w:header="0"/>
          <w:type w:val="continuous"/>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occur and costs are incurred by the collaborator. Our collaborators provide us with estimates of our share of the profits or losses for such quarter; these estimates are reconciled to actual results in the subsequent fiscal quarter, and our share of the profit or loss is adjusted accordingly, as necessary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arrangements where the collaborator records product sales, the Company may be obligated to use commercially reasonable efforts to supply commercial product to its collaborators, and may be reimbursed for its manufacturing costs as commercial product is shipped to its collaborators; however, recognition of such cost reimbursements as revenue is deferred until the product is sold by the Company's collaborators to third-party customers. In addition, we may also be reimbursed for a portion of costs incurred for other commercial-related activities, which are recorded as collaboration revenue in the period in which such costs are incurred.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contract research organizations ("CROs"), or other third-party service providers are expected to provide services. In the event of early termination of a clinical trial, we accrue and recognize expenses in an amount based on our estimate of the remaining noncancelable obligations associated with the winding down of the clinical trial and/or penalties.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stock-based compensation expense for equity grants under the Company's long-term incentive plans to employees and non-employee members of the Company's board of directors (as applicable)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stock option awards are estimated using the Black-Scholes model.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performance-based restricted stock units which are subject to vesting based on the Company’s attainment of pre-established performance goals is estimated using a Monte Carlo simulation. The probability of the number of actual shares expected to be earned is considered in the grant-date valuation, and therefore, stock-based compensation expense is not adjusted at the vesting date to reflect the actual number of shares earned.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Income taxes are accounted for under the liability method. Deferred tax assets and liabilities for the expected future tax consequences of events that have been included in the financial statements or tax returns, including deferred tax assets and liabilities for expected amounts of global intangible low-taxed income ("GILTI") inclusions, are recognized on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w:t>
      </w:r>
    </w:p>
    <w:p>
      <w:pPr>
        <w:sectPr>
          <w:pgSz w:w="11900" w:h="16838" w:orient="portrait"/>
          <w:cols w:equalWidth="0" w:num="1">
            <w:col w:w="11420"/>
          </w:cols>
          <w:pgMar w:left="240" w:top="130"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F- 13</w:t>
      </w:r>
    </w:p>
    <w:p>
      <w:pPr>
        <w:sectPr>
          <w:pgSz w:w="11900" w:h="16838" w:orient="portrait"/>
          <w:cols w:equalWidth="0" w:num="1">
            <w:col w:w="11420"/>
          </w:cols>
          <w:pgMar w:left="240" w:top="130" w:right="23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surrounding the uncertain positions. The Company recognizes interest and penalties related to income tax matters in income tax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Data</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w:t>
      </w:r>
    </w:p>
    <w:p>
      <w:pPr>
        <w:spacing w:after="0" w:line="2" w:lineRule="exact"/>
        <w:rPr>
          <w:sz w:val="20"/>
          <w:szCs w:val="20"/>
          <w:color w:val="auto"/>
        </w:rPr>
      </w:pPr>
    </w:p>
    <w:p>
      <w:pPr>
        <w:jc w:val="both"/>
        <w:ind w:firstLine="8"/>
        <w:spacing w:after="0" w:line="255" w:lineRule="auto"/>
        <w:tabs>
          <w:tab w:leader="none" w:pos="2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outstanding stock options and restricted stock under the Company's long-term incentive plans, which are included under the "treasury stock method" when dilutive and (ii) Common Stock to be issued upon the achievement of certain market conditions, which are included under the "treasury stock method" when dilutive.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losses, the standard requires allowances to be recorded through net income instead of directly reducing the amortized cost of the investment under the current other-than-temporary impairment model. The standard is effective for fiscal years, and interim periods within those fiscal years, beginning after December 15, 2019, with early adoption permitted. We do not expect the adoption of this standard to have a significant impact on our financial statements or internal controls.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5620" w:type="dxa"/>
            <w:vAlign w:val="bottom"/>
            <w:gridSpan w:val="3"/>
          </w:tcPr>
          <w:p>
            <w:pPr>
              <w:spacing w:after="0"/>
              <w:rPr>
                <w:sz w:val="20"/>
                <w:szCs w:val="20"/>
                <w:color w:val="auto"/>
              </w:rPr>
            </w:pPr>
            <w:r>
              <w:rPr>
                <w:rFonts w:ascii="Arial" w:cs="Arial" w:eastAsia="Arial" w:hAnsi="Arial"/>
                <w:sz w:val="18"/>
                <w:szCs w:val="18"/>
                <w:color w:val="auto"/>
              </w:rPr>
              <w:t>Net product sales consist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48"/>
        </w:trPr>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164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64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64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3,701.9</w:t>
            </w:r>
          </w:p>
        </w:tc>
      </w:tr>
      <w:tr>
        <w:trPr>
          <w:trHeight w:val="243"/>
        </w:trPr>
        <w:tc>
          <w:tcPr>
            <w:tcW w:w="16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Libtayo</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640" w:type="dxa"/>
            <w:vAlign w:val="bottom"/>
            <w:tcBorders>
              <w:right w:val="single" w:sz="8" w:color="CCEEFF"/>
            </w:tcBorders>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ARCALYST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1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3,718.5</w:t>
            </w: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 December 31, 2019, 2018, and 2017. Sales to each of these customers as a percentage of the Company's total gross product revenue are as follows:</w:t>
      </w:r>
    </w:p>
    <w:p>
      <w:pPr>
        <w:spacing w:after="0" w:line="35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34290</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59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 Corporation</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ind w:left="40"/>
              <w:spacing w:after="0"/>
              <w:rPr>
                <w:sz w:val="20"/>
                <w:szCs w:val="20"/>
                <w:color w:val="auto"/>
              </w:rPr>
            </w:pPr>
            <w:r>
              <w:rPr>
                <w:rFonts w:ascii="Arial" w:cs="Arial" w:eastAsia="Arial" w:hAnsi="Arial"/>
                <w:sz w:val="18"/>
                <w:szCs w:val="18"/>
                <w:color w:val="auto"/>
                <w:w w:val="94"/>
              </w:rPr>
              <w:t>33%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Curascript SD Specialty Distribution, a subsidiary of Express Scripts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Sales to Curascript SD Specialty Distribution represented less than 10% of total gross product revenue during the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provisions, and credits/payments, for sales-related deductions for the years ended December 31, 2019, 2018, and 2017.</w:t>
      </w:r>
    </w:p>
    <w:p>
      <w:pPr>
        <w:spacing w:after="0" w:line="200" w:lineRule="exact"/>
        <w:rPr>
          <w:sz w:val="20"/>
          <w:szCs w:val="20"/>
          <w:color w:val="auto"/>
        </w:rPr>
      </w:pPr>
    </w:p>
    <w:p>
      <w:pPr>
        <w:spacing w:after="0" w:line="26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Distribution-</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Sales-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Related Fees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Related Deductions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408.3</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(472.8)</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727.9</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156.1</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and License Agreements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entered into various agreements related to our activities to research, develop, manufacture, and commercialize product candidates and utilize our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Sanofi owned a total of 23,350,365 shares of our Common Stock as of December 31, 2019, a portion of which was purchased in connection with the companies' antibody collaboration described below. See Note 12 for a description of the investor agreement between us and Sanofi.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The collaboration revenue we earned from Sanofi is detailed below:</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13"/>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4"/>
                <w:szCs w:val="24"/>
                <w:color w:val="auto"/>
              </w:rPr>
            </w:pP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156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156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1560" w:type="dxa"/>
            <w:vAlign w:val="bottom"/>
            <w:tcBorders>
              <w:right w:val="single" w:sz="8" w:color="CCEEFF"/>
            </w:tcBorders>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156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Reimbursement of research and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508.4</w:t>
            </w: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56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commercialization-related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56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r>
      <w:tr>
        <w:trPr>
          <w:trHeight w:val="229"/>
        </w:trPr>
        <w:tc>
          <w:tcPr>
            <w:tcW w:w="156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Reimbursement for manufacturing of commercial</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56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Regeneron's share of profits (losses) in connection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56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with commercialization of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r>
      <w:tr>
        <w:trPr>
          <w:trHeight w:val="243"/>
        </w:trPr>
        <w:tc>
          <w:tcPr>
            <w:tcW w:w="1560" w:type="dxa"/>
            <w:vAlign w:val="bottom"/>
          </w:tcPr>
          <w:p>
            <w:pPr>
              <w:spacing w:after="0"/>
              <w:rPr>
                <w:sz w:val="21"/>
                <w:szCs w:val="21"/>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7"/>
        </w:trPr>
        <w:tc>
          <w:tcPr>
            <w:tcW w:w="156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1560" w:type="dxa"/>
            <w:vAlign w:val="bottom"/>
            <w:tcBorders>
              <w:right w:val="single" w:sz="8" w:color="CCEEFF"/>
            </w:tcBorders>
          </w:tcPr>
          <w:p>
            <w:pPr>
              <w:spacing w:after="0"/>
              <w:rPr>
                <w:sz w:val="22"/>
                <w:szCs w:val="22"/>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r>
      <w:tr>
        <w:trPr>
          <w:trHeight w:val="237"/>
        </w:trPr>
        <w:tc>
          <w:tcPr>
            <w:tcW w:w="156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56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research and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56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r>
      <w:tr>
        <w:trPr>
          <w:trHeight w:val="229"/>
        </w:trPr>
        <w:tc>
          <w:tcPr>
            <w:tcW w:w="156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Reimbursement of commercialization-related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56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Amounts recognized in connection with up-front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56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payments received</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43"/>
        </w:trPr>
        <w:tc>
          <w:tcPr>
            <w:tcW w:w="1560" w:type="dxa"/>
            <w:vAlign w:val="bottom"/>
          </w:tcPr>
          <w:p>
            <w:pPr>
              <w:spacing w:after="0"/>
              <w:rPr>
                <w:sz w:val="21"/>
                <w:szCs w:val="21"/>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156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1560" w:type="dxa"/>
            <w:vAlign w:val="bottom"/>
            <w:tcBorders>
              <w:right w:val="single" w:sz="8" w:color="CCEEFF"/>
            </w:tcBorders>
          </w:tcPr>
          <w:p>
            <w:pPr>
              <w:spacing w:after="0"/>
              <w:rPr>
                <w:sz w:val="22"/>
                <w:szCs w:val="22"/>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Immuno-oncology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r>
      <w:tr>
        <w:trPr>
          <w:trHeight w:val="237"/>
        </w:trPr>
        <w:tc>
          <w:tcPr>
            <w:tcW w:w="1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877.2</w:t>
            </w:r>
          </w:p>
        </w:tc>
      </w:tr>
      <w:tr>
        <w:trPr>
          <w:trHeight w:val="27"/>
        </w:trPr>
        <w:tc>
          <w:tcPr>
            <w:tcW w:w="1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2007, the Company entered into a global, strategic collaboration with Sanofi to discover, develop, and commercialize fully human monoclonal antibodies (the "Antibody Collaboration")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Antibody Collaboration was governed by the companies' Discovery and Preclinical Development Agreement ("Antibody Discovery Agreement") and a License and Collaboration Agreement (each as amended). In connection with the execution of the Antibody Discovery Agreement in 2007, the Company received a non-refundable up-front payment of $85.0 million from Sanofi. In addition, under the Antibody Discovery Agreement, Sanofi funded the Company's research to identify and validate potential drug discovery targets and develop fully human monoclonal antibodies against these targets. Pursuant to the Antibody Discovery Agreement, as amended, Sanofi funded $130.0 million of the Company's research activities in 2017. The Company's Antibody Discovery Agreement with Sanofi ended on December 31, 2017 without any extension and, therefore, funding from Sanofi under the Antibody Discovery Agreement ceased after 2017. The Company accelerated the recognition of deferred revenue from the $85.0 million up-front payment and other payments in connection with Sanofi's decision to end the Antibody Discovery Agreement between the Company and Sanofi on December 31, 2017. The Company has the right to develop or continue to develop product candidates discovered under the Antibody Discovery Agreement, with the exception of those that are being developed (and commercialized, as applicable) under the Antibody License and Collaboration Agreement (</w:t>
      </w:r>
      <w:r>
        <w:rPr>
          <w:rFonts w:ascii="Arial" w:cs="Arial" w:eastAsia="Arial" w:hAnsi="Arial"/>
          <w:sz w:val="17"/>
          <w:szCs w:val="17"/>
          <w:i w:val="1"/>
          <w:iCs w:val="1"/>
          <w:color w:val="auto"/>
        </w:rPr>
        <w:t>i.e.</w:t>
      </w:r>
      <w:r>
        <w:rPr>
          <w:rFonts w:ascii="Arial" w:cs="Arial" w:eastAsia="Arial" w:hAnsi="Arial"/>
          <w:sz w:val="17"/>
          <w:szCs w:val="17"/>
          <w:color w:val="auto"/>
        </w:rPr>
        <w:t>, Dupixent, Praluent, Kevzara, and REGN3500), independently, or with other collaborators.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License and Collaboration Agreement, following receipt of the first positive Phase 3 trial results for a co-developed drug candidate, subsequent Phase 3 trial-related costs for that drug candidate ("Shared Phase 3 Trial Costs") are shared 80% by Sanofi and 20% by Regeneron. The Company recognized as research and development expense $46.0 million, $47.7 million, and $91.8 million in 2019, 2018, and 2017, respectively, its share of antibody development expenses that Sanofi incurred related to Dupixent, Praluent, and Kevzara. All other agreed-upon worldwide development expenses incurred by both companies are funded by Sanofi. We are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we are only required to apply 10% of our share of the profits from the Antibody Collaboration in any calendar quarter to reimburse Sanofi for these</w:t>
      </w:r>
    </w:p>
    <w:p>
      <w:pPr>
        <w:sectPr>
          <w:pgSz w:w="11900" w:h="16838" w:orient="portrait"/>
          <w:cols w:equalWidth="0" w:num="1">
            <w:col w:w="11420"/>
          </w:cols>
          <w:pgMar w:left="240" w:top="130"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130" w:right="2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development costs. The Company's contingent reimbursement obligation to Sanofi under the Antibody Collaboration was approximately $2.990 billion as of December 31, 2019.</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During 2019, Sanofi elected to sell, and we elected to purchase (in cash), 93,286 shares of the Company's Common Stock in connection with Sanofi's funding obligation for Dupilumab/REGN3500 Eligible Investments. Consequently, we recorded the cost of the shares received, or $29.4 million, as Treasury Stock during 2019. During 2018, the cost of shares of the Company's Common Stock that we elected to purchase from Sanofi (in cash) in connection with Sanofi's funding obligation for Dupilumab/REGN3500 Eligible Investments was not material.</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Regeneron is obligated to use commercially reasonable efforts to supply clinical requirements of each drug candidate under the Antibody Collaboration until commercial supplies of that drug candidate are being manufactured. Sanofi leads commercialization activities for products developed under the License and Collaboration Agreement, subject to the Company's right to co-commercialize such products. The Company has exercised its option to co-commercialize Dupixent, Praluent, and Kevzara in the United States. While we are not currently co-commercializing these antibodies outside the United States, we have recently exercised our option to co-commercialize Dupixent in certain countries outside the United States. We currently anticipate commencing co-commercialization of Dupixent outside the United States at the end of 2020.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 In addition to profit and loss sharing, the Company is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"Reimbursement of commercialization-related expenses" in the table above represents reimbursement of internal and external costs in connection with commercializing Dupixent, Praluent, and Kevzara. During the same periods that the Company recorded reimbursements from Sanofi related to the Company's commercialization expenses, the Company also recorded its share of profits or losses in connection with the companies commercializing Dupixent, Praluent, and Kevzara, within Sanofi collaboration revenue.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each antibody product in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Upon termination of the collaboration in its entirety, the Company's obligation to reimburse Sanofi for development costs out of any future profits from collaboration products will terminate.</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we and Sanofi announced our intent to restructure the Antibody Collaboration for Kevzara and Praluent and enter into a royalty-based arrangement. Under the proposed terms of the agreement, Sanofi is expected to gain sole global rights to Kevzara and sole rights to Praluent outside of the United States. Regeneron is expected to gain sole U.S. rights to Praluent. Under the proposed terms, each party will be solely responsible for funding development and commercialization expenses in their respective territories. In the fourth quarter of 2019, we recorded a $35.2 million charge related to employee separation costs, as the Company has eliminated certain commercialization activities and related headcount in connection with the proposed restructuring of the antibody agreement with Sanofi. The proposed agreement with Sanofi to restructure the antibody agreement, which is expected to be finalized in the first quarter of 2020, will not impact Dupixent and REGN3500 as the companies will continue to collaborate on these antibodies under the terms of the License and Collaboration Agreement.</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significant promised goods and services consist of providing research and development services, including the manufacturing of clinical supplies, and providing commercial-related services, including the manufacturing of commercial supplies. We recognize Sanofi antibody collaboration revenue in an amount equal to the amount we have the right to invoice and such amount corresponds directly with the value to Sanofi of our performance to date; therefore, we do not disclose the value of the transaction price allocated to our remaining unsatisfied performance obligations. The amount of variable consideration related to our share of profits and losses, as well as sales milestones, is deemed to be constrained as of December 31, 2019, and therefore has not been included in the transaction price.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130"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302"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Increase due to shipments of commercial supplies to Sanofi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(240.4)</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the Company. Pursuant to the 2015 IO Discovery Agreement, the Company was to spend up to $1.090 billion ("IO Discovery Budget") to identify and validate potential immuno-oncology targets and develop therapeutic antibodies against such targets through clinical proof-of-concept, and Sanofi was to reimburse the Company for up to $825.0 million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terms of the Amended IO Discovery Agreement, the Company is required to conduct development activities with respect to (i) the BCMAxCD3 Program through the earlier of clinical proof-of-concept or the expenditure of $70.0 million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Amended IO Discovery Agreement, we are primarily responsible for antibody development, preclinical activities, toxicology studies, manufacture of clinical supplies, filing of Investigational New Drug Applications ("INDs"), and clinical development through proof-of-concept with respect to the BCMAxCD3 Program and MUC16xCD3 Program. We are obligated to reimburse Sanofi for half of the development costs they funded that are attributable to clinical development of antibody product candidates from our share of future profits from commercialized IO Collaboration products. However, the Company is only required to apply 10% of its share of the profits from IO Collaboration products in any calendar quarter towards reimbursing Sanofi for these development costs. The Company's contingent reimbursement obligation to Sanofi under the IO Collaboration was approximately $75 million as of December 31, 2019.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subject to the same 10% reimbursement provision described above. In addition, we and Sanofi will share equally, on an ongoing basis, the development costs for a MUC16xCD3 Program antibody.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execution of the IO License and Collaboration Agreement in 2015, Sanofi made a $375.0 million non-refundable up-front payment to the Company. 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up to an aggregate of 1,400,000 shares (of which 869,828 currently remains available)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Refer to Note 18 for details regarding shares Sanofi elected to sell, and we elected to purchase (by issuing a credit towards the amount owed by Sanofi) to satisfy Sanofi's funding obligation related to Libtayo development costs and refer to the "</w:t>
      </w:r>
      <w:r>
        <w:rPr>
          <w:rFonts w:ascii="Arial" w:cs="Arial" w:eastAsia="Arial" w:hAnsi="Arial"/>
          <w:sz w:val="16"/>
          <w:szCs w:val="16"/>
          <w:i w:val="1"/>
          <w:iCs w:val="1"/>
          <w:color w:val="auto"/>
        </w:rPr>
        <w:t>Antibody</w:t>
      </w:r>
      <w:r>
        <w:rPr>
          <w:rFonts w:ascii="Arial" w:cs="Arial" w:eastAsia="Arial" w:hAnsi="Arial"/>
          <w:sz w:val="16"/>
          <w:szCs w:val="16"/>
          <w:color w:val="auto"/>
        </w:rPr>
        <w:t>" section above for a description of share transactions related to Dupilumab/REGN3500 Eligible Investments.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(see Note 2 for related product sales information), while Sanofi leads commercialization activities outside of the United States and the parties equally share profits and losses from worldwide sales. Consequently, in 2019, we recorded $78.2 million, within Cost of goods sold, related to our obligation to pay Sanofi its share of Libtayo U.S. gross profits; such amounts were not material in 2018. As it relates to the commercialization of Libtayo outside of the United States, we recognize our share of profits and losses within Sanofi collaboration revenue.</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2018, the FDA approved Libtayo for the treatment of patients with metastatic or locally advanced cutaneous squamous cell carcinoma ("CSCC"), and Sanofi exercised its option to co-commercialize Libtayo in the United States. The Company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 The amount of variable consideration related to such milestone is deemed to be constrained as of December 31, 2019, and therefore has not been included in the transaction price.</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made an up-front payment of $20.0 million and are obligated to pay royalties of 8.0% on worldwide sales of Libtayo through December 31, 2023, and royalties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of 2.5% from January 1, 2024 through December 31, 2026. The up-front payment was shared, and the royalties are shared, equally by us and Sanofi.</w:t>
      </w:r>
    </w:p>
    <w:p>
      <w:pPr>
        <w:spacing w:after="0" w:line="2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party will have the right to co-commercialize licensed products in countries where it is not the lead commercialization party. The parties will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 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$640.0 million in aggregate up-front payments made by Sanofi during 2015 in connection with the execution of the IO Collaboration has been recorded as deferred revenue and has been included in the transaction price at the inception of the contract.</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recognized in connection with up-front payments received" in the Sanofi Collaboration Revenue table above includes recognition of deferred revenue from (i) the aggregate up-front payments received during 2015 and (ii) amounts received in connection with the termination of the 2015 IO Discovery Agreement (as described above). During 2018, we reduced our estimate of the total research and development costs expected to complete the contract, including in connection with the termination of the 2015 IO Discovery Agreement, and, as result, a cumulative catch-up adjustment of $135.0 million was recognized for the year ended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w w:val="99"/>
              </w:rPr>
              <w:t>As of December 31,</w:t>
            </w: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6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r>
      <w:tr>
        <w:trPr>
          <w:trHeight w:val="243"/>
        </w:trPr>
        <w:tc>
          <w:tcPr>
            <w:tcW w:w="1960" w:type="dxa"/>
            <w:vAlign w:val="bottom"/>
          </w:tcPr>
          <w:p>
            <w:pPr>
              <w:spacing w:after="0"/>
              <w:rPr>
                <w:sz w:val="21"/>
                <w:szCs w:val="21"/>
                <w:color w:val="auto"/>
              </w:rPr>
            </w:pP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568.0</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289.9</w:t>
            </w:r>
          </w:p>
        </w:tc>
      </w:tr>
      <w:tr>
        <w:trPr>
          <w:trHeight w:val="378"/>
        </w:trPr>
        <w:tc>
          <w:tcPr>
            <w:tcW w:w="6160" w:type="dxa"/>
            <w:vAlign w:val="bottom"/>
            <w:gridSpan w:val="3"/>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30"/>
        </w:trPr>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as a result of payment received from Sanofi in</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connection with the termination of the 2015 IO Discovery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060" w:type="dxa"/>
            <w:vAlign w:val="bottom"/>
            <w:tcBorders>
              <w:bottom w:val="single" w:sz="8" w:color="CCEEFF"/>
            </w:tcBorders>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340" w:type="dxa"/>
            <w:vAlign w:val="bottom"/>
          </w:tcPr>
          <w:p>
            <w:pPr>
              <w:spacing w:after="0"/>
              <w:rPr>
                <w:sz w:val="20"/>
                <w:szCs w:val="20"/>
                <w:color w:val="auto"/>
              </w:rPr>
            </w:pPr>
          </w:p>
        </w:tc>
      </w:tr>
      <w:tr>
        <w:trPr>
          <w:trHeight w:val="229"/>
        </w:trPr>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w w:val="99"/>
              </w:rPr>
              <w:t>Revenue recognized that was included in deferred revenue at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106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w:t>
            </w:r>
          </w:p>
        </w:tc>
        <w:tc>
          <w:tcPr>
            <w:tcW w:w="3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9"/>
        </w:trPr>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 recognized that was added to deferred revenue</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during the period</w:t>
            </w:r>
          </w:p>
        </w:tc>
        <w:tc>
          <w:tcPr>
            <w:tcW w:w="10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December 31, 2019 was $1.138 billion. This amount is expected to be recognized as revenue over the remaining period in which the Company is obligated to satisfy its performance obligation in connection with performing development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earned in connection with our Bayer EYLEA collaboration is as follows (note that the table excludes amounts in connection with our Bayer Ang2 antibody and PDGFR-beta antibody collaboration agreements, which were previously terminated):</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7"/>
              </w:rPr>
              <w:t>commercialization of EYLEA outside the United States  $</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Reimbursement of EYLEA development expenses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7"/>
        </w:trPr>
        <w:tc>
          <w:tcPr>
            <w:tcW w:w="4340" w:type="dxa"/>
            <w:vAlign w:val="bottom"/>
            <w:gridSpan w:val="3"/>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2006, the Company entered into a license and collaboration agreement with Bayer for the global development and commercialization outside the United States of EYLEA. All agreed-upon EYLEA development expenses incurred by the Company and Bayer, under a global development plan, are shared equally. The Company is also obligated to use commercially reasonable efforts to supply clinical and commercial bulk product of EYLEA. Bayer has the right to terminate the license and collaboration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Bayer markets EYLEA outside the United States, where, for countries other than Japan, the companies share equally in profits and losses from sales of EYLEA. In Japan, the Company is entitled to receive a tiered percentage of between 33.5% and 40.0% of EYLEA net sales through 2021, and thereafter, the companies will share equally in profits and losses from the sales of EYLEA. Within the United States, the Company is responsible for commercialization of EYLEA and retains exclusive rights to all profits from such commercialization in the United States. The Company is obligated to reimburse Bayer out of its share of the collaboration profits (including the Company's percentage of sales of EYLEA in Japan)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$270 million as of December 31, 2019.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The Company leads global development activities, and the parties share development costs equally, on an ongoing basis, under a global development plan. The Company is also responsible for the manufacture and supply of fasinumab globally.</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 Unless terminated earlier in accordance with its provisions, the Teva Collaboration Agreement will continue to be in effect until such time as neither party is developing or commercializing fasinumab.</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30"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the Company earned, and recognized as substantive milestones, development milestones of $25.0 million and $35.0 million, respectively, from Teva upon initiation of two Phase 3 trials. During 2018, the Company achieved a development milestone of $60.0 million. The Company is entitled to receive up to an aggregate of $340.0 million in additional development milestones and up to an aggregate of $1,890.0 million in contingent payments upon achievement of specified annual net sales amounts; the amount of variable consideration related to such milestones is deemed to be constrained as of December 31, 2019, and therefore has not been included in the transaction price.</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$250.0 million up-front payment and development milestones received or receivable from Teva, as described above, have been recorded as deferred revenue and have been included in the transaction price.</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$206.5 million, $244.6 million, and $221.5 million of revenue in 2019, 2018, and 2017, respectively, in connection with the Teva Collaboration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302"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Accounts receivable (recorded within Prepaid expenses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current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194.5</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Revenue recognized that was included in deferred revenue at</w:t>
            </w: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7"/>
        </w:trPr>
        <w:tc>
          <w:tcPr>
            <w:tcW w:w="4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amount of the transaction price under the Teva Collaboration Agreement allocated to the Company's performance obligation that was unsatisfied (or partially unsatisfied) as of December 31, 2019 was $267.1 million. This amount is expected to be recognized as revenue over the remaining period in which the Company is obligated to satisfy its performance obligation in connection with performing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Alnylam</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which was recorded in Research and development expense during the second quarter of 2019.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F- 22</w:t>
      </w:r>
    </w:p>
    <w:p>
      <w:pPr>
        <w:sectPr>
          <w:pgSz w:w="11900" w:h="16838" w:orient="portrait"/>
          <w:cols w:equalWidth="0" w:num="1">
            <w:col w:w="11420"/>
          </w:cols>
          <w:pgMar w:left="240" w:top="130" w:right="23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collaboration, we and Alnylam also entered into a Stock Purchase Agreement. Pursuant to the terms of the Stock Purchase Agreement, we purchased shares of Alnylam common stock for aggregate cash consideration of $400.0 million.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is consistent with the financial terms contained in the form of the existing Co-Commercialization Collaboration Agreement with Alnylam and the parties will share in development expenses equally.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Other</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as of December 31, 2019 and 2018 consist of both available-for-sale debt securities of investment grade issuers (see below and Note 5) as well as equity securities of publicly traded companies (see Note 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of December 31, 2019</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3,988.1</w:t>
            </w: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4,206.3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4,234.5</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2018</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bonds</w:t>
            </w:r>
          </w:p>
        </w:tc>
        <w:tc>
          <w:tcPr>
            <w:tcW w:w="4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w:t>
            </w: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Sovereign bonds</w:t>
            </w:r>
          </w:p>
        </w:tc>
        <w:tc>
          <w:tcPr>
            <w:tcW w:w="4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Certificates of deposit</w:t>
            </w:r>
          </w:p>
        </w:tc>
        <w:tc>
          <w:tcPr>
            <w:tcW w:w="4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3,009.2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December 31, 2019 mature at various dates through December 2024. The fair values of available-for-sale debt security investments by contractual maturity consist of the following:</w:t>
      </w:r>
    </w:p>
    <w:p>
      <w:pPr>
        <w:spacing w:after="0" w:line="393"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3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1,667.0</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400" w:type="dxa"/>
            <w:vAlign w:val="bottom"/>
          </w:tcPr>
          <w:p>
            <w:pPr>
              <w:spacing w:after="0"/>
              <w:rPr>
                <w:sz w:val="24"/>
                <w:szCs w:val="24"/>
                <w:color w:val="auto"/>
              </w:rPr>
            </w:pPr>
          </w:p>
        </w:tc>
        <w:tc>
          <w:tcPr>
            <w:tcW w:w="1980" w:type="dxa"/>
            <w:vAlign w:val="bottom"/>
            <w:gridSpan w:val="2"/>
          </w:tcPr>
          <w:p>
            <w:pPr>
              <w:jc w:val="right"/>
              <w:ind w:right="1340"/>
              <w:spacing w:after="0"/>
              <w:rPr>
                <w:sz w:val="20"/>
                <w:szCs w:val="20"/>
                <w:color w:val="auto"/>
              </w:rPr>
            </w:pPr>
            <w:r>
              <w:rPr>
                <w:rFonts w:ascii="Arial" w:cs="Arial" w:eastAsia="Arial" w:hAnsi="Arial"/>
                <w:sz w:val="18"/>
                <w:szCs w:val="18"/>
                <w:color w:val="auto"/>
              </w:rPr>
              <w:t>F- 24</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2019</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w w:val="98"/>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2018</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1,482.6</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801.6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2,284.2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2,383.3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realized losses on sales of marketable securities, and realized gains were not material, for the year ended December 31, 2019. Realized gains and losses on sales of marketable securities were not material for the years ended December 31, 2018 and 2017.</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marketable securities, for the years ended December 31, 2019, 2018, and 2017, amounts reclassified from Accumulated other comprehensive income (loss) into Other income (expense), net were related to realized gains and losses on sales of securities (as described above).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8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5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34290</wp:posOffset>
            </wp:positionV>
            <wp:extent cx="2298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4"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44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3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3,988.1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3,988.1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U.S. government and government agency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Commercial paper</w:t>
            </w:r>
          </w:p>
        </w:tc>
        <w:tc>
          <w:tcPr>
            <w:tcW w:w="3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Equity securities (restricted)</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87"/>
                <w:shd w:val="clear" w:color="auto" w:fill="CCEEFF"/>
              </w:rPr>
              <w:t>As of December 31, 2018</w:t>
            </w:r>
          </w:p>
        </w:tc>
        <w:tc>
          <w:tcPr>
            <w:tcW w:w="3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2,718.4</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Sovereign bonds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(restricted)</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3,097.2</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3,053.6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certain restricted equity securities as of December 31, 2019, including its investment in Alnylam (see Note 3), which are subject to transfer restrictions that expire at various dates through 2023.</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adopted ASU 2016-01 during the first quarter of 2018 (see Note 1); as a result, we recorded $118.3 million of net unrealized gains and $41.9 million of net unrealized losses on equity securities in Other income (expense), net for the years ended December 31, 2019 and 2018, respectively. During the year ended December 31, 2017, we recorded net unrealized gains of $14.7 million on equity securities in Other comprehensive income (loss).</w:t>
      </w:r>
    </w:p>
    <w:p>
      <w:pPr>
        <w:spacing w:after="0" w:line="2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investments summarized in the table above, as of December 31, 2019 and 2018, the Company had $55.6 million and $45.5 million, respectively, in equity investments that do not have a readily determinable fair value. These investments are recorded within Other noncurrent assets.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571.1</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1 for a further description of the related accounting policy). For the years ended December 31, 2019, 2018, and 2017, Cost of goods sold included inventory write-downs and reserves of $73.8 million, $12.5 million, and $20.9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7. 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1,507.2</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469.6</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office equipment,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3,812.8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3,304.5</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220" w:type="dxa"/>
            <w:vAlign w:val="bottom"/>
          </w:tcPr>
          <w:p>
            <w:pPr>
              <w:spacing w:after="0"/>
              <w:rPr>
                <w:sz w:val="19"/>
                <w:szCs w:val="19"/>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2,575.8</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plant, and equipment in the table above includes leased property under the Company's finance lease at its Tarrytown, New York facility. See Note 11.</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(including as it relates to the Company's finance lease) on property, plant, and equipment amounted to $205.2 million, $144.1 million, and $142.2 million for the years ended December 31, 2019, 2018, and 2017, respectively.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and 2018, $2,117.6 million and $1,813.8 million, respectively, of the Company's net property, plant, and equipment was located in the United States and $772.8 million and $762.0 million, respectively, was located in Europe (primarily in Ireland).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86"/>
        </w:trPr>
        <w:tc>
          <w:tcPr>
            <w:tcW w:w="57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48"/>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Pr>
          <w:p>
            <w:pPr>
              <w:spacing w:after="0"/>
              <w:rPr>
                <w:sz w:val="24"/>
                <w:szCs w:val="24"/>
                <w:color w:val="auto"/>
              </w:rPr>
            </w:pP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related costs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Accrued clinical expenses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42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Accrued sales-related charges, deductions,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7"/>
        </w:trPr>
        <w:tc>
          <w:tcPr>
            <w:tcW w:w="242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royalties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42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37"/>
        </w:trPr>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1,086.8</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9. Deferred Revenue</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86"/>
        </w:trPr>
        <w:tc>
          <w:tcPr>
            <w:tcW w:w="6860" w:type="dxa"/>
            <w:vAlign w:val="bottom"/>
            <w:gridSpan w:val="2"/>
          </w:tcPr>
          <w:p>
            <w:pPr>
              <w:spacing w:after="0"/>
              <w:rPr>
                <w:sz w:val="20"/>
                <w:szCs w:val="20"/>
                <w:color w:val="auto"/>
              </w:rPr>
            </w:pPr>
            <w:r>
              <w:rPr>
                <w:rFonts w:ascii="Arial" w:cs="Arial" w:eastAsia="Arial" w:hAnsi="Arial"/>
                <w:sz w:val="18"/>
                <w:szCs w:val="18"/>
                <w:color w:val="auto"/>
              </w:rPr>
              <w:t>Deferred revenue consists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24"/>
                <w:szCs w:val="24"/>
                <w:color w:val="auto"/>
              </w:rPr>
            </w:pP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Received or receivable from Sanofi (see Note 3a)</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246.7</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Received or receivable from Bayer (see Note 3b)</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11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Received or receivable from Teva (see Note 3c)</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Received or receivable from Sanofi (see Note 3a)</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Received or receivable from Bayer (see Note 3b)</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11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Received or receivable from Teva (see Note 3c)</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an agreement with a syndicate of lenders (the "Credit Agreement") which provides for a $750.0 million senior unsecured five-year revolving credit facility (the "Credit Facility"), and contemporaneously terminated our then-existing credit agreement (the "Prior Credit Agreement"). The Credit Agreement was entered into on terms substantially similar to those of the Prior Credit Agreement. No borrowings were outstanding under the Prior Credit Agreement at the time of its termination.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30"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2019.</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and operating covenants. The Company was in compliance with all covenants of the Credit Facility as of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16 for disclosures related to legal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conduct certain of our research, development, and administrative activities at leased facilities. We also lease certain warehouses and vehicles. As described in Note 1, during the first quarter of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if an arrangement is a lease considering whether there is an identified asset and the contract conveys the right to control its use. Leases with an initial term of 12 months or less are not recorded on the balance sheet. Our lease terms may include options to extend or terminate a lease when it is reasonably certain that we will exercise that option. We account for lease components (</w:t>
      </w:r>
      <w:r>
        <w:rPr>
          <w:rFonts w:ascii="Arial" w:cs="Arial" w:eastAsia="Arial" w:hAnsi="Arial"/>
          <w:sz w:val="18"/>
          <w:szCs w:val="18"/>
          <w:i w:val="1"/>
          <w:iCs w:val="1"/>
          <w:color w:val="auto"/>
        </w:rPr>
        <w:t>e.g.</w:t>
      </w:r>
      <w:r>
        <w:rPr>
          <w:rFonts w:ascii="Arial" w:cs="Arial" w:eastAsia="Arial" w:hAnsi="Arial"/>
          <w:sz w:val="18"/>
          <w:szCs w:val="18"/>
          <w:color w:val="auto"/>
        </w:rPr>
        <w:t>, rental payments) separately from non-lease components (</w:t>
      </w:r>
      <w:r>
        <w:rPr>
          <w:rFonts w:ascii="Arial" w:cs="Arial" w:eastAsia="Arial" w:hAnsi="Arial"/>
          <w:sz w:val="18"/>
          <w:szCs w:val="18"/>
          <w:i w:val="1"/>
          <w:iCs w:val="1"/>
          <w:color w:val="auto"/>
        </w:rPr>
        <w:t>e.g.</w:t>
      </w:r>
      <w:r>
        <w:rPr>
          <w:rFonts w:ascii="Arial" w:cs="Arial" w:eastAsia="Arial" w:hAnsi="Arial"/>
          <w:sz w:val="18"/>
          <w:szCs w:val="18"/>
          <w:color w:val="auto"/>
        </w:rPr>
        <w:t>, common area maintenance costs).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Right-of-use assets and lease liabilities are recognized at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recognized in our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2017, we entered into a Participation Agreement with BA Leasing BSC, LLC, an affiliate of Banc of America Leasing &amp; Capital LLC ("BAL"), as lessor, and a syndicate of lenders (collectively, the "Lease Participants"). In March 2017, we also entered into a Lease and Remedies Agreement with BAL, pursuant to which we have leased laboratory and office facilities in Tarrytown, New York (the "Facility") for a five-year term.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the agreement governing the Company's revolving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Lease Participants and certain other conditions. We also have the option prior to the end of the term of the Lease to (a) purchase the Facility by paying an amount equal to the outstanding principal amount of the Lease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ectPr>
          <w:pgSz w:w="11900" w:h="16838" w:orient="portrait"/>
          <w:cols w:equalWidth="0" w:num="1">
            <w:col w:w="11420"/>
          </w:cols>
          <w:pgMar w:left="240" w:top="130"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F- 29</w:t>
      </w:r>
    </w:p>
    <w:p>
      <w:pPr>
        <w:sectPr>
          <w:pgSz w:w="11900" w:h="16838" w:orient="portrait"/>
          <w:cols w:equalWidth="0" w:num="1">
            <w:col w:w="11420"/>
          </w:cols>
          <w:pgMar w:left="240" w:top="130" w:right="239" w:bottom="1440" w:gutter="0" w:footer="0" w:header="0"/>
          <w:type w:val="continuous"/>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 to January 1, 2019, for certain of the premises under the Lease we were deemed, in substance, to be the owner of the buildings (collectively, the "Build-to-Suit Buildings"). Upon the adoption of ASC 842, the classification of the Build-to-Suit Buildings, for which the construction period had been completed, was reassessed and, consequently, they were derecognized and recognized as a finance lease. These premises, along with the other premises under the Lease, are classified as a finance lease as we have the option to purchase the Facility under terms that make it reasonably certain to be exercised.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governing the Lease financing contain financial and operating covenants. The Company was in compliance with all such covenants as of December 31, 2019.</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recognized in the Consolidated Balance Sheet related to the Lease are included in the table below. Other than the Lease described above, we had no leases accounted for as finance leases as of December 31, 2019.</w:t>
      </w:r>
    </w:p>
    <w:p>
      <w:pPr>
        <w:spacing w:after="0" w:line="383"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3140" w:type="dxa"/>
            <w:vAlign w:val="bottom"/>
          </w:tcPr>
          <w:p>
            <w:pPr>
              <w:spacing w:after="0"/>
              <w:rPr>
                <w:sz w:val="23"/>
                <w:szCs w:val="23"/>
                <w:color w:val="auto"/>
              </w:rPr>
            </w:pPr>
          </w:p>
        </w:tc>
        <w:tc>
          <w:tcPr>
            <w:tcW w:w="3620" w:type="dxa"/>
            <w:vAlign w:val="bottom"/>
            <w:gridSpan w:val="2"/>
          </w:tcPr>
          <w:p>
            <w:pPr>
              <w:ind w:left="1240"/>
              <w:spacing w:after="0"/>
              <w:rPr>
                <w:sz w:val="20"/>
                <w:szCs w:val="20"/>
                <w:color w:val="auto"/>
              </w:rPr>
            </w:pPr>
            <w:r>
              <w:rPr>
                <w:rFonts w:ascii="Arial" w:cs="Arial" w:eastAsia="Arial" w:hAnsi="Arial"/>
                <w:sz w:val="18"/>
                <w:szCs w:val="18"/>
                <w:b w:val="1"/>
                <w:bCs w:val="1"/>
                <w:color w:val="auto"/>
              </w:rPr>
              <w:t>Classification</w:t>
            </w:r>
          </w:p>
        </w:tc>
        <w:tc>
          <w:tcPr>
            <w:tcW w:w="360" w:type="dxa"/>
            <w:vAlign w:val="bottom"/>
          </w:tcPr>
          <w:p>
            <w:pPr>
              <w:spacing w:after="0"/>
              <w:rPr>
                <w:sz w:val="23"/>
                <w:szCs w:val="23"/>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
        </w:trPr>
        <w:tc>
          <w:tcPr>
            <w:tcW w:w="314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6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Property, plant, and equipment, net</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Finance lease liabilities (noncurrent)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713.9</w:t>
            </w:r>
          </w:p>
        </w:tc>
      </w:tr>
    </w:tbl>
    <w:p>
      <w:pPr>
        <w:spacing w:after="0" w:line="170" w:lineRule="exact"/>
        <w:rPr>
          <w:sz w:val="20"/>
          <w:szCs w:val="20"/>
          <w:color w:val="auto"/>
        </w:rPr>
      </w:pPr>
    </w:p>
    <w:p>
      <w:pPr>
        <w:ind w:left="1600" w:hanging="140"/>
        <w:spacing w:after="0"/>
        <w:tabs>
          <w:tab w:leader="none" w:pos="1600" w:val="left"/>
        </w:tabs>
        <w:numPr>
          <w:ilvl w:val="0"/>
          <w:numId w:val="42"/>
        </w:numPr>
        <w:rPr>
          <w:rFonts w:ascii="Arial" w:cs="Arial" w:eastAsia="Arial" w:hAnsi="Arial"/>
          <w:sz w:val="9"/>
          <w:szCs w:val="9"/>
          <w:color w:val="auto"/>
        </w:rPr>
      </w:pPr>
      <w:r>
        <w:rPr>
          <w:rFonts w:ascii="Arial" w:cs="Arial" w:eastAsia="Arial" w:hAnsi="Arial"/>
          <w:sz w:val="14"/>
          <w:szCs w:val="14"/>
          <w:color w:val="auto"/>
        </w:rPr>
        <w:t>Finance lease right-of-use assets are recorded net of accumulated amortization of $76.1 million as of December 31, 2019.</w:t>
      </w: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property, plant, and equipment, at cost, included $723.9 million of leased property under the Lease. Accumulated amortization related to these assets amounted to $61.7 million as of December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ind w:right="5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Other information related to our finance lease includes the following:</w:t>
            </w: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2360" w:type="dxa"/>
            <w:vAlign w:val="bottom"/>
          </w:tcPr>
          <w:p>
            <w:pPr>
              <w:spacing w:after="0"/>
              <w:rPr>
                <w:sz w:val="23"/>
                <w:szCs w:val="23"/>
                <w:color w:val="auto"/>
              </w:rPr>
            </w:pPr>
          </w:p>
        </w:tc>
        <w:tc>
          <w:tcPr>
            <w:tcW w:w="2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2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Remaining lease term (in years)</w:t>
            </w:r>
          </w:p>
        </w:tc>
        <w:tc>
          <w:tcPr>
            <w:tcW w:w="2800" w:type="dxa"/>
            <w:vAlign w:val="bottom"/>
            <w:tcBorders>
              <w:bottom w:val="single" w:sz="8" w:color="CCEEFF"/>
            </w:tcBorders>
            <w:gridSpan w:val="2"/>
            <w:shd w:val="clear" w:color="auto" w:fill="CCEEFF"/>
          </w:tcPr>
          <w:p>
            <w:pPr>
              <w:ind w:left="2280"/>
              <w:spacing w:after="0"/>
              <w:rPr>
                <w:sz w:val="20"/>
                <w:szCs w:val="20"/>
                <w:color w:val="auto"/>
              </w:rPr>
            </w:pPr>
            <w:r>
              <w:rPr>
                <w:rFonts w:ascii="Arial" w:cs="Arial" w:eastAsia="Arial" w:hAnsi="Arial"/>
                <w:sz w:val="18"/>
                <w:szCs w:val="18"/>
                <w:color w:val="auto"/>
              </w:rPr>
              <w:t>2.17</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800" w:type="dxa"/>
            <w:vAlign w:val="bottom"/>
            <w:gridSpan w:val="2"/>
          </w:tcPr>
          <w:p>
            <w:pPr>
              <w:ind w:left="2280"/>
              <w:spacing w:after="0"/>
              <w:rPr>
                <w:sz w:val="20"/>
                <w:szCs w:val="20"/>
                <w:color w:val="auto"/>
              </w:rPr>
            </w:pPr>
            <w:r>
              <w:rPr>
                <w:rFonts w:ascii="Arial" w:cs="Arial" w:eastAsia="Arial" w:hAnsi="Arial"/>
                <w:sz w:val="18"/>
                <w:szCs w:val="18"/>
                <w:color w:val="auto"/>
                <w:w w:val="97"/>
              </w:rPr>
              <w:t>3.05%</w:t>
            </w:r>
          </w:p>
        </w:tc>
      </w:tr>
      <w:tr>
        <w:trPr>
          <w:trHeight w:val="810"/>
        </w:trPr>
        <w:tc>
          <w:tcPr>
            <w:tcW w:w="2360" w:type="dxa"/>
            <w:vAlign w:val="bottom"/>
          </w:tcPr>
          <w:p>
            <w:pPr>
              <w:spacing w:after="0"/>
              <w:rPr>
                <w:sz w:val="24"/>
                <w:szCs w:val="24"/>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F- 30</w:t>
            </w:r>
          </w:p>
        </w:tc>
      </w:tr>
    </w:tbl>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maturity analysis of our lease liabilities as of December 31, 2019:</w:t>
      </w:r>
    </w:p>
    <w:p>
      <w:pPr>
        <w:spacing w:after="0" w:line="200" w:lineRule="exact"/>
        <w:rPr>
          <w:sz w:val="20"/>
          <w:szCs w:val="20"/>
          <w:color w:val="auto"/>
        </w:rPr>
      </w:pPr>
    </w:p>
    <w:p>
      <w:pPr>
        <w:spacing w:after="0" w:line="237"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Finance Leases</w:t>
            </w: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Imputed interest</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financing costs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41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w:t>
            </w: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 estimated future minimum noncancelable lease commitments, excluding the purchase price we would be obligated to pay if we were to exercise our option to purchase the Facility, were as follows:</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Capital and Facility</w:t>
            </w:r>
          </w:p>
        </w:tc>
      </w:tr>
      <w:tr>
        <w:trPr>
          <w:trHeight w:val="234"/>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Lease Obligations</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research and development efforts, we enter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we have in-license patent and/or technology agreements which contain provisions which require the Company to pay royalties, as defined, at rates that range from 0.5% to 11.5%, in the event the Company sells or licenses any proprietary products developed under the respective agreements. The Company also has contingent reimbursement obligations to its collaborators Sanofi and Bayer out of the respective collaboration's profits, if they are sufficient for that purpose. See Note 3 for a more detailed description of collaboration agreements.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2019, 2018, and 2017, the Company recorded royalty expense in Cost of goods sold and Cost of collaboration and contract manufacturing of $54.2 million, $36.7 million, and $30.8 million, respectively, based on product sales of commercial products under various licensing agreements.</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F- 31</w:t>
      </w:r>
    </w:p>
    <w:p>
      <w:pPr>
        <w:sectPr>
          <w:pgSz w:w="11900" w:h="16838" w:orient="portrait"/>
          <w:cols w:equalWidth="0" w:num="1">
            <w:col w:w="11420"/>
          </w:cols>
          <w:pgMar w:left="240" w:top="130" w:right="239" w:bottom="1440" w:gutter="0" w:footer="0" w:header="0"/>
          <w:type w:val="continuous"/>
        </w:sectPr>
      </w:pPr>
    </w:p>
    <w:bookmarkStart w:id="116" w:name="page117"/>
    <w:bookmarkEnd w:id="1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During 2019, we repurchased 722,596 shares of Common Stock under the program and recorded the cost of the shares received, or $254.0 million, as Treasury Stock. There can be no assurance as to the timing or number of shares of any repurchases in the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Collaborators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2007, Sanofi purchased 12 million newly issued, unregistered shares of the Company's Common Stock. As a condition to the closing of this transaction, Sanofi entered into an investor agreement, as amended and restated,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December 20, 2020 (subject to the limited waiver described below).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3, effective January 7, 2018, the Company and Sanofi entered into a Letter Agreement, which, among other things, amended certain provisions of the amended and restated investor agreement. Pursuant to the Letter Agreement, the Company has granted Sanofi a limited waiver of the lock-up obligations under the investor agreement to allow Sanofi to sell up to an aggregate of 1,400,000 shares (of which 869,828 shares remain available to be sold as of December 31, 2019) of the Company's Common Stock held by Sanofi through September 30, 2020.</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Sanofi reaching 20% ownership of the Company's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 Subject to certain exceptions, the Company is required to use its reasonable efforts (including</w:t>
      </w:r>
    </w:p>
    <w:p>
      <w:pPr>
        <w:sectPr>
          <w:pgSz w:w="11900" w:h="16838" w:orient="portrait"/>
          <w:cols w:equalWidth="0" w:num="1">
            <w:col w:w="11420"/>
          </w:cols>
          <w:pgMar w:left="240" w:top="13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F- 32</w:t>
      </w:r>
    </w:p>
    <w:p>
      <w:pPr>
        <w:sectPr>
          <w:pgSz w:w="11900" w:h="16838" w:orient="portrait"/>
          <w:cols w:equalWidth="0" w:num="1">
            <w:col w:w="11420"/>
          </w:cols>
          <w:pgMar w:left="240" w:top="130" w:right="239" w:bottom="1440" w:gutter="0" w:footer="0" w:header="0"/>
          <w:type w:val="continuous"/>
        </w:sectPr>
      </w:pPr>
    </w:p>
    <w:bookmarkStart w:id="117" w:name="page118"/>
    <w:bookmarkEnd w:id="1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recommending that its shareholders vote in favor) to cause the election of this designee at the Company's annual shareholder meetings for so long as (other than during the term of the Letter Agreement) Sanofi maintains a specified equity interest in the Company.</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license and collaboration agreements with Bayer for the joint development and commercialization outside the United States of antibody product candidates to PDGFR-beta and Ang2,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expiration or earlier termination of the agreement (which, in the case of the PDGFR-beta license and collaboration agreement, occurred on July 31, 2017, and, in the case of the Ang2 agreement, occurred on November 1, 2018) or (ii) other specified events.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Incentive Plans</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consultants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Amended and Restated Regeneron Pharmaceuticals, Inc. 2014 Long-Term Incentive Plan (the "Amended and Restated 2014 Incentive Plan"). It was adopted and approved by the Company's shareholders in 2017, at which time the Company registered an additional 12,000,000 shares of Common Stock for issuance thereunder. As of the shareholder approval date, the Amended and Restated 2014 Incentive Plan provided for the issuance of up to 18,559,431 shares of Common Stock in respect of awards. In addition, upon expiration, forfeiture, surrender, exchange, cancellation, or termination of any award previously granted under the Amended and Restated 2014 Incentive Plan, the Regeneron Pharmaceuticals, Inc. 2014 Long-Term Incentive Plan (the "Original 2014 Incentive Plan"), or the Second Amended and Restated 2000 Long-Term Incentive Plan (the predecessor to the Original 2014 Incentive Plan), any shares subject to such award are added to the pool of shares available for grant under the Amended and Restated 2014 Incentive Plan.</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awards that may be made under the Amended and Restated 2014 Incentive Plan include: (a) incentive stock options and nonqualified stock options, (b) shares of restricted stock, (c) shares of phantom stock (also referred to as restricted stock units, which may be time- or performance-based), and (d) other awards. Any award granted may (but is not required to) be subject to vesting based on the attainment by the Company of performance goals pre-established by the Committee.</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three- to four-year period. The Committee also determines the expiration date of each option. The maximum term of options that have been awarded under the 2000 Incentive Plan, the Original 2014 Incentive Plan, and the Amended and Restated 2014 Incentive Plan (collectively, the "Incentive Plans") is ten years.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F- 33</w:t>
      </w:r>
    </w:p>
    <w:p>
      <w:pPr>
        <w:sectPr>
          <w:pgSz w:w="11900" w:h="16838" w:orient="portrait"/>
          <w:cols w:equalWidth="0" w:num="1">
            <w:col w:w="11420"/>
          </w:cols>
          <w:pgMar w:left="240" w:top="130" w:right="23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there were 9,546,628 shares available for future grants under the Amended and Restated 2014 Incentive Plan. No additional awards may be made under the 2000 Incentive Plan or the Original 2014 Incentive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stock option awards during 2019 under the Company's Incentive Plans are summarized in the table below.</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Term (in years)</w:t>
            </w: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Intrinsic Value</w:t>
            </w:r>
          </w:p>
        </w:tc>
      </w:tr>
      <w:tr>
        <w:trPr>
          <w:trHeight w:val="27"/>
        </w:trPr>
        <w:tc>
          <w:tcPr>
            <w:tcW w:w="39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28,279,696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3,271,222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366.65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395.88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580"/>
              <w:spacing w:after="0"/>
              <w:rPr>
                <w:sz w:val="20"/>
                <w:szCs w:val="20"/>
                <w:color w:val="auto"/>
              </w:rPr>
            </w:pPr>
            <w:r>
              <w:rPr>
                <w:rFonts w:ascii="Arial" w:cs="Arial" w:eastAsia="Arial" w:hAnsi="Arial"/>
                <w:sz w:val="18"/>
                <w:szCs w:val="18"/>
                <w:color w:val="auto"/>
              </w:rPr>
              <w:t>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(300,581)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460.37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(2,064,254)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2019</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28,609,277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337.24</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1,805.9</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9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w w:val="99"/>
              </w:rPr>
              <w:t>Vested and expected to vest as of 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2019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27,524,704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335.73</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1,800.5</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9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Exercisable as of December 31, 2019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19,291,335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318.15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1,763.9</w:t>
            </w: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2019, 2018, and 2017 was $558.9 million, $510.6 million, and $735.6 million, respectively. The intrinsic value represents the amount by which the market price of the underlying stock exceeds the exercise price of an option.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2019, 2018, and 2017. The fair value of each option granted under the Company's Incentive Plans during these periods was estimated on the date of grant using the Black-Scholes option-pricing model.</w:t>
      </w:r>
    </w:p>
    <w:p>
      <w:pPr>
        <w:spacing w:after="0" w:line="25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2019:</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3,271,222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100.80</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2018:</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4,665,320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114.39</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4,235,015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118.70</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2019, 2018, and 2017, the Company recognized $422.8 million, $421.8 million, and $492.8 million, respectively, of non-cash stock-based compensation expense related to stock option awards (net of amounts capitalized as inventory of $2.4 million, $17.1 million, and $16.8 million, respectively). As of December 31, 2019, there was $521.9 million of stock-based compensation cost related to outstanding stock options, net of estimated forfeitures, which had not yet been recognized. The Company expects to recognize this compensation cost over a weighted-average period of 1.9 years.</w:t>
      </w:r>
    </w:p>
    <w:p>
      <w:pPr>
        <w:sectPr>
          <w:pgSz w:w="11900" w:h="16838" w:orient="portrait"/>
          <w:cols w:equalWidth="0" w:num="1">
            <w:col w:w="11420"/>
          </w:cols>
          <w:pgMar w:left="240" w:top="130"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F- 34</w:t>
      </w:r>
    </w:p>
    <w:p>
      <w:pPr>
        <w:sectPr>
          <w:pgSz w:w="11900" w:h="16838" w:orient="portrait"/>
          <w:cols w:equalWidth="0" w:num="1">
            <w:col w:w="11420"/>
          </w:cols>
          <w:pgMar w:left="240" w:top="130" w:right="239" w:bottom="1440" w:gutter="0" w:footer="0" w:header="0"/>
          <w:type w:val="continuous"/>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2019, 2018, and 2017.</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5.0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4.9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5.1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3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 Awards and Restricted Stock Units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the Company's activity related to restricted stock awards and restricted stock units (including performance-based restricted stock units) (collectively, "restricted stock") during 2019 is summarized below. As described in Note 1, the fair value of performance-based restricted stock units is estimated using a Monte Carlo simulation.</w:t>
      </w:r>
    </w:p>
    <w:p>
      <w:pPr>
        <w:spacing w:after="0" w:line="393"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37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w:t>
            </w:r>
          </w:p>
        </w:tc>
      </w:tr>
      <w:tr>
        <w:trPr>
          <w:trHeight w:val="234"/>
        </w:trPr>
        <w:tc>
          <w:tcPr>
            <w:tcW w:w="370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Shares/Units</w:t>
            </w:r>
          </w:p>
        </w:tc>
        <w:tc>
          <w:tcPr>
            <w:tcW w:w="12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3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386.10</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698,103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356.33</w:t>
            </w:r>
          </w:p>
        </w:tc>
      </w:tr>
      <w:tr>
        <w:trPr>
          <w:trHeight w:val="27"/>
        </w:trPr>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406.65</w:t>
            </w:r>
          </w:p>
        </w:tc>
      </w:tr>
      <w:tr>
        <w:trPr>
          <w:trHeight w:val="243"/>
        </w:trPr>
        <w:tc>
          <w:tcPr>
            <w:tcW w:w="3700" w:type="dxa"/>
            <w:vAlign w:val="bottom"/>
          </w:tcPr>
          <w:p>
            <w:pPr>
              <w:ind w:left="660"/>
              <w:spacing w:after="0"/>
              <w:rPr>
                <w:sz w:val="20"/>
                <w:szCs w:val="20"/>
                <w:color w:val="auto"/>
              </w:rPr>
            </w:pPr>
            <w:r>
              <w:rPr>
                <w:rFonts w:ascii="Arial" w:cs="Arial" w:eastAsia="Arial" w:hAnsi="Arial"/>
                <w:sz w:val="18"/>
                <w:szCs w:val="18"/>
                <w:color w:val="auto"/>
              </w:rPr>
              <w:t>Forfeited/Cancelled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385.90</w:t>
            </w:r>
          </w:p>
        </w:tc>
      </w:tr>
      <w:tr>
        <w:trPr>
          <w:trHeight w:val="27"/>
        </w:trPr>
        <w:tc>
          <w:tcPr>
            <w:tcW w:w="3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368.16</w:t>
            </w:r>
          </w:p>
        </w:tc>
      </w:tr>
      <w:tr>
        <w:trPr>
          <w:trHeight w:val="20"/>
        </w:trPr>
        <w:tc>
          <w:tcPr>
            <w:tcW w:w="3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non-cash stock-based compensation expense from restricted stock of $41.5 million, $5.6 million, and $14.5 million in 2019, 2018, and 2017, respectively (net of amounts capitalized as inventory, which were not material for each of the three years). As of December 31, 2019, there was $274.6 million of stock-based compensation cost related to unvested restricted stock which had not yet been recognized. The Company expects to recognize this compensation cost over a weighted-average period of 3.4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Savings Plans</w:t>
      </w:r>
    </w:p>
    <w:p>
      <w:pPr>
        <w:spacing w:after="0" w:line="28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("Contribution"), as defined, to the accounts of participants under the Savings Plan. The Company recognized $38.1 million, $27.0 million, and $19.6 million of Contribution expense in 2019, 2018, and 2017,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maintains additional employee savings plans outside of the United States, which cover eligible employees. Expenses recognized by the Company related to contributions to such plans were not material during 2019, 2018, and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U.S. federal, state, and foreign income taxes. Components of income before income taxes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6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7"/>
        </w:trPr>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1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Components of income tax expense consist of the following: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70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560.3</w:t>
            </w:r>
          </w:p>
        </w:tc>
      </w:tr>
      <w:tr>
        <w:trPr>
          <w:trHeight w:val="27"/>
        </w:trPr>
        <w:tc>
          <w:tcPr>
            <w:tcW w:w="1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70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700" w:type="dxa"/>
            <w:vAlign w:val="bottom"/>
          </w:tcPr>
          <w:p>
            <w:pPr>
              <w:spacing w:after="0"/>
              <w:rPr>
                <w:sz w:val="21"/>
                <w:szCs w:val="21"/>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170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170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561.0</w:t>
            </w:r>
          </w:p>
        </w:tc>
      </w:tr>
      <w:tr>
        <w:trPr>
          <w:trHeight w:val="237"/>
        </w:trPr>
        <w:tc>
          <w:tcPr>
            <w:tcW w:w="17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70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317.1</w:t>
            </w:r>
          </w:p>
        </w:tc>
      </w:tr>
      <w:tr>
        <w:trPr>
          <w:trHeight w:val="243"/>
        </w:trPr>
        <w:tc>
          <w:tcPr>
            <w:tcW w:w="1700" w:type="dxa"/>
            <w:vAlign w:val="bottom"/>
          </w:tcPr>
          <w:p>
            <w:pPr>
              <w:spacing w:after="0"/>
              <w:rPr>
                <w:sz w:val="21"/>
                <w:szCs w:val="21"/>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70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17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319.0</w:t>
            </w:r>
          </w:p>
        </w:tc>
      </w:tr>
      <w:tr>
        <w:trPr>
          <w:trHeight w:val="27"/>
        </w:trPr>
        <w:tc>
          <w:tcPr>
            <w:tcW w:w="170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70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880.0</w:t>
            </w:r>
          </w:p>
        </w:tc>
      </w:tr>
      <w:tr>
        <w:trPr>
          <w:trHeight w:val="20"/>
        </w:trPr>
        <w:tc>
          <w:tcPr>
            <w:tcW w:w="170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30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34290</wp:posOffset>
            </wp:positionV>
            <wp:extent cx="3044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520" w:type="dxa"/>
            <w:vAlign w:val="bottom"/>
            <w:gridSpan w:val="2"/>
          </w:tcPr>
          <w:p>
            <w:pPr>
              <w:ind w:left="6140"/>
              <w:spacing w:after="0"/>
              <w:rPr>
                <w:sz w:val="20"/>
                <w:szCs w:val="20"/>
                <w:color w:val="auto"/>
              </w:rPr>
            </w:pPr>
            <w:r>
              <w:rPr>
                <w:rFonts w:ascii="Arial" w:cs="Arial" w:eastAsia="Arial" w:hAnsi="Arial"/>
                <w:sz w:val="18"/>
                <w:szCs w:val="18"/>
                <w:b w:val="1"/>
                <w:bCs w:val="1"/>
                <w:color w:val="auto"/>
                <w:w w:val="89"/>
              </w:rPr>
              <w:t>2019</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5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Income tax credits</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(1.0)</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Taxation of non-U.S. operations</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 of non-inventory related assets between foreign subsidiaries</w:t>
            </w:r>
          </w:p>
        </w:tc>
        <w:tc>
          <w:tcPr>
            <w:tcW w:w="164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Impact of change in U.S. corporate tax rate (the Act)</w:t>
            </w:r>
          </w:p>
        </w:tc>
        <w:tc>
          <w:tcPr>
            <w:tcW w:w="164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(2.7)</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15.7</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production activities deduction</w:t>
            </w:r>
          </w:p>
        </w:tc>
        <w:tc>
          <w:tcPr>
            <w:tcW w:w="164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Other permanent differences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5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12.9 %</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the U.S. federal statutory rate and the Company's effective tax rate for each of the three years ended December 31, 2019, 2018, and 2017 is summarized in the table above. In 2018, the difference between the U.S. federal statutory rate of 21% and the Company's effective tax rate of 4.3% was partly attributable to the impact of the Company's sale of non-inventory related assets between foreign subsidiaries (including the associated impact of global intangible low-taxed income). In</w:t>
      </w:r>
    </w:p>
    <w:p>
      <w:pPr>
        <w:sectPr>
          <w:pgSz w:w="11900" w:h="16838" w:orient="portrait"/>
          <w:cols w:equalWidth="0" w:num="1">
            <w:col w:w="11420"/>
          </w:cols>
          <w:pgMar w:left="240" w:top="13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F- 36</w:t>
      </w:r>
    </w:p>
    <w:p>
      <w:pPr>
        <w:sectPr>
          <w:pgSz w:w="11900" w:h="16838" w:orient="portrait"/>
          <w:cols w:equalWidth="0" w:num="1">
            <w:col w:w="11420"/>
          </w:cols>
          <w:pgMar w:left="240" w:top="130" w:right="23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2017, the difference between the U.S. federal statutory rate of 35% and the Company's effective tax rate of 42.3% was partly impacted by the charge related to the re-measurement of the Company's U.S. net deferred tax assets upon the enactment of the Act (see below).</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changing the taxation of foreign earnings (including taxation of certain global intangible low-taxed income ("GILTI")), allowing for a foreign-derived intangible income deduction and immediate expensing for qualified assets, repealing the deduction for domestic manufacturing, and imposing further limitations on the deductibility of executive compensation. As a result of the Act being signed into law, the Company recognized a provisional charge of $326.2 million in the fourth quarter of 2017 related to the re-measurement of its U.S. net deferred tax assets at the lower enacted corporate tax rate. The provisional charge recorded in the fourth quarter of 2017 was an estimate, and the measurement of deferred tax assets was subject to further analysis, such as developing interpretations and clarifications of the provisions of the Act. During 2018, we recorded an income tax benefit of $68.0 million as a final adjustment to the provisional amount recorded as of December 31, 2017, which was partly attributable to our election to record deferred tax assets and liabilities for expected amounts of GILTI inclusions.</w:t>
      </w:r>
    </w:p>
    <w:p>
      <w:pPr>
        <w:spacing w:after="0" w:line="23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24"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As of December 31,</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458.2</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672.8</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672.8</w:t>
            </w:r>
          </w:p>
        </w:tc>
      </w:tr>
      <w:tr>
        <w:trPr>
          <w:trHeight w:val="324"/>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2015 through 2018 federal income tax returns remain open to examination by the IRS. The Company's 2015 and 2016 federal income tax returns are currently under audit by the IRS. In general, the Company's state income tax returns from 2016 to 2018 remain open to examination.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reconciles the beginning and ending amounts of unrecognized tax benefits. The amount of unrecognized tax benefits that, if settled, would impact the effective tax rate is $210.8 million, $189.5 million, and $146.2 million as of December 31, 2019, 2018, and 2017, respectively.</w:t>
      </w:r>
    </w:p>
    <w:p>
      <w:pPr>
        <w:spacing w:after="0" w:line="224"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Gross (decreases) increases related to prior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Gross decreases due to settlements and lapse of statutes of</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86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2018 and 2017, the increases in unrecognized tax benefits primarily related to the Company's calculation of certain tax credits and other items related to the Company's international operations.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2019, 2018, and 2017, interest expense related to unrecognized tax benefits recorded by the Company was not material. The Company does not believe that it is reasonably possible that the resolution of tax exposures within the next twelve months would have a material impact on its unrecognized tax benefits as of December 31,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December 31, 2019 and 2018, the Company had accruals for loss contingencies of $100.0 million and $30.0 million, respectively. If the Company were unable to prevail in any such proceedings, its consolidated financial position, results of operations, and future cash flows may be materially impacted.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'287 Patent and '163 Patent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Thereafter, the Supreme Court of the United Kingdom granted Kymab's application for permission to appeal the order made by the Court of Appeal with respect to an issue of validity of the '287 Patent and the '163 Patent and scheduled an oral hearing for February 11–12, 2020.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and the Court of Appeal described above. On July 31,</w:t>
      </w:r>
    </w:p>
    <w:p>
      <w:pPr>
        <w:sectPr>
          <w:pgSz w:w="11900" w:h="16838" w:orient="portrait"/>
          <w:cols w:equalWidth="0" w:num="1">
            <w:col w:w="11420"/>
          </w:cols>
          <w:pgMar w:left="240" w:top="130"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F- 38</w:t>
      </w:r>
    </w:p>
    <w:p>
      <w:pPr>
        <w:sectPr>
          <w:pgSz w:w="11900" w:h="16838" w:orient="portrait"/>
          <w:cols w:equalWidth="0" w:num="1">
            <w:col w:w="11420"/>
          </w:cols>
          <w:pgMar w:left="240" w:top="130" w:right="23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2019, the Company filed an action in the English High Court for a calculation of damages relating to Kymab's infringement of the '287 Patent and the '163 Patent.</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reported global settlement.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2019, Amgen filed a renewed motion for a permanent injunction to prohibit the Company and the Sanofi 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has been discontinued. On July 12, 2019, the Company and Sanofi appealed the July 11 Decision to the Higher Regional Court of Düsseldorf (the "Higher Regional Court"). An oral hearing on the merits of the appeal to the Higher Regional Court has been scheduled for April 2, 2020. On August 5, 2019 and October 31, 2019, the Higher Regional Court denied the Company and Sanofi's requests for a stay of preliminary enforcement of the July 11 Decision pending the appeal on the merits.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and denied the Sanofi parties' request for the provisional compulsory license. On January 16, 2019, the Sanofi parties appealed the FPC's denial of the provisional compulsory license to the Federal Court of Justice (the "FCJ") of Germany. The FCJ held an oral hearing on June 4, 2019 on the appeal of the provisional compulsory license ruling and dismissed the Sanofi parties' appeal. On September 16, 2019, the Sanofi parties filed a brief to withdraw the compulsory license action with the FPC.</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17, 2019, Amgen initiated a lawsuit alleging infringement of the Dutch designation of the '124 Patent in the District Court 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A trial has been scheduled for October 30, 2020.</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20, 2019, Amgen filed a lawsuit for infringement of the Italian designation of the '124 Patent in the Tribunale di Milano - Enterprise Chamber in Milan, Italy, against Sanofi-Aventis Groupe S.A., Sanofi Chimie, and Sanofi SpA. The Company has not been named as a defendant in this action. Amgen alleges that the production, importation, and commercialization of Praluent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(alirocumab) in Italy infringes the '124 Patent. The writ of summons filed by Amgen seeks, among other things, a declaration of infringement, a permanent injunction, withdrawal of product from the market, and damages.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20, 2019, Amgen also filed a lawsuit alleging infringement of the Spanish designation of the '124 Patent in the Juzgado de lo Mercantil No. 5 (Commercial Court) in Barcelona, Spain, against Sanofi-Aventis, S.A. The Company has not been named as a defendant in this action. Amgen alleges, among other things, patent infringement based on the manufacture, offering for sale, introduction into the market, use, and importation or possession of Praluent (alirocumab) in Spain. Amgen seeks, among other things, a permanent injunction, withdrawal of Praluent from the market, seizure and destruction of Praluent from the market and in storage, and damages in the form of lost profits and costs and expenses.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(the "TBA") of the EPO on November 30, 2018. An oral hearing before the TBA has been scheduled for March 24–25,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Sanofi K.K. appealed the IPHC's decision in the infringement proceedings to the Supreme Court of Japan on November 12, 2019. The injunction will remain stayed pending appeal of the IPHC's decision to the Supreme Court of Japan.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challenged claims of the '487 Patent invalid based on the other. In April 2019, the parties filed notices of appeal with the Federal Circuit appealing the PTAB's respective adverse final written decisions on the Additional IPR Petitions.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and ZALTRAP (ziv-aflibercept) Injection for Intravenous Infusion</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 On March 20, 2019, the court issued its Opinion and Order on Claim Construction (the "Claim Construction Order") in the '688 Patent infringement litigation. Pursuant to the Claim Construction Order, on April 1, 2019, the court approved a joint stipulation and entered a partial judgment of noninfringement of the '688 Patent of nine asserted claims. On August 14, 2019, the court issued a second Opinion and Order on Claim Construction concerning the one remaining asserted claim in this litigation. On September 5, 2019, the court entered a stipulated judgment of noninfringement and dismissed with prejudice all of the Novartis Parties' claims of the '688 Patent, finding that the manufacture, use, offer for sale, sale, or importation into the United States of aflibercept does not infringe the claims of the '688 Patent.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14, 2019, the Company filed an IPR in the USPTO seeking a declaration of invalidity of the '688 Patent. On September 26, 2019, in connection with the dismissal of the '688 Patent infringement litigation discussed above, the Company and the Novartis Parties filed a joint motion to terminate the IPR petition, and the PTAB dismissed the IPR petition on October 1, 2019.</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Investigations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Income Per Share</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r>
      <w:tr>
        <w:trPr>
          <w:trHeight w:val="324"/>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9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217"/>
        </w:trPr>
        <w:tc>
          <w:tcPr>
            <w:tcW w:w="5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7"/>
        </w:trPr>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5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3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3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3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Statement of Cash Flows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to the total of the same such amounts shown in the Consolidated Statement of Cash Flows: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w w:val="99"/>
              </w:rPr>
              <w:t>Restricted cash included in Other noncurrent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the Consolidated Statement of Cash Flows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 of non-cash investing and financing activities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accounts payable, accrued expenses, and other liabilities as of December 31, 2019, 2018, and 2017 were $133.7 million, $54.5 million, and $41.8 million, respectively, of accrued capital expenditures.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3, during 2019, we purchased (by issuing a credit towards the amount owed by Sanofi) 210,733 shares of our Common Stock from Sanofi to satisfy Sanofi's funding obligation related to Libtayo development costs, and recorded the cost of the shares received, or $73.3 million, as Treasury Stock. During 2018, we purchased (by issuing a credit towards the amount owed by Sanofi) 215,387 shares of our Common Stock from Sanofi, and recorded the cost of the shares received, or $75.8 million, as Treasury Stock.</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recognized additional lease obligations of $201.2 million in connection with the Company's Tarrytown Lease. No additional amounts were recognized during 2018 or 2019. See Note 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Unaudited Quarterly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(unaudited) for the years ended December 31, 2019 and 2018 are set forth in the following tables.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First Quarter Ended</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Second Quarter Ended</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Third Quarter Ended</w:t>
            </w:r>
          </w:p>
        </w:tc>
        <w:tc>
          <w:tcPr>
            <w:tcW w:w="180" w:type="dxa"/>
            <w:vAlign w:val="bottom"/>
          </w:tcPr>
          <w:p>
            <w:pPr>
              <w:spacing w:after="0"/>
              <w:rPr>
                <w:sz w:val="18"/>
                <w:szCs w:val="18"/>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2019</w:t>
            </w:r>
          </w:p>
        </w:tc>
        <w:tc>
          <w:tcPr>
            <w:tcW w:w="240" w:type="dxa"/>
            <w:vAlign w:val="bottom"/>
          </w:tcPr>
          <w:p>
            <w:pPr>
              <w:spacing w:after="0"/>
              <w:rPr>
                <w:sz w:val="22"/>
                <w:szCs w:val="22"/>
                <w:color w:val="auto"/>
              </w:rPr>
            </w:pPr>
          </w:p>
        </w:tc>
        <w:tc>
          <w:tcPr>
            <w:tcW w:w="1800" w:type="dxa"/>
            <w:vAlign w:val="bottom"/>
            <w:gridSpan w:val="2"/>
          </w:tcPr>
          <w:p>
            <w:pPr>
              <w:jc w:val="center"/>
              <w:ind w:right="360"/>
              <w:spacing w:after="0" w:line="262" w:lineRule="exact"/>
              <w:rPr>
                <w:sz w:val="20"/>
                <w:szCs w:val="20"/>
                <w:color w:val="auto"/>
              </w:rPr>
            </w:pPr>
            <w:r>
              <w:rPr>
                <w:rFonts w:ascii="Arial" w:cs="Arial" w:eastAsia="Arial" w:hAnsi="Arial"/>
                <w:sz w:val="18"/>
                <w:szCs w:val="18"/>
                <w:b w:val="1"/>
                <w:bCs w:val="1"/>
                <w:color w:val="auto"/>
                <w:w w:val="87"/>
              </w:rPr>
              <w:t>June 30, 2019</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2"/>
                <w:szCs w:val="2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2019</w:t>
            </w:r>
          </w:p>
        </w:tc>
        <w:tc>
          <w:tcPr>
            <w:tcW w:w="180" w:type="dxa"/>
            <w:vAlign w:val="bottom"/>
          </w:tcPr>
          <w:p>
            <w:pPr>
              <w:spacing w:after="0"/>
              <w:rPr>
                <w:sz w:val="22"/>
                <w:szCs w:val="22"/>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 2019</w:t>
            </w:r>
          </w:p>
        </w:tc>
      </w:tr>
      <w:tr>
        <w:trPr>
          <w:trHeight w:val="24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2,169.5</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1,493.8</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792.0</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7.25</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r>
      <w:tr>
        <w:trPr>
          <w:trHeight w:val="576"/>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First Quarter Ended</w:t>
            </w:r>
          </w:p>
        </w:tc>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Second Quarter Ended</w:t>
            </w:r>
          </w:p>
        </w:tc>
        <w:tc>
          <w:tcPr>
            <w:tcW w:w="120" w:type="dxa"/>
            <w:vAlign w:val="bottom"/>
          </w:tcPr>
          <w:p>
            <w:pPr>
              <w:spacing w:after="0"/>
              <w:rPr>
                <w:sz w:val="24"/>
                <w:szCs w:val="2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Third Quarter Ended</w:t>
            </w:r>
          </w:p>
        </w:tc>
        <w:tc>
          <w:tcPr>
            <w:tcW w:w="180" w:type="dxa"/>
            <w:vAlign w:val="bottom"/>
          </w:tcPr>
          <w:p>
            <w:pPr>
              <w:spacing w:after="0"/>
              <w:rPr>
                <w:sz w:val="24"/>
                <w:szCs w:val="24"/>
                <w:color w:val="auto"/>
              </w:rPr>
            </w:pPr>
          </w:p>
        </w:tc>
        <w:tc>
          <w:tcPr>
            <w:tcW w:w="2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2018</w:t>
            </w:r>
          </w:p>
        </w:tc>
        <w:tc>
          <w:tcPr>
            <w:tcW w:w="240" w:type="dxa"/>
            <w:vAlign w:val="bottom"/>
          </w:tcPr>
          <w:p>
            <w:pPr>
              <w:spacing w:after="0"/>
              <w:rPr>
                <w:sz w:val="22"/>
                <w:szCs w:val="22"/>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22"/>
                <w:szCs w:val="2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2018</w:t>
            </w:r>
          </w:p>
        </w:tc>
        <w:tc>
          <w:tcPr>
            <w:tcW w:w="180" w:type="dxa"/>
            <w:vAlign w:val="bottom"/>
          </w:tcPr>
          <w:p>
            <w:pPr>
              <w:spacing w:after="0"/>
              <w:rPr>
                <w:sz w:val="22"/>
                <w:szCs w:val="22"/>
                <w:color w:val="auto"/>
              </w:rPr>
            </w:pPr>
          </w:p>
        </w:tc>
        <w:tc>
          <w:tcPr>
            <w:tcW w:w="2100" w:type="dxa"/>
            <w:vAlign w:val="bottom"/>
          </w:tcPr>
          <w:p>
            <w:pPr>
              <w:jc w:val="center"/>
              <w:ind w:right="110"/>
              <w:spacing w:after="0" w:line="262" w:lineRule="exact"/>
              <w:rPr>
                <w:sz w:val="20"/>
                <w:szCs w:val="20"/>
                <w:color w:val="auto"/>
              </w:rPr>
            </w:pPr>
            <w:r>
              <w:rPr>
                <w:rFonts w:ascii="Arial" w:cs="Arial" w:eastAsia="Arial" w:hAnsi="Arial"/>
                <w:sz w:val="18"/>
                <w:szCs w:val="18"/>
                <w:b w:val="1"/>
                <w:bCs w:val="1"/>
                <w:color w:val="auto"/>
                <w:w w:val="85"/>
              </w:rPr>
              <w:t>December 31, 2018</w:t>
            </w:r>
            <w:r>
              <w:rPr>
                <w:rFonts w:ascii="Arial" w:cs="Arial" w:eastAsia="Arial" w:hAnsi="Arial"/>
                <w:sz w:val="25"/>
                <w:szCs w:val="25"/>
                <w:b w:val="1"/>
                <w:bCs w:val="1"/>
                <w:color w:val="auto"/>
                <w:w w:val="85"/>
                <w:vertAlign w:val="superscript"/>
              </w:rPr>
              <w:t>(2)(3)</w:t>
            </w:r>
          </w:p>
        </w:tc>
      </w:tr>
      <w:tr>
        <w:trPr>
          <w:trHeight w:val="24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1,927.8</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1,209.7</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820.4</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7.58</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r>
      <w:tr>
        <w:trPr>
          <w:trHeight w:val="27"/>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40" w:hanging="128"/>
        <w:spacing w:after="0"/>
        <w:tabs>
          <w:tab w:leader="none" w:pos="440" w:val="left"/>
        </w:tabs>
        <w:numPr>
          <w:ilvl w:val="0"/>
          <w:numId w:val="43"/>
        </w:numPr>
        <w:rPr>
          <w:rFonts w:ascii="Arial" w:cs="Arial" w:eastAsia="Arial" w:hAnsi="Arial"/>
          <w:sz w:val="9"/>
          <w:szCs w:val="9"/>
          <w:color w:val="auto"/>
        </w:rPr>
      </w:pPr>
      <w:r>
        <w:rPr>
          <w:rFonts w:ascii="Arial" w:cs="Arial" w:eastAsia="Arial" w:hAnsi="Arial"/>
          <w:sz w:val="14"/>
          <w:szCs w:val="14"/>
          <w:color w:val="auto"/>
        </w:rPr>
        <w:t>Included in research and development expenses was a $400.0 million up-front payment in connection with the Alnylam collaboration agreement. See Note 3.</w:t>
      </w:r>
    </w:p>
    <w:p>
      <w:pPr>
        <w:spacing w:after="0" w:line="41" w:lineRule="exact"/>
        <w:rPr>
          <w:rFonts w:ascii="Arial" w:cs="Arial" w:eastAsia="Arial" w:hAnsi="Arial"/>
          <w:sz w:val="9"/>
          <w:szCs w:val="9"/>
          <w:color w:val="auto"/>
        </w:rPr>
      </w:pPr>
    </w:p>
    <w:p>
      <w:pPr>
        <w:ind w:left="460" w:hanging="148"/>
        <w:spacing w:after="0"/>
        <w:tabs>
          <w:tab w:leader="none" w:pos="460" w:val="left"/>
        </w:tabs>
        <w:numPr>
          <w:ilvl w:val="0"/>
          <w:numId w:val="43"/>
        </w:numPr>
        <w:rPr>
          <w:rFonts w:ascii="Arial" w:cs="Arial" w:eastAsia="Arial" w:hAnsi="Arial"/>
          <w:sz w:val="9"/>
          <w:szCs w:val="9"/>
          <w:color w:val="auto"/>
        </w:rPr>
      </w:pPr>
      <w:r>
        <w:rPr>
          <w:rFonts w:ascii="Arial" w:cs="Arial" w:eastAsia="Arial" w:hAnsi="Arial"/>
          <w:sz w:val="14"/>
          <w:szCs w:val="14"/>
          <w:color w:val="auto"/>
        </w:rPr>
        <w:t>Includes impact of a cumulative catch-up adjustment recorded to revenue upon termination of the 2015 IO Discovery Agreement. See Note 3.</w:t>
      </w:r>
    </w:p>
    <w:p>
      <w:pPr>
        <w:spacing w:after="0" w:line="41" w:lineRule="exact"/>
        <w:rPr>
          <w:rFonts w:ascii="Arial" w:cs="Arial" w:eastAsia="Arial" w:hAnsi="Arial"/>
          <w:sz w:val="9"/>
          <w:szCs w:val="9"/>
          <w:color w:val="auto"/>
        </w:rPr>
      </w:pPr>
    </w:p>
    <w:p>
      <w:pPr>
        <w:ind w:left="460" w:hanging="148"/>
        <w:spacing w:after="0"/>
        <w:tabs>
          <w:tab w:leader="none" w:pos="460" w:val="left"/>
        </w:tabs>
        <w:numPr>
          <w:ilvl w:val="0"/>
          <w:numId w:val="43"/>
        </w:numPr>
        <w:rPr>
          <w:rFonts w:ascii="Arial" w:cs="Arial" w:eastAsia="Arial" w:hAnsi="Arial"/>
          <w:sz w:val="9"/>
          <w:szCs w:val="9"/>
          <w:color w:val="auto"/>
        </w:rPr>
      </w:pPr>
      <w:r>
        <w:rPr>
          <w:rFonts w:ascii="Arial" w:cs="Arial" w:eastAsia="Arial" w:hAnsi="Arial"/>
          <w:sz w:val="14"/>
          <w:szCs w:val="14"/>
          <w:color w:val="auto"/>
        </w:rPr>
        <w:t>Includes tax impact of the sale of non-inventory related assets between foreign subsidiaries completed during the fourth quarter of 2018. See Note 15.</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13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is a description of the common stock, par value $0.001 per share (the “Common Stock”), of Regeneron Pharmaceuticals, Inc. (the “Company”) which is the only security of the Company registered pursuant to Section 12 of the Securities Exchange Act of 1934, as amended (the “Exchange Act”). The following also contains a description of the Class A Stock, par value $0.001 per share (the “Class A Stock”), of the Company, which is not registered pursuant to Section 12 of the Exchange Act but is convertible into shares of Common Stock at any time at the option of the holder. The description of the Class A Stock is necessary to understand the material terms of the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 Company is authorized to issue 320,000,000 shares of Common Stock, par value $0.001 per share, of which 108,170,839 shares were issued and outstanding as of January 31, 2020, and 40,000,000 shares of Class A Stock, par value $0.001 per share, of which 1,848,970 shares were issued and outstanding as of January 31, 2020.</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description summarizes selected information regarding the Common Stock and the Class A Stock, as well as relevant provisions of: (i) the Company’s Restated Certificate of Incorporation, as amended, as currently in effect (the “Articles”), (ii) the Company’s Amended and Restated By-Laws, as currently in effect (the “By-Laws”), and (iii) the New York Business Corporation Law (the “NYBCL”). The following summary description of the Common Stock and the Class A Stock is qualified in its entirety by, and should be read in conjunction with, the Articles and the By-Laws, copies of which have been filed as exhibits to the Company’s periodic reports under the Exchange Act, and the applicable provisions of the NYBCL.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rights of holders of Common Stock and holders of Class A Stock are identical except for voting rights, conversion rights, and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transferability.</w:t>
      </w:r>
    </w:p>
    <w:p>
      <w:pPr>
        <w:spacing w:after="0" w:line="1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Common Stock are entitled to one vote per share and the holders of Class A Stock are entitled to ten votes per share.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expressly provided by law, holders of common shares have exclusive voting rights on all matters requiring a vote of shareholders. Except as provided by law, the holders of Common Stock and the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6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Dividends and Liquidation</w:t>
      </w:r>
      <w:r>
        <w:rPr>
          <w:rFonts w:ascii="Arial" w:cs="Arial" w:eastAsia="Arial" w:hAnsi="Arial"/>
          <w:sz w:val="17"/>
          <w:szCs w:val="17"/>
          <w:color w:val="auto"/>
        </w:rPr>
        <w:t>. Except as described in this paragraph, holders of Common Stock and holders of Class A Stock have an equal right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when and if declared by the Company’s board of directors out of funds legally available therefor. If a dividend or distribution payable in Class A Stock is made on the Class A Stock, the Company must also make a pro rata and simultaneous dividend or distribution on the Common Stock payable in shares of Common Stock. Conversely, if a dividend or distribution payable in Common Stock is made on the Common Stock, the Company must also make a pro rata and simultaneous dividend or distribution on the Class A Stock payable in shares of Class A Stock. In the event of the Company’s liquidation, dissolution, or winding up, holders of Common Stock and Class A Stock are entitled to share equally, share-for-share, in the assets available for distribution after payment of all creditors and the liquidation preferences of any preferred stock.</w:t>
      </w:r>
    </w:p>
    <w:p>
      <w:pPr>
        <w:spacing w:after="0" w:line="13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i w:val="1"/>
          <w:iCs w:val="1"/>
          <w:color w:val="auto"/>
        </w:rPr>
        <w:t>Optional Conversion Rights</w:t>
      </w:r>
      <w:r>
        <w:rPr>
          <w:rFonts w:ascii="Arial" w:cs="Arial" w:eastAsia="Arial" w:hAnsi="Arial"/>
          <w:sz w:val="17"/>
          <w:szCs w:val="17"/>
          <w:color w:val="auto"/>
        </w:rPr>
        <w:t>. Each share of Class A Stock may, at any time and at the option of the holder, be converted into one fully paid and nonassessable</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the Company’s shares or securities.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Other Provisions</w:t>
      </w:r>
      <w:r>
        <w:rPr>
          <w:rFonts w:ascii="Arial" w:cs="Arial" w:eastAsia="Arial" w:hAnsi="Arial"/>
          <w:sz w:val="18"/>
          <w:szCs w:val="18"/>
          <w:color w:val="auto"/>
        </w:rPr>
        <w:t>. Holders of Common Stock and holders of Class A Stock have no preemptive rights to subscribe for any additional securities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may issue and there are no redemption provisions or sinking fund provisions applicable to either such class, nor are the shares of Common Stock or Class A Stock subject to calls or assessments.</w:t>
      </w:r>
    </w:p>
    <w:p>
      <w:pPr>
        <w:sectPr>
          <w:pgSz w:w="11900" w:h="16838" w:orient="portrait"/>
          <w:cols w:equalWidth="0" w:num="1">
            <w:col w:w="11420"/>
          </w:cols>
          <w:pgMar w:left="240" w:top="34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The Class A Stock is subject to certain limitations on transfer that do not apply to the Common Stock.</w:t>
      </w:r>
    </w:p>
    <w:p>
      <w:pPr>
        <w:spacing w:after="0" w:line="21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Common Stock is listed on The Nasdaq Global Select Market under the symbol “REGN.” The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Common Stock is American Stock Transfer &amp; Trust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the Company’s Shareholders</w:t>
      </w:r>
    </w:p>
    <w:p>
      <w:pPr>
        <w:spacing w:after="0" w:line="2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One of the Company’s shareholders, Sanofi, has registration rights. Under the amended and restated investor agreement, as amended (the “Investor Agreement”), between the Company and such shareholder, such shareholder (and certain of its permitted transferees) may request that the Company file registration statements under the Securities Act of 1933 and, upon such request and subject to minimum size and other conditions (such as the lock-up provisions set forth in the Investor Agreement, which are applicable until December 20, 2020), the Company will be required to use its best efforts to effect any such registration. The Company is not required to effect more than three such registrations. The Company is generally obligated to bear the expenses, other than underwriting discounts and sales commissions, of all of these registrations.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Articles, the By-Laws and the NYBCL</w:t>
      </w:r>
    </w:p>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Under certain circumstances, certain provisions of the Company’s Articles, the Company’s By-Laws, and certain provisions of the NYBCL could have the effect of delaying or preventing a change in control of the Company or the Company’s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the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Articles and the By-Laws provide:</w:t>
      </w:r>
    </w:p>
    <w:p>
      <w:pPr>
        <w:spacing w:after="0" w:line="23" w:lineRule="exact"/>
        <w:rPr>
          <w:sz w:val="20"/>
          <w:szCs w:val="20"/>
          <w:color w:val="auto"/>
        </w:rPr>
      </w:pPr>
    </w:p>
    <w:p>
      <w:pPr>
        <w:ind w:left="660" w:right="20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the Common Stock and Class A Stock;</w:t>
      </w: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staggered board of directors, so that it would take three successive annual shareholder meetings to replace all of the Company’s directors;</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provision whereby any action required or permitted to be taken at any meeting of shareholders may be taken without a meeting, only if, prior to such action, all of the Company’s shareholders consent, the effect of which is to require that shareholder action may only be taken at a duly convened meeting;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w:t>
      </w:r>
    </w:p>
    <w:p>
      <w:pPr>
        <w:spacing w:after="0" w:line="15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Under the NYBCL, in addition to certain restrictions which may apply to “business combinations” involving the Company and an “interested shareholder,” a plan of merger or consolidation of the Company must be approved by two-thirds of the votes of all outstanding shares entitled to vote thereon.</w:t>
      </w:r>
    </w:p>
    <w:p>
      <w:pPr>
        <w:sectPr>
          <w:pgSz w:w="11900" w:h="16838" w:orient="portrait"/>
          <w:cols w:equalWidth="0" w:num="1">
            <w:col w:w="11420"/>
          </w:cols>
          <w:pgMar w:left="240" w:top="55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10.2.17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380" w:type="dxa"/>
            <w:vAlign w:val="bottom"/>
            <w:gridSpan w:val="3"/>
          </w:tcPr>
          <w:p>
            <w:pPr>
              <w:ind w:left="700"/>
              <w:spacing w:after="0"/>
              <w:rPr>
                <w:sz w:val="20"/>
                <w:szCs w:val="20"/>
                <w:color w:val="auto"/>
              </w:rPr>
            </w:pPr>
            <w:r>
              <w:rPr>
                <w:rFonts w:ascii="Arial" w:cs="Arial" w:eastAsia="Arial" w:hAnsi="Arial"/>
                <w:sz w:val="18"/>
                <w:szCs w:val="18"/>
                <w:b w:val="1"/>
                <w:bCs w:val="1"/>
                <w:color w:val="auto"/>
                <w:w w:val="93"/>
              </w:rPr>
              <w:t>Regeneron Pharmaceuticals, Inc.</w:t>
            </w:r>
          </w:p>
        </w:tc>
        <w:tc>
          <w:tcPr>
            <w:tcW w:w="3680" w:type="dxa"/>
            <w:vAlign w:val="bottom"/>
          </w:tcPr>
          <w:p>
            <w:pPr>
              <w:spacing w:after="0"/>
              <w:rPr>
                <w:sz w:val="20"/>
                <w:szCs w:val="20"/>
                <w:color w:val="auto"/>
              </w:rPr>
            </w:pPr>
          </w:p>
        </w:tc>
      </w:tr>
      <w:tr>
        <w:trPr>
          <w:trHeight w:val="297"/>
        </w:trPr>
        <w:tc>
          <w:tcPr>
            <w:tcW w:w="4360" w:type="dxa"/>
            <w:vAlign w:val="bottom"/>
          </w:tcPr>
          <w:p>
            <w:pPr>
              <w:spacing w:after="0"/>
              <w:rPr>
                <w:sz w:val="24"/>
                <w:szCs w:val="24"/>
                <w:color w:val="auto"/>
              </w:rPr>
            </w:pPr>
          </w:p>
        </w:tc>
        <w:tc>
          <w:tcPr>
            <w:tcW w:w="1380" w:type="dxa"/>
            <w:vAlign w:val="bottom"/>
          </w:tcPr>
          <w:p>
            <w:pPr>
              <w:ind w:left="7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4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380" w:type="dxa"/>
            <w:vAlign w:val="bottom"/>
            <w:gridSpan w:val="3"/>
          </w:tcPr>
          <w:p>
            <w:pPr>
              <w:ind w:left="700"/>
              <w:spacing w:after="0"/>
              <w:rPr>
                <w:sz w:val="20"/>
                <w:szCs w:val="20"/>
                <w:color w:val="auto"/>
              </w:rPr>
            </w:pPr>
            <w:r>
              <w:rPr>
                <w:rFonts w:ascii="Arial" w:cs="Arial" w:eastAsia="Arial" w:hAnsi="Arial"/>
                <w:sz w:val="18"/>
                <w:szCs w:val="18"/>
                <w:color w:val="auto"/>
              </w:rPr>
              <w:t>777 Old Saw Mill River Road</w:t>
            </w:r>
          </w:p>
        </w:tc>
        <w:tc>
          <w:tcPr>
            <w:tcW w:w="3680" w:type="dxa"/>
            <w:vAlign w:val="bottom"/>
          </w:tcPr>
          <w:p>
            <w:pPr>
              <w:spacing w:after="0"/>
              <w:rPr>
                <w:sz w:val="24"/>
                <w:szCs w:val="24"/>
                <w:color w:val="auto"/>
              </w:rPr>
            </w:pPr>
          </w:p>
        </w:tc>
      </w:tr>
      <w:tr>
        <w:trPr>
          <w:trHeight w:val="29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Time-Based Vesting</w:t>
            </w:r>
          </w:p>
        </w:tc>
        <w:tc>
          <w:tcPr>
            <w:tcW w:w="2820" w:type="dxa"/>
            <w:vAlign w:val="bottom"/>
            <w:gridSpan w:val="2"/>
          </w:tcPr>
          <w:p>
            <w:pPr>
              <w:ind w:left="700"/>
              <w:spacing w:after="0"/>
              <w:rPr>
                <w:sz w:val="20"/>
                <w:szCs w:val="20"/>
                <w:color w:val="auto"/>
              </w:rPr>
            </w:pPr>
            <w:r>
              <w:rPr>
                <w:rFonts w:ascii="Arial" w:cs="Arial" w:eastAsia="Arial" w:hAnsi="Arial"/>
                <w:sz w:val="18"/>
                <w:szCs w:val="18"/>
                <w:color w:val="auto"/>
                <w:w w:val="94"/>
              </w:rPr>
              <w:t>Tarrytown, New York 10591</w:t>
            </w: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31"/>
        </w:trPr>
        <w:tc>
          <w:tcPr>
            <w:tcW w:w="4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57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820" w:type="dxa"/>
            <w:vAlign w:val="bottom"/>
            <w:gridSpan w:val="2"/>
          </w:tcPr>
          <w:p>
            <w:pPr>
              <w:ind w:left="700"/>
              <w:spacing w:after="0"/>
              <w:rPr>
                <w:sz w:val="20"/>
                <w:szCs w:val="20"/>
                <w:color w:val="auto"/>
              </w:rPr>
            </w:pPr>
            <w:r>
              <w:rPr>
                <w:rFonts w:ascii="Arial" w:cs="Arial" w:eastAsia="Arial" w:hAnsi="Arial"/>
                <w:sz w:val="18"/>
                <w:szCs w:val="18"/>
                <w:b w:val="1"/>
                <w:bCs w:val="1"/>
                <w:color w:val="auto"/>
              </w:rPr>
              <w:t>Option Number:</w:t>
            </w:r>
          </w:p>
        </w:tc>
        <w:tc>
          <w:tcPr>
            <w:tcW w:w="560" w:type="dxa"/>
            <w:vAlign w:val="bottom"/>
          </w:tcPr>
          <w:p>
            <w:pPr>
              <w:jc w:val="right"/>
              <w:ind w:right="33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352"/>
              <w:spacing w:after="0"/>
              <w:rPr>
                <w:sz w:val="20"/>
                <w:szCs w:val="20"/>
                <w:color w:val="auto"/>
              </w:rPr>
            </w:pPr>
            <w:r>
              <w:rPr>
                <w:rFonts w:ascii="Arial" w:cs="Arial" w:eastAsia="Arial" w:hAnsi="Arial"/>
                <w:sz w:val="22"/>
                <w:szCs w:val="22"/>
                <w:b w:val="1"/>
                <w:bCs w:val="1"/>
                <w:color w:val="auto"/>
              </w:rPr>
              <w:t>]</w:t>
            </w:r>
          </w:p>
        </w:tc>
      </w:tr>
      <w:tr>
        <w:trPr>
          <w:trHeight w:val="29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380" w:type="dxa"/>
            <w:vAlign w:val="bottom"/>
          </w:tcPr>
          <w:p>
            <w:pPr>
              <w:ind w:left="700"/>
              <w:spacing w:after="0"/>
              <w:rPr>
                <w:sz w:val="20"/>
                <w:szCs w:val="20"/>
                <w:color w:val="auto"/>
              </w:rPr>
            </w:pPr>
            <w:r>
              <w:rPr>
                <w:rFonts w:ascii="Arial" w:cs="Arial" w:eastAsia="Arial" w:hAnsi="Arial"/>
                <w:sz w:val="18"/>
                <w:szCs w:val="18"/>
                <w:b w:val="1"/>
                <w:bCs w:val="1"/>
                <w:color w:val="auto"/>
              </w:rPr>
              <w:t>Plan:</w:t>
            </w:r>
          </w:p>
        </w:tc>
        <w:tc>
          <w:tcPr>
            <w:tcW w:w="144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352"/>
              <w:spacing w:after="0"/>
              <w:rPr>
                <w:sz w:val="20"/>
                <w:szCs w:val="20"/>
                <w:color w:val="auto"/>
              </w:rPr>
            </w:pPr>
            <w:r>
              <w:rPr>
                <w:rFonts w:ascii="Arial" w:cs="Arial" w:eastAsia="Arial" w:hAnsi="Arial"/>
                <w:sz w:val="22"/>
                <w:szCs w:val="22"/>
                <w:b w:val="1"/>
                <w:bCs w:val="1"/>
                <w:color w:val="auto"/>
              </w:rPr>
              <w:t>]</w:t>
            </w:r>
          </w:p>
        </w:tc>
      </w:tr>
      <w:tr>
        <w:trPr>
          <w:trHeight w:val="297"/>
        </w:trPr>
        <w:tc>
          <w:tcPr>
            <w:tcW w:w="4360" w:type="dxa"/>
            <w:vAlign w:val="bottom"/>
          </w:tcPr>
          <w:p>
            <w:pPr>
              <w:spacing w:after="0"/>
              <w:rPr>
                <w:sz w:val="24"/>
                <w:szCs w:val="24"/>
                <w:color w:val="auto"/>
              </w:rPr>
            </w:pPr>
          </w:p>
        </w:tc>
        <w:tc>
          <w:tcPr>
            <w:tcW w:w="1380" w:type="dxa"/>
            <w:vAlign w:val="bottom"/>
          </w:tcPr>
          <w:p>
            <w:pPr>
              <w:ind w:left="700"/>
              <w:spacing w:after="0"/>
              <w:rPr>
                <w:sz w:val="20"/>
                <w:szCs w:val="20"/>
                <w:color w:val="auto"/>
              </w:rPr>
            </w:pPr>
            <w:r>
              <w:rPr>
                <w:rFonts w:ascii="Arial" w:cs="Arial" w:eastAsia="Arial" w:hAnsi="Arial"/>
                <w:sz w:val="18"/>
                <w:szCs w:val="18"/>
                <w:b w:val="1"/>
                <w:bCs w:val="1"/>
                <w:color w:val="auto"/>
              </w:rPr>
              <w:t>ID:</w:t>
            </w:r>
          </w:p>
        </w:tc>
        <w:tc>
          <w:tcPr>
            <w:tcW w:w="144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Arial" w:cs="Arial" w:eastAsia="Arial" w:hAnsi="Arial"/>
                <w:sz w:val="22"/>
                <w:szCs w:val="22"/>
                <w:b w:val="1"/>
                <w:bCs w:val="1"/>
                <w:color w:val="auto"/>
              </w:rPr>
              <w:t>[</w:t>
            </w:r>
          </w:p>
        </w:tc>
        <w:tc>
          <w:tcPr>
            <w:tcW w:w="3680" w:type="dxa"/>
            <w:vAlign w:val="bottom"/>
          </w:tcPr>
          <w:p>
            <w:pPr>
              <w:jc w:val="right"/>
              <w:ind w:right="3352"/>
              <w:spacing w:after="0"/>
              <w:rPr>
                <w:sz w:val="20"/>
                <w:szCs w:val="20"/>
                <w:color w:val="auto"/>
              </w:rPr>
            </w:pPr>
            <w:r>
              <w:rPr>
                <w:rFonts w:ascii="Arial" w:cs="Arial" w:eastAsia="Arial" w:hAnsi="Arial"/>
                <w:sz w:val="22"/>
                <w:szCs w:val="22"/>
                <w:b w:val="1"/>
                <w:bCs w:val="1"/>
                <w:color w:val="auto"/>
              </w:rPr>
              <w:t>]</w:t>
            </w:r>
          </w:p>
        </w:tc>
      </w:tr>
      <w:tr>
        <w:trPr>
          <w:trHeight w:val="321"/>
        </w:trPr>
        <w:tc>
          <w:tcPr>
            <w:tcW w:w="4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16"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760" w:type="dxa"/>
            <w:vAlign w:val="bottom"/>
          </w:tcPr>
          <w:p>
            <w:pPr>
              <w:spacing w:after="0"/>
              <w:rPr>
                <w:sz w:val="20"/>
                <w:szCs w:val="20"/>
                <w:color w:val="auto"/>
              </w:rPr>
            </w:pPr>
          </w:p>
        </w:tc>
        <w:tc>
          <w:tcPr>
            <w:tcW w:w="18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6"/>
              </w:rPr>
              <w:t>Vest Type</w:t>
            </w:r>
          </w:p>
        </w:tc>
        <w:tc>
          <w:tcPr>
            <w:tcW w:w="2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Full Vest</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71"/>
        </w:trPr>
        <w:tc>
          <w:tcPr>
            <w:tcW w:w="236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3"/>
                <w:szCs w:val="23"/>
                <w:color w:val="auto"/>
              </w:rPr>
            </w:pPr>
          </w:p>
        </w:tc>
        <w:tc>
          <w:tcPr>
            <w:tcW w:w="2600" w:type="dxa"/>
            <w:vAlign w:val="bottom"/>
            <w:tcBorders>
              <w:bottom w:val="single" w:sz="8" w:color="C0C0C0"/>
            </w:tcBorders>
            <w:gridSpan w:val="3"/>
            <w:shd w:val="clear" w:color="auto" w:fill="C0C0C0"/>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3"/>
                <w:szCs w:val="23"/>
                <w:color w:val="auto"/>
              </w:rPr>
            </w:pPr>
          </w:p>
        </w:tc>
        <w:tc>
          <w:tcPr>
            <w:tcW w:w="30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236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6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77"/>
        </w:trPr>
        <w:tc>
          <w:tcPr>
            <w:tcW w:w="236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2600" w:type="dxa"/>
            <w:vAlign w:val="bottom"/>
            <w:tcBorders>
              <w:bottom w:val="single" w:sz="8" w:color="C0C0C0"/>
            </w:tcBorders>
            <w:gridSpan w:val="3"/>
            <w:shd w:val="clear" w:color="auto" w:fill="C0C0C0"/>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4"/>
                <w:szCs w:val="24"/>
                <w:color w:val="auto"/>
              </w:rPr>
            </w:pPr>
          </w:p>
        </w:tc>
        <w:tc>
          <w:tcPr>
            <w:tcW w:w="30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236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6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On Vest Date</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3340" w:type="dxa"/>
            <w:vAlign w:val="bottom"/>
            <w:gridSpan w:val="3"/>
          </w:tcPr>
          <w:p>
            <w:pPr>
              <w:ind w:left="20"/>
              <w:spacing w:after="0"/>
              <w:rPr>
                <w:sz w:val="20"/>
                <w:szCs w:val="20"/>
                <w:color w:val="auto"/>
              </w:rPr>
            </w:pPr>
            <w:r>
              <w:rPr>
                <w:rFonts w:ascii="Arial" w:cs="Arial" w:eastAsia="Arial" w:hAnsi="Arial"/>
                <w:sz w:val="18"/>
                <w:szCs w:val="18"/>
                <w:color w:val="auto"/>
                <w:w w:val="93"/>
              </w:rPr>
              <w:t>The Non-Qualified Stock Option expires on [</w:t>
            </w:r>
          </w:p>
        </w:tc>
        <w:tc>
          <w:tcPr>
            <w:tcW w:w="4400" w:type="dxa"/>
            <w:vAlign w:val="bottom"/>
            <w:gridSpan w:val="4"/>
          </w:tcPr>
          <w:p>
            <w:pPr>
              <w:ind w:left="440"/>
              <w:spacing w:after="0"/>
              <w:rPr>
                <w:sz w:val="20"/>
                <w:szCs w:val="20"/>
                <w:color w:val="auto"/>
              </w:rPr>
            </w:pPr>
            <w:r>
              <w:rPr>
                <w:rFonts w:ascii="Arial" w:cs="Arial" w:eastAsia="Arial" w:hAnsi="Arial"/>
                <w:sz w:val="18"/>
                <w:szCs w:val="18"/>
                <w:color w:val="auto"/>
              </w:rPr>
              <w:t>]*** (the “Expiration Date”).</w:t>
            </w:r>
          </w:p>
        </w:tc>
        <w:tc>
          <w:tcPr>
            <w:tcW w:w="3020" w:type="dxa"/>
            <w:vAlign w:val="bottom"/>
          </w:tcPr>
          <w:p>
            <w:pPr>
              <w:spacing w:after="0"/>
              <w:rPr>
                <w:sz w:val="24"/>
                <w:szCs w:val="24"/>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294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294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0" w:right="480" w:hanging="465"/>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2" w:lineRule="exact"/>
        <w:rPr>
          <w:rFonts w:ascii="Arial" w:cs="Arial" w:eastAsia="Arial" w:hAnsi="Arial"/>
          <w:sz w:val="17"/>
          <w:szCs w:val="17"/>
          <w:b w:val="1"/>
          <w:bCs w:val="1"/>
          <w:color w:val="auto"/>
        </w:rPr>
      </w:pPr>
    </w:p>
    <w:p>
      <w:pPr>
        <w:jc w:val="both"/>
        <w:ind w:firstLine="656"/>
        <w:spacing w:after="0" w:line="284" w:lineRule="auto"/>
        <w:tabs>
          <w:tab w:leader="none" w:pos="99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2" w:lineRule="exact"/>
        <w:rPr>
          <w:sz w:val="20"/>
          <w:szCs w:val="20"/>
          <w:color w:val="auto"/>
        </w:rPr>
      </w:pPr>
    </w:p>
    <w:p>
      <w:pPr>
        <w:jc w:val="both"/>
        <w:ind w:firstLine="656"/>
        <w:spacing w:after="0" w:line="265" w:lineRule="auto"/>
        <w:tabs>
          <w:tab w:leader="none" w:pos="10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 in effect on the date hereof), the Option shall continue to vest in installments as provided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as if the Grantee had continued to be employed by or provide services to the Employer.]</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avoidance of doubt and notwithstanding anything herein or in the </w:t>
      </w:r>
      <w:r>
        <w:rPr>
          <w:rFonts w:ascii="Arial" w:cs="Arial" w:eastAsia="Arial" w:hAnsi="Arial"/>
          <w:sz w:val="16"/>
          <w:szCs w:val="16"/>
          <w:i w:val="1"/>
          <w:iCs w:val="1"/>
          <w:color w:val="auto"/>
        </w:rPr>
        <w:t>Notice of Grant of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to the contrary, any outstanding and unvested portion of the Option shall become fully vested on the date of the Grantee’s death.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Section 2(b) are subject to (i) the provisions set forth in the </w:t>
      </w:r>
      <w:r>
        <w:rPr>
          <w:rFonts w:ascii="Arial" w:cs="Arial" w:eastAsia="Arial" w:hAnsi="Arial"/>
          <w:sz w:val="16"/>
          <w:szCs w:val="16"/>
          <w:i w:val="1"/>
          <w:iCs w:val="1"/>
          <w:color w:val="auto"/>
        </w:rPr>
        <w:t>Notice of Grant of Stock</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___________________________</w:t>
      </w:r>
    </w:p>
    <w:p>
      <w:pPr>
        <w:spacing w:after="0" w:line="234"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Only applicable to Option Agreements for George D. Yancopoulos, M.D., Ph.D.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Only applicable to Option Agreements for George D. Yancopoulos, M.D., Ph.D.</w:t>
      </w:r>
    </w:p>
    <w:p>
      <w:pPr>
        <w:sectPr>
          <w:pgSz w:w="11900" w:h="16838" w:orient="portrait"/>
          <w:cols w:equalWidth="0" w:num="1">
            <w:col w:w="11420"/>
          </w:cols>
          <w:pgMar w:left="240" w:top="589" w:right="239" w:bottom="1440" w:gutter="0" w:footer="0" w:header="0"/>
        </w:sectPr>
      </w:pPr>
    </w:p>
    <w:bookmarkStart w:id="133" w:name="page134"/>
    <w:bookmarkEnd w:id="133"/>
    <w:p>
      <w:pPr>
        <w:jc w:val="both"/>
        <w:spacing w:after="0" w:line="264"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or any employment agreement, consulting agreement, change in control agreement or plan, or similar agreement or plan in effect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Employer and the Grantee (or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19" w:lineRule="exact"/>
        <w:rPr>
          <w:sz w:val="20"/>
          <w:szCs w:val="20"/>
          <w:color w:val="auto"/>
        </w:rPr>
      </w:pPr>
    </w:p>
    <w:p>
      <w:pPr>
        <w:jc w:val="both"/>
        <w:ind w:left="80" w:firstLine="644"/>
        <w:spacing w:after="0" w:line="267" w:lineRule="auto"/>
        <w:tabs>
          <w:tab w:leader="none" w:pos="986"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Grantee being subject to the excise tax payable under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23" w:lineRule="exact"/>
        <w:rPr>
          <w:rFonts w:ascii="Arial" w:cs="Arial" w:eastAsia="Arial" w:hAnsi="Arial"/>
          <w:sz w:val="17"/>
          <w:szCs w:val="17"/>
          <w:color w:val="auto"/>
        </w:rPr>
      </w:pPr>
    </w:p>
    <w:p>
      <w:pPr>
        <w:jc w:val="both"/>
        <w:ind w:firstLine="656"/>
        <w:spacing w:after="0" w:line="217" w:lineRule="exact"/>
        <w:tabs>
          <w:tab w:leader="none" w:pos="97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2"/>
          <w:szCs w:val="22"/>
          <w:color w:val="auto"/>
          <w:vertAlign w:val="superscript"/>
        </w:rPr>
        <w:t>3</w:t>
      </w:r>
      <w:r>
        <w:rPr>
          <w:rFonts w:ascii="Arial" w:cs="Arial" w:eastAsia="Arial" w:hAnsi="Arial"/>
          <w:sz w:val="16"/>
          <w:szCs w:val="16"/>
          <w:color w:val="auto"/>
        </w:rPr>
        <w:t>, (C) one year after the termination if such termination is due to the Grantee’s [death or]</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8" w:lineRule="exact"/>
        <w:rPr>
          <w:sz w:val="20"/>
          <w:szCs w:val="20"/>
          <w:color w:val="auto"/>
        </w:rPr>
      </w:pPr>
    </w:p>
    <w:p>
      <w:pPr>
        <w:jc w:val="both"/>
        <w:ind w:firstLine="656"/>
        <w:spacing w:after="0" w:line="281" w:lineRule="auto"/>
        <w:tabs>
          <w:tab w:leader="none" w:pos="1097" w:val="left"/>
        </w:tabs>
        <w:numPr>
          <w:ilvl w:val="1"/>
          <w:numId w:val="5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w:t>
      </w:r>
    </w:p>
    <w:p>
      <w:pPr>
        <w:spacing w:after="0" w:line="2" w:lineRule="exact"/>
        <w:rPr>
          <w:rFonts w:ascii="Arial" w:cs="Arial" w:eastAsia="Arial" w:hAnsi="Arial"/>
          <w:sz w:val="16"/>
          <w:szCs w:val="16"/>
          <w:color w:val="auto"/>
        </w:rPr>
      </w:pPr>
    </w:p>
    <w:p>
      <w:pPr>
        <w:jc w:val="both"/>
        <w:ind w:firstLine="8"/>
        <w:spacing w:after="0" w:line="265" w:lineRule="auto"/>
        <w:tabs>
          <w:tab w:leader="none" w:pos="30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___________________________</w:t>
      </w:r>
    </w:p>
    <w:p>
      <w:pPr>
        <w:spacing w:after="0" w:line="9" w:lineRule="exact"/>
        <w:rPr>
          <w:rFonts w:ascii="Arial" w:cs="Arial" w:eastAsia="Arial" w:hAnsi="Arial"/>
          <w:sz w:val="17"/>
          <w:szCs w:val="17"/>
          <w:color w:val="auto"/>
        </w:rPr>
      </w:pPr>
    </w:p>
    <w:p>
      <w:pPr>
        <w:ind w:right="5540"/>
        <w:spacing w:after="0" w:line="362" w:lineRule="auto"/>
        <w:rPr>
          <w:rFonts w:ascii="Arial" w:cs="Arial" w:eastAsia="Arial" w:hAnsi="Arial"/>
          <w:sz w:val="17"/>
          <w:szCs w:val="17"/>
          <w:color w:val="auto"/>
        </w:rPr>
      </w:pPr>
      <w:r>
        <w:rPr>
          <w:rFonts w:ascii="Arial" w:cs="Arial" w:eastAsia="Arial" w:hAnsi="Arial"/>
          <w:sz w:val="22"/>
          <w:szCs w:val="22"/>
          <w:color w:val="auto"/>
          <w:vertAlign w:val="superscript"/>
        </w:rPr>
        <w:t>3</w:t>
      </w:r>
      <w:r>
        <w:rPr>
          <w:rFonts w:ascii="Arial" w:cs="Arial" w:eastAsia="Arial" w:hAnsi="Arial"/>
          <w:sz w:val="16"/>
          <w:szCs w:val="16"/>
          <w:color w:val="auto"/>
        </w:rPr>
        <w:t xml:space="preserve"> Only applicable to Option Agreements for George D. Yancopoulos, M.D., Ph.D. </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Not applicable to Option Agreements for George D. Yancopoulos, M.D., Ph.D.</w:t>
      </w:r>
    </w:p>
    <w:p>
      <w:pPr>
        <w:sectPr>
          <w:pgSz w:w="11900" w:h="16838" w:orient="portrait"/>
          <w:cols w:equalWidth="0" w:num="1">
            <w:col w:w="11420"/>
          </w:cols>
          <w:pgMar w:left="240" w:top="341" w:right="239" w:bottom="144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action or omission was in the best interest of the Employer. Any determination of Cause made prior to a Change in Control shall be made by the Committee in its sole discretion.</w:t>
      </w:r>
    </w:p>
    <w:p>
      <w:pPr>
        <w:spacing w:after="0" w:line="8" w:lineRule="exact"/>
        <w:rPr>
          <w:sz w:val="20"/>
          <w:szCs w:val="20"/>
          <w:color w:val="auto"/>
        </w:rPr>
      </w:pPr>
    </w:p>
    <w:p>
      <w:pPr>
        <w:jc w:val="both"/>
        <w:ind w:firstLine="656"/>
        <w:spacing w:after="0" w:line="284" w:lineRule="auto"/>
        <w:tabs>
          <w:tab w:leader="none" w:pos="10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has ended due to Dr. Schleifer’s Involuntary Termination (as defined in the Employment Agreement)]</w:t>
      </w:r>
      <w:r>
        <w:rPr>
          <w:rFonts w:ascii="Arial" w:cs="Arial" w:eastAsia="Arial" w:hAnsi="Arial"/>
          <w:sz w:val="22"/>
          <w:szCs w:val="22"/>
          <w:color w:val="auto"/>
          <w:vertAlign w:val="superscript"/>
        </w:rPr>
        <w:t>5</w:t>
      </w:r>
    </w:p>
    <w:p>
      <w:pPr>
        <w:jc w:val="both"/>
        <w:ind w:firstLine="656"/>
        <w:spacing w:after="0" w:line="252" w:lineRule="auto"/>
        <w:tabs>
          <w:tab w:leader="none" w:pos="103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86" w:lineRule="exact"/>
        <w:rPr>
          <w:rFonts w:ascii="Arial" w:cs="Arial" w:eastAsia="Arial" w:hAnsi="Arial"/>
          <w:sz w:val="18"/>
          <w:szCs w:val="18"/>
          <w:b w:val="1"/>
          <w:bCs w:val="1"/>
          <w:color w:val="auto"/>
        </w:rPr>
      </w:pPr>
    </w:p>
    <w:p>
      <w:pPr>
        <w:jc w:val="both"/>
        <w:ind w:firstLine="656"/>
        <w:spacing w:after="0" w:line="281" w:lineRule="auto"/>
        <w:tabs>
          <w:tab w:leader="none" w:pos="977"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7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Only applicable to Option Agreements for George D. Yancopoulos, M.D., Ph.D.</w:t>
      </w:r>
    </w:p>
    <w:p>
      <w:pPr>
        <w:sectPr>
          <w:pgSz w:w="11900" w:h="16838" w:orient="portrait"/>
          <w:cols w:equalWidth="0" w:num="1">
            <w:col w:w="11420"/>
          </w:cols>
          <w:pgMar w:left="240" w:top="34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construed and administered in accordance with the laws of the State of New York without reference to its principles of conflicts of law.</w:t>
      </w:r>
    </w:p>
    <w:p>
      <w:pPr>
        <w:spacing w:after="0" w:line="113" w:lineRule="exact"/>
        <w:rPr>
          <w:sz w:val="20"/>
          <w:szCs w:val="20"/>
          <w:color w:val="auto"/>
        </w:rPr>
      </w:pPr>
    </w:p>
    <w:p>
      <w:pPr>
        <w:jc w:val="both"/>
        <w:ind w:firstLine="656"/>
        <w:spacing w:after="0" w:line="266" w:lineRule="auto"/>
        <w:tabs>
          <w:tab w:leader="none" w:pos="103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1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420"/>
          </w:cols>
          <w:pgMar w:left="240" w:top="449"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10.2.18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294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00" w:type="dxa"/>
            <w:vAlign w:val="bottom"/>
            <w:gridSpan w:val="4"/>
          </w:tcPr>
          <w:p>
            <w:pPr>
              <w:ind w:left="76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Time-Based Vesting</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31"/>
        </w:trPr>
        <w:tc>
          <w:tcPr>
            <w:tcW w:w="4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Plan:</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ID:</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4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5"/>
              </w:rPr>
              <w:t>The total option price of the shares granted is $[   ].</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2"/>
        </w:trPr>
        <w:tc>
          <w:tcPr>
            <w:tcW w:w="6500" w:type="dxa"/>
            <w:vAlign w:val="bottom"/>
            <w:gridSpan w:val="7"/>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6"/>
              </w:rPr>
              <w:t>Vest Type</w:t>
            </w: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Full Vest</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71"/>
        </w:trPr>
        <w:tc>
          <w:tcPr>
            <w:tcW w:w="580" w:type="dxa"/>
            <w:vAlign w:val="bottom"/>
          </w:tcPr>
          <w:p>
            <w:pPr>
              <w:spacing w:after="0"/>
              <w:rPr>
                <w:sz w:val="23"/>
                <w:szCs w:val="23"/>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3"/>
                <w:szCs w:val="23"/>
                <w:color w:val="auto"/>
              </w:rPr>
            </w:pPr>
          </w:p>
        </w:tc>
        <w:tc>
          <w:tcPr>
            <w:tcW w:w="640" w:type="dxa"/>
            <w:vAlign w:val="bottom"/>
            <w:tcBorders>
              <w:bottom w:val="single" w:sz="8" w:color="C0C0C0"/>
            </w:tcBorders>
            <w:shd w:val="clear" w:color="auto" w:fill="C0C0C0"/>
          </w:tcPr>
          <w:p>
            <w:pPr>
              <w:spacing w:after="0"/>
              <w:rPr>
                <w:sz w:val="23"/>
                <w:szCs w:val="23"/>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3"/>
                <w:szCs w:val="23"/>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4"/>
                <w:szCs w:val="24"/>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w w:val="93"/>
              </w:rPr>
              <w:t>The Non-Qualified Stock Option expires on [</w:t>
            </w:r>
          </w:p>
        </w:tc>
        <w:tc>
          <w:tcPr>
            <w:tcW w:w="2580" w:type="dxa"/>
            <w:vAlign w:val="bottom"/>
            <w:gridSpan w:val="3"/>
          </w:tcPr>
          <w:p>
            <w:pPr>
              <w:ind w:left="460"/>
              <w:spacing w:after="0"/>
              <w:rPr>
                <w:sz w:val="20"/>
                <w:szCs w:val="20"/>
                <w:color w:val="auto"/>
              </w:rPr>
            </w:pPr>
            <w:r>
              <w:rPr>
                <w:rFonts w:ascii="Arial" w:cs="Arial" w:eastAsia="Arial" w:hAnsi="Arial"/>
                <w:sz w:val="18"/>
                <w:szCs w:val="18"/>
                <w:color w:val="auto"/>
                <w:w w:val="98"/>
              </w:rPr>
              <w:t>]*** (the “Expiration Date”).</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4"/>
        </w:trPr>
        <w:tc>
          <w:tcPr>
            <w:tcW w:w="3060" w:type="dxa"/>
            <w:vAlign w:val="bottom"/>
            <w:gridSpan w:val="2"/>
          </w:tcPr>
          <w:p>
            <w:pPr>
              <w:jc w:val="right"/>
              <w:ind w:right="750"/>
              <w:spacing w:after="0"/>
              <w:rPr>
                <w:sz w:val="20"/>
                <w:szCs w:val="20"/>
                <w:color w:val="auto"/>
              </w:rPr>
            </w:pPr>
            <w:r>
              <w:rPr>
                <w:rFonts w:ascii="Arial" w:cs="Arial" w:eastAsia="Arial" w:hAnsi="Arial"/>
                <w:sz w:val="22"/>
                <w:szCs w:val="22"/>
                <w:color w:val="auto"/>
                <w:w w:val="89"/>
              </w:rPr>
              <w:t>____________________</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294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00" w:right="120" w:hanging="465"/>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pacing w:after="0" w:line="305" w:lineRule="exact"/>
        <w:rPr>
          <w:rFonts w:ascii="Arial" w:cs="Arial" w:eastAsia="Arial" w:hAnsi="Arial"/>
          <w:sz w:val="18"/>
          <w:szCs w:val="18"/>
          <w:color w:val="auto"/>
        </w:rPr>
      </w:pPr>
    </w:p>
    <w:p>
      <w:pPr>
        <w:ind w:left="500" w:hanging="465"/>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WHEREAS, the Committee (or the person or persons to whom the Committee has delegated the relevant authority pursuant to Section 4 of the Plan (as defined below) (the Committee or such person or persons being referred to in this Agreement as the “</w:t>
      </w:r>
      <w:r>
        <w:rPr>
          <w:rFonts w:ascii="Arial" w:cs="Arial" w:eastAsia="Arial" w:hAnsi="Arial"/>
          <w:sz w:val="17"/>
          <w:szCs w:val="17"/>
          <w:u w:val="single" w:color="auto"/>
          <w:color w:val="auto"/>
        </w:rPr>
        <w:t>Committee</w:t>
      </w:r>
      <w:r>
        <w:rPr>
          <w:rFonts w:ascii="Arial" w:cs="Arial" w:eastAsia="Arial" w:hAnsi="Arial"/>
          <w:sz w:val="17"/>
          <w:szCs w:val="17"/>
          <w:color w:val="auto"/>
        </w:rPr>
        <w:t>”)) administering the Amended and Restated Regeneron Pharmaceuticals, Inc. 2014 Long</w:t>
      </w:r>
      <w:r>
        <w:rPr>
          <w:rFonts w:ascii="MS PGothic" w:cs="MS PGothic" w:eastAsia="MS PGothic" w:hAnsi="MS PGothic"/>
          <w:sz w:val="17"/>
          <w:szCs w:val="17"/>
          <w:color w:val="auto"/>
        </w:rPr>
        <w:t>‑</w:t>
      </w:r>
      <w:r>
        <w:rPr>
          <w:rFonts w:ascii="Arial" w:cs="Arial" w:eastAsia="Arial" w:hAnsi="Arial"/>
          <w:sz w:val="17"/>
          <w:szCs w:val="17"/>
          <w:color w:val="auto"/>
        </w:rPr>
        <w:t>Term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has granted (as of the effective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Grantee a Stock Option to purchase the number of shares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as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7"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57" w:lineRule="exact"/>
        <w:rPr>
          <w:sz w:val="20"/>
          <w:szCs w:val="20"/>
          <w:color w:val="auto"/>
        </w:rPr>
      </w:pPr>
    </w:p>
    <w:p>
      <w:pPr>
        <w:jc w:val="both"/>
        <w:ind w:left="80" w:firstLine="563"/>
        <w:spacing w:after="0" w:line="269"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 in effect on the date hereof), the Option shall continue to vest in installments as provided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continued to be employed by or provide services to the Employer. For the avoidance of doubt and notwithstanding anything herein or in the </w:t>
      </w:r>
      <w:r>
        <w:rPr>
          <w:rFonts w:ascii="Arial" w:cs="Arial" w:eastAsia="Arial" w:hAnsi="Arial"/>
          <w:sz w:val="17"/>
          <w:szCs w:val="17"/>
          <w:i w:val="1"/>
          <w:iCs w:val="1"/>
          <w:color w:val="auto"/>
        </w:rPr>
        <w:t>Notice of Grant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Stock Options </w:t>
      </w:r>
      <w:r>
        <w:rPr>
          <w:rFonts w:ascii="Arial" w:cs="Arial" w:eastAsia="Arial" w:hAnsi="Arial"/>
          <w:sz w:val="17"/>
          <w:szCs w:val="17"/>
          <w:color w:val="auto"/>
        </w:rPr>
        <w:t>to the contrary, any outstanding and unvested portion of the Option shall become fully vested on the date of the Grantee’s death.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this Section 2(b) are subject to (i) the provisions set forth in the</w:t>
      </w:r>
    </w:p>
    <w:p>
      <w:pPr>
        <w:sectPr>
          <w:pgSz w:w="11900" w:h="16838" w:orient="portrait"/>
          <w:cols w:equalWidth="0" w:num="1">
            <w:col w:w="11420"/>
          </w:cols>
          <w:pgMar w:left="240" w:top="333" w:right="239" w:bottom="1440" w:gutter="0" w:footer="0" w:header="0"/>
        </w:sectPr>
      </w:pPr>
    </w:p>
    <w:bookmarkStart w:id="138" w:name="page139"/>
    <w:bookmarkEnd w:id="138"/>
    <w:p>
      <w:pPr>
        <w:jc w:val="both"/>
        <w:spacing w:after="0" w:line="264" w:lineRule="auto"/>
        <w:rPr>
          <w:sz w:val="20"/>
          <w:szCs w:val="20"/>
          <w:color w:val="auto"/>
        </w:rPr>
      </w:pPr>
      <w:r>
        <w:rPr>
          <w:rFonts w:ascii="Arial" w:cs="Arial" w:eastAsia="Arial" w:hAnsi="Arial"/>
          <w:sz w:val="18"/>
          <w:szCs w:val="18"/>
          <w:i w:val="1"/>
          <w:iCs w:val="1"/>
          <w:color w:val="auto"/>
        </w:rPr>
        <w:t xml:space="preserve">Notice of Grant of Stock Options </w:t>
      </w:r>
      <w:r>
        <w:rPr>
          <w:rFonts w:ascii="Arial" w:cs="Arial" w:eastAsia="Arial" w:hAnsi="Arial"/>
          <w:sz w:val="18"/>
          <w:szCs w:val="18"/>
          <w:color w:val="auto"/>
        </w:rPr>
        <w:t>or any employment agreement, consulting agreement or similar agreement in effect between the Employer and the Grantee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73" w:lineRule="exact"/>
        <w:rPr>
          <w:sz w:val="20"/>
          <w:szCs w:val="20"/>
          <w:color w:val="auto"/>
        </w:rPr>
      </w:pPr>
    </w:p>
    <w:p>
      <w:pPr>
        <w:jc w:val="both"/>
        <w:ind w:firstLine="644"/>
        <w:spacing w:after="0" w:line="286" w:lineRule="auto"/>
        <w:tabs>
          <w:tab w:leader="none" w:pos="893"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91" w:lineRule="exact"/>
        <w:rPr>
          <w:rFonts w:ascii="Arial" w:cs="Arial" w:eastAsia="Arial" w:hAnsi="Arial"/>
          <w:sz w:val="16"/>
          <w:szCs w:val="16"/>
          <w:color w:val="auto"/>
        </w:rPr>
      </w:pPr>
    </w:p>
    <w:p>
      <w:pPr>
        <w:jc w:val="both"/>
        <w:ind w:left="-80" w:firstLine="656"/>
        <w:spacing w:after="0" w:line="256" w:lineRule="exact"/>
        <w:tabs>
          <w:tab w:leader="none" w:pos="892"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10" w:lineRule="exact"/>
        <w:rPr>
          <w:sz w:val="20"/>
          <w:szCs w:val="20"/>
          <w:color w:val="auto"/>
        </w:rPr>
      </w:pPr>
    </w:p>
    <w:p>
      <w:pPr>
        <w:jc w:val="both"/>
        <w:ind w:left="-80" w:firstLine="656"/>
        <w:spacing w:after="0" w:line="286" w:lineRule="auto"/>
        <w:tabs>
          <w:tab w:leader="none" w:pos="1426"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60" w:lineRule="exact"/>
        <w:rPr>
          <w:sz w:val="20"/>
          <w:szCs w:val="20"/>
          <w:color w:val="auto"/>
        </w:rPr>
      </w:pPr>
    </w:p>
    <w:p>
      <w:pPr>
        <w:jc w:val="both"/>
        <w:ind w:left="-80" w:firstLine="656"/>
        <w:spacing w:after="0" w:line="274" w:lineRule="auto"/>
        <w:tabs>
          <w:tab w:leader="none" w:pos="958"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Option. </w:t>
      </w:r>
      <w:r>
        <w:rPr>
          <w:rFonts w:ascii="Arial" w:cs="Arial" w:eastAsia="Arial" w:hAnsi="Arial"/>
          <w:sz w:val="17"/>
          <w:szCs w:val="17"/>
          <w:color w:val="auto"/>
        </w:rPr>
        <w:t>The Option granted hereby shall not be transferable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w:t>
      </w:r>
    </w:p>
    <w:p>
      <w:pPr>
        <w:sectPr>
          <w:pgSz w:w="11900" w:h="16838" w:orient="portrait"/>
          <w:cols w:equalWidth="0" w:num="1">
            <w:col w:w="11340"/>
          </w:cols>
          <w:pgMar w:left="320" w:top="449" w:right="239" w:bottom="1440" w:gutter="0" w:footer="0" w:header="0"/>
        </w:sectPr>
      </w:pPr>
    </w:p>
    <w:bookmarkStart w:id="139" w:name="page140"/>
    <w:bookmarkEnd w:id="139"/>
    <w:p>
      <w:pPr>
        <w:jc w:val="both"/>
        <w:spacing w:after="0" w:line="259" w:lineRule="auto"/>
        <w:rPr>
          <w:sz w:val="20"/>
          <w:szCs w:val="20"/>
          <w:color w:val="auto"/>
        </w:rPr>
      </w:pPr>
      <w:r>
        <w:rPr>
          <w:rFonts w:ascii="Arial" w:cs="Arial" w:eastAsia="Arial" w:hAnsi="Arial"/>
          <w:sz w:val="18"/>
          <w:szCs w:val="18"/>
          <w:color w:val="auto"/>
        </w:rPr>
        <w:t xml:space="preserve">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5" w:lineRule="exact"/>
        <w:rPr>
          <w:sz w:val="20"/>
          <w:szCs w:val="20"/>
          <w:color w:val="auto"/>
        </w:rPr>
      </w:pPr>
    </w:p>
    <w:p>
      <w:pPr>
        <w:jc w:val="both"/>
        <w:ind w:firstLine="656"/>
        <w:spacing w:after="0" w:line="281" w:lineRule="auto"/>
        <w:tabs>
          <w:tab w:leader="none" w:pos="979"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420"/>
          </w:cols>
          <w:pgMar w:left="240" w:top="449"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10.2.19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294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3">
            <w:col w:w="5420" w:space="60"/>
            <w:col w:w="60" w:space="600"/>
            <w:col w:w="52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Notice of Grant of Award and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777 Old Saw Mill River Road</w:t>
      </w:r>
    </w:p>
    <w:p>
      <w:pPr>
        <w:spacing w:after="0" w:line="98"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Arial" w:cs="Arial" w:eastAsia="Arial" w:hAnsi="Arial"/>
          <w:sz w:val="16"/>
          <w:szCs w:val="16"/>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424180</wp:posOffset>
            </wp:positionV>
            <wp:extent cx="72294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RSA Number:</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297"/>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[ADDRESS]</w:t>
            </w: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Plan:</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297"/>
        </w:trPr>
        <w:tc>
          <w:tcPr>
            <w:tcW w:w="3080" w:type="dxa"/>
            <w:vAlign w:val="bottom"/>
          </w:tcPr>
          <w:p>
            <w:pPr>
              <w:spacing w:after="0"/>
              <w:rPr>
                <w:sz w:val="24"/>
                <w:szCs w:val="24"/>
                <w:color w:val="auto"/>
              </w:rPr>
            </w:pP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ID:</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321"/>
        </w:trPr>
        <w:tc>
          <w:tcPr>
            <w:tcW w:w="30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Effective &lt;date&gt; (the “Grant Date”) you have been granted an award of [</w:t>
      </w:r>
      <w:r>
        <w:rPr>
          <w:sz w:val="20"/>
          <w:szCs w:val="20"/>
          <w:color w:val="auto"/>
        </w:rPr>
        <w:tab/>
      </w:r>
      <w:r>
        <w:rPr>
          <w:rFonts w:ascii="Arial" w:cs="Arial" w:eastAsia="Arial" w:hAnsi="Arial"/>
          <w:sz w:val="16"/>
          <w:szCs w:val="16"/>
          <w:color w:val="auto"/>
        </w:rPr>
        <w:t>] shares of Regeneron Pharmaceuticals, Inc. (the “Company”)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shares are restricted until the vest date(s) shown below.</w:t>
      </w:r>
    </w:p>
    <w:p>
      <w:pPr>
        <w:spacing w:after="0" w:line="185"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date(s) shown.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Shares</w:t>
            </w:r>
          </w:p>
        </w:tc>
        <w:tc>
          <w:tcPr>
            <w:tcW w:w="5440" w:type="dxa"/>
            <w:vAlign w:val="bottom"/>
            <w:tcBorders>
              <w:bottom w:val="single" w:sz="8" w:color="auto"/>
            </w:tcBorders>
          </w:tcPr>
          <w:p>
            <w:pPr>
              <w:spacing w:after="0"/>
              <w:rPr>
                <w:sz w:val="15"/>
                <w:szCs w:val="15"/>
                <w:color w:val="auto"/>
              </w:rPr>
            </w:pPr>
          </w:p>
        </w:tc>
        <w:tc>
          <w:tcPr>
            <w:tcW w:w="340" w:type="dxa"/>
            <w:vAlign w:val="bottom"/>
            <w:tcBorders>
              <w:bottom w:val="single" w:sz="8" w:color="C0C0C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jc w:val="right"/>
              <w:ind w:right="2081"/>
              <w:spacing w:after="0"/>
              <w:rPr>
                <w:sz w:val="20"/>
                <w:szCs w:val="20"/>
                <w:color w:val="auto"/>
              </w:rPr>
            </w:pPr>
            <w:r>
              <w:rPr>
                <w:rFonts w:ascii="Arial" w:cs="Arial" w:eastAsia="Arial" w:hAnsi="Arial"/>
                <w:sz w:val="14"/>
                <w:szCs w:val="14"/>
                <w:b w:val="1"/>
                <w:bCs w:val="1"/>
                <w:color w:val="auto"/>
              </w:rPr>
              <w:t>Full Vest Date</w:t>
            </w:r>
          </w:p>
        </w:tc>
      </w:tr>
      <w:tr>
        <w:trPr>
          <w:trHeight w:val="243"/>
        </w:trPr>
        <w:tc>
          <w:tcPr>
            <w:tcW w:w="52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0C0C0"/>
          </w:tcPr>
          <w:p>
            <w:pPr>
              <w:jc w:val="right"/>
              <w:ind w:right="5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260" w:type="dxa"/>
            <w:vAlign w:val="bottom"/>
            <w:shd w:val="clear" w:color="auto" w:fill="C0C0C0"/>
          </w:tcPr>
          <w:p>
            <w:pPr>
              <w:jc w:val="right"/>
              <w:ind w:right="90"/>
              <w:spacing w:after="0"/>
              <w:rPr>
                <w:sz w:val="20"/>
                <w:szCs w:val="20"/>
                <w:color w:val="auto"/>
              </w:rPr>
            </w:pPr>
            <w:r>
              <w:rPr>
                <w:rFonts w:ascii="Arial" w:cs="Arial" w:eastAsia="Arial" w:hAnsi="Arial"/>
                <w:sz w:val="18"/>
                <w:szCs w:val="18"/>
                <w:color w:val="auto"/>
              </w:rPr>
              <w:t>[</w:t>
            </w:r>
          </w:p>
        </w:tc>
        <w:tc>
          <w:tcPr>
            <w:tcW w:w="4860" w:type="dxa"/>
            <w:vAlign w:val="bottom"/>
            <w:shd w:val="clear" w:color="auto" w:fill="C0C0C0"/>
          </w:tcPr>
          <w:p>
            <w:pPr>
              <w:jc w:val="right"/>
              <w:ind w:right="4441"/>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shd w:val="clear" w:color="auto" w:fill="C0C0C0"/>
          </w:tcPr>
          <w:p>
            <w:pPr>
              <w:spacing w:after="0"/>
              <w:rPr>
                <w:sz w:val="2"/>
                <w:szCs w:val="2"/>
                <w:color w:val="auto"/>
              </w:rPr>
            </w:pPr>
          </w:p>
        </w:tc>
        <w:tc>
          <w:tcPr>
            <w:tcW w:w="5440" w:type="dxa"/>
            <w:vAlign w:val="bottom"/>
            <w:shd w:val="clear" w:color="auto" w:fill="C0C0C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4860" w:type="dxa"/>
            <w:vAlign w:val="bottom"/>
            <w:shd w:val="clear" w:color="auto" w:fill="C0C0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294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40"/>
        <w:spacing w:after="0" w:line="264"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Amended and Restated Regeneron Pharmaceuticals, Inc. 2014 Long Term Incentive Plan, as amended from time to time, and the enclosed Restricted Stock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59" w:lineRule="exact"/>
        <w:rPr>
          <w:sz w:val="20"/>
          <w:szCs w:val="20"/>
          <w:color w:val="auto"/>
        </w:rPr>
      </w:pPr>
    </w:p>
    <w:p>
      <w:pPr>
        <w:ind w:left="380" w:right="260" w:hanging="156"/>
        <w:spacing w:after="0" w:line="216" w:lineRule="auto"/>
        <w:tabs>
          <w:tab w:leader="none" w:pos="380" w:val="left"/>
        </w:tabs>
        <w:numPr>
          <w:ilvl w:val="0"/>
          <w:numId w:val="65"/>
        </w:numPr>
        <w:rPr>
          <w:rFonts w:ascii="Arial" w:cs="Arial" w:eastAsia="Arial" w:hAnsi="Arial"/>
          <w:sz w:val="25"/>
          <w:szCs w:val="25"/>
          <w:color w:val="auto"/>
          <w:vertAlign w:val="subscript"/>
        </w:rPr>
      </w:pPr>
      <w:r>
        <w:rPr>
          <w:rFonts w:ascii="Arial" w:cs="Arial" w:eastAsia="Arial" w:hAnsi="Arial"/>
          <w:sz w:val="18"/>
          <w:szCs w:val="18"/>
          <w:color w:val="auto"/>
        </w:rPr>
        <w:t>Awards designated as annual awards will vest 50% on the second anniversary of the Grant Date and 50% on the fourth anniversary of the Grant Date. Awards designated as special awards will vest in their entirety on the fourth anniversary of the Grant Date.</w:t>
      </w:r>
    </w:p>
    <w:p>
      <w:pPr>
        <w:sectPr>
          <w:pgSz w:w="11900" w:h="16838" w:orient="portrait"/>
          <w:cols w:equalWidth="0" w:num="1">
            <w:col w:w="11420"/>
          </w:cols>
          <w:pgMar w:left="240" w:top="125"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330" w:lineRule="exact"/>
        <w:rPr>
          <w:sz w:val="20"/>
          <w:szCs w:val="20"/>
          <w:color w:val="auto"/>
        </w:rPr>
      </w:pPr>
    </w:p>
    <w:p>
      <w:pPr>
        <w:jc w:val="both"/>
        <w:ind w:firstLine="1297"/>
        <w:spacing w:after="0" w:line="344"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to the Recipient the shares of Restricted Stock as set forth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1305"/>
        <w:spacing w:after="0" w:line="281" w:lineRule="auto"/>
        <w:tabs>
          <w:tab w:leader="none" w:pos="20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Pursuant to Section 8 of the Plan, the Company grants to the Recipient, subject to the terms and conditions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Plan and subject further to the terms and conditions set forth herein, the number of shares of Restricted Stock as shown on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Restricted Stock</w:t>
      </w:r>
      <w:r>
        <w:rPr>
          <w:rFonts w:ascii="Arial" w:cs="Arial" w:eastAsia="Arial" w:hAnsi="Arial"/>
          <w:sz w:val="17"/>
          <w:szCs w:val="17"/>
          <w:color w:val="auto"/>
        </w:rPr>
        <w:t>. The Participant’s grant and record of Restricted Stock share ownership shall be kept on the books of the Company until the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have lapsed. At the Recipient’s request, vested shares may be evidenced by stock certificates or book-entry registration.</w:t>
      </w:r>
    </w:p>
    <w:p>
      <w:pPr>
        <w:spacing w:after="0" w:line="56" w:lineRule="exact"/>
        <w:rPr>
          <w:rFonts w:ascii="Arial" w:cs="Arial" w:eastAsia="Arial" w:hAnsi="Arial"/>
          <w:sz w:val="17"/>
          <w:szCs w:val="17"/>
          <w:color w:val="auto"/>
        </w:rPr>
      </w:pPr>
    </w:p>
    <w:p>
      <w:pPr>
        <w:jc w:val="both"/>
        <w:ind w:firstLine="1305"/>
        <w:spacing w:after="0" w:line="266" w:lineRule="auto"/>
        <w:tabs>
          <w:tab w:leader="none" w:pos="1665"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(a) The shares of Restricted Stock granted to the Recipient shall vest in installments as provided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Restricted Stock</w:t>
      </w:r>
      <w:r>
        <w:rPr>
          <w:rFonts w:ascii="Arial" w:cs="Arial" w:eastAsia="Arial" w:hAnsi="Arial"/>
          <w:sz w:val="16"/>
          <w:szCs w:val="16"/>
          <w:color w:val="auto"/>
        </w:rPr>
        <w:t>. The vesting schedule in the</w:t>
      </w:r>
      <w:r>
        <w:rPr>
          <w:rFonts w:ascii="Arial" w:cs="Arial" w:eastAsia="Arial" w:hAnsi="Arial"/>
          <w:sz w:val="16"/>
          <w:szCs w:val="16"/>
          <w:i w:val="1"/>
          <w:iCs w:val="1"/>
          <w:color w:val="auto"/>
        </w:rPr>
        <w:t xml:space="preserve"> Notice of Grant of Restricted Stock </w:t>
      </w:r>
      <w:r>
        <w:rPr>
          <w:rFonts w:ascii="Arial" w:cs="Arial" w:eastAsia="Arial" w:hAnsi="Arial"/>
          <w:sz w:val="16"/>
          <w:szCs w:val="16"/>
          <w:color w:val="auto"/>
        </w:rPr>
        <w:t>indicates each date upon which the restrictions on transfer on the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Restricted Stock shall lapse, entitling the Recipient to freely transfer such shares, provided that the Recipient has not [(except with respect to retirement on the terms set forth below)]</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incurred a termination of employment with the Company and all Subsidiaries (the Company and its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There shall be no proportionate or partial vesting in the periods between the Full Vest Dates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and all vesting shall occur only on such Full Vest Dates. No vesting shall occur after the termination of the Recipient’s employment with the Employer for any reason [(except with respect to retirement on the terms set forth below)]</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The provisions of this Section 2(a) are subject to (i) the provisions set forth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and (ii) the Committee’s determination in accordance with Section 8(h) of the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Only applicable to Restricted Stock Agreements for George D. Yancopoulos, M.D., Ph.D.</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Only applicable to Restricted Stock Agreements for George D. Yancopoulos, M.D., Ph.D.</w:t>
      </w:r>
    </w:p>
    <w:p>
      <w:pPr>
        <w:sectPr>
          <w:pgSz w:w="11900" w:h="16838" w:orient="portrait"/>
          <w:cols w:equalWidth="0" w:num="1">
            <w:col w:w="11420"/>
          </w:cols>
          <w:pgMar w:left="240" w:top="589" w:right="239" w:bottom="1440" w:gutter="0" w:footer="0" w:header="0"/>
        </w:sectPr>
      </w:pPr>
    </w:p>
    <w:bookmarkStart w:id="142" w:name="page143"/>
    <w:bookmarkEnd w:id="142"/>
    <w:p>
      <w:pPr>
        <w:jc w:val="both"/>
        <w:ind w:firstLine="8"/>
        <w:spacing w:after="0" w:line="285" w:lineRule="auto"/>
        <w:tabs>
          <w:tab w:leader="none" w:pos="4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the Restricted Stock granted to Recipient shall be fully vested on the date the Recipient’s 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Stock</w:t>
      </w:r>
      <w:r>
        <w:rPr>
          <w:rFonts w:ascii="Arial" w:cs="Arial" w:eastAsia="Arial" w:hAnsi="Arial"/>
          <w:sz w:val="16"/>
          <w:szCs w:val="16"/>
          <w:color w:val="auto"/>
        </w:rPr>
        <w:t>, if the application of the provision in the foregoing sentence, similar provisions in other stock option or restricted stock grants,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benefits payable to the Recipient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62" w:lineRule="exact"/>
        <w:rPr>
          <w:rFonts w:ascii="Arial" w:cs="Arial" w:eastAsia="Arial" w:hAnsi="Arial"/>
          <w:sz w:val="16"/>
          <w:szCs w:val="16"/>
          <w:color w:val="auto"/>
        </w:rPr>
      </w:pPr>
    </w:p>
    <w:p>
      <w:pPr>
        <w:jc w:val="both"/>
        <w:ind w:firstLine="8"/>
        <w:spacing w:after="0" w:line="288" w:lineRule="auto"/>
        <w:tabs>
          <w:tab w:leader="none" w:pos="41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“cause” (or words of like import))</w:t>
      </w: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“cause” (or words of like import), as defined under such agreement or plan. For purposes of this Section 2(c),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78" w:lineRule="exact"/>
        <w:rPr>
          <w:rFonts w:ascii="Arial" w:cs="Arial" w:eastAsia="Arial" w:hAnsi="Arial"/>
          <w:sz w:val="16"/>
          <w:szCs w:val="16"/>
          <w:color w:val="auto"/>
        </w:rPr>
      </w:pPr>
    </w:p>
    <w:p>
      <w:pPr>
        <w:jc w:val="both"/>
        <w:ind w:firstLine="8"/>
        <w:spacing w:after="0" w:line="272" w:lineRule="auto"/>
        <w:tabs>
          <w:tab w:leader="none" w:pos="426" w:val="left"/>
        </w:tabs>
        <w:numPr>
          <w:ilvl w:val="0"/>
          <w:numId w:val="67"/>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w:t>
      </w:r>
    </w:p>
    <w:p>
      <w:pPr>
        <w:sectPr>
          <w:pgSz w:w="11900" w:h="16838" w:orient="portrait"/>
          <w:cols w:equalWidth="0" w:num="1">
            <w:col w:w="11420"/>
          </w:cols>
          <w:pgMar w:left="240" w:top="449" w:right="239" w:bottom="1440" w:gutter="0" w:footer="0" w:header="0"/>
        </w:sectPr>
      </w:pPr>
    </w:p>
    <w:bookmarkStart w:id="143" w:name="page144"/>
    <w:bookmarkEnd w:id="143"/>
    <w:p>
      <w:pPr>
        <w:jc w:val="both"/>
        <w:spacing w:after="0" w:line="267" w:lineRule="auto"/>
        <w:rPr>
          <w:sz w:val="20"/>
          <w:szCs w:val="20"/>
          <w:color w:val="auto"/>
        </w:rPr>
      </w:pPr>
      <w:r>
        <w:rPr>
          <w:rFonts w:ascii="Arial" w:cs="Arial" w:eastAsia="Arial" w:hAnsi="Arial"/>
          <w:sz w:val="17"/>
          <w:szCs w:val="17"/>
          <w:color w:val="auto"/>
        </w:rPr>
        <w:t xml:space="preserve">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that defines “good reason” (or words of like import), as defined under such agreement or plan[;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4"/>
          <w:szCs w:val="24"/>
          <w:color w:val="auto"/>
          <w:vertAlign w:val="superscript"/>
        </w:rPr>
        <w:t>3</w:t>
      </w:r>
      <w:r>
        <w:rPr>
          <w:rFonts w:ascii="Arial" w:cs="Arial" w:eastAsia="Arial" w:hAnsi="Arial"/>
          <w:sz w:val="17"/>
          <w:szCs w:val="17"/>
          <w:color w:val="auto"/>
        </w:rPr>
        <w:t>.</w:t>
      </w:r>
    </w:p>
    <w:p>
      <w:pPr>
        <w:spacing w:after="0" w:line="5" w:lineRule="exact"/>
        <w:rPr>
          <w:sz w:val="20"/>
          <w:szCs w:val="20"/>
          <w:color w:val="auto"/>
        </w:rPr>
      </w:pPr>
    </w:p>
    <w:p>
      <w:pPr>
        <w:jc w:val="both"/>
        <w:ind w:firstLine="1305"/>
        <w:spacing w:after="0" w:line="229" w:lineRule="auto"/>
        <w:tabs>
          <w:tab w:leader="none" w:pos="162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2(b) hereof and as a result of Recipient’s [retirement on the terms set forth below or]</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xml:space="preserve">”). [Notwithstanding the preceding sentence, upon the Recipient’s retirement (as defined in the Company’s employee handbook as in effect on the date hereof), shares of Restricted Stock granted to the Recipient shall continue to vest in installments as provided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as if the Recipient had continued to be employed by or provide services to the Employer.]</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94" w:lineRule="exact"/>
        <w:rPr>
          <w:rFonts w:ascii="Arial" w:cs="Arial" w:eastAsia="Arial" w:hAnsi="Arial"/>
          <w:sz w:val="18"/>
          <w:szCs w:val="18"/>
          <w:color w:val="auto"/>
        </w:rPr>
      </w:pPr>
    </w:p>
    <w:p>
      <w:pPr>
        <w:ind w:firstLine="1305"/>
        <w:spacing w:after="0" w:line="282" w:lineRule="auto"/>
        <w:tabs>
          <w:tab w:leader="none" w:pos="165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Unvested Shares may not be transferred or otherwise disposed of by the Recipient including by way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assignment, transfer, pledge, hypothecation or otherwise, except as permitted by the Committee in its sole discretion.</w:t>
      </w:r>
    </w:p>
    <w:p>
      <w:pPr>
        <w:spacing w:after="0" w:line="53" w:lineRule="exact"/>
        <w:rPr>
          <w:rFonts w:ascii="Arial" w:cs="Arial" w:eastAsia="Arial" w:hAnsi="Arial"/>
          <w:sz w:val="18"/>
          <w:szCs w:val="18"/>
          <w:color w:val="auto"/>
        </w:rPr>
      </w:pPr>
    </w:p>
    <w:p>
      <w:pPr>
        <w:jc w:val="both"/>
        <w:ind w:firstLine="1305"/>
        <w:spacing w:after="0" w:line="266" w:lineRule="auto"/>
        <w:tabs>
          <w:tab w:leader="none" w:pos="167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the Recipient, if such 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jc w:val="both"/>
        <w:ind w:firstLine="1305"/>
        <w:spacing w:after="0" w:line="256" w:lineRule="auto"/>
        <w:tabs>
          <w:tab w:leader="none" w:pos="171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0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Only applicable to Restricted Stock Agreements for George D. Yancopoulos, M.D., Ph.D.</w:t>
      </w:r>
    </w:p>
    <w:p>
      <w:pPr>
        <w:spacing w:after="0" w:line="180"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Only applicable to Restricted Stock Agreements for George D. Yancopoulos, M.D., Ph.D.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Only applicable to Restricted Stock Agreements for George D. Yancopoulos, M.D., Ph.D.</w:t>
      </w:r>
    </w:p>
    <w:p>
      <w:pPr>
        <w:sectPr>
          <w:pgSz w:w="11900" w:h="16838" w:orient="portrait"/>
          <w:cols w:equalWidth="0" w:num="1">
            <w:col w:w="11420"/>
          </w:cols>
          <w:pgMar w:left="240" w:top="449" w:right="239" w:bottom="1440" w:gutter="0" w:footer="0" w:header="0"/>
        </w:sectPr>
      </w:pPr>
    </w:p>
    <w:bookmarkStart w:id="144" w:name="page145"/>
    <w:bookmarkEnd w:id="144"/>
    <w:p>
      <w:pPr>
        <w:jc w:val="both"/>
        <w:ind w:left="-1200" w:firstLine="1305"/>
        <w:spacing w:after="0" w:line="288" w:lineRule="auto"/>
        <w:tabs>
          <w:tab w:leader="none" w:pos="452"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The Recipient shall promptly notify the Company of any election made pursuant to Section 83(b) of the Code. The Recipient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to the Company, at the time the Recipient recognizes taxable income in respect to the shares of Restricted Stock as a result of having made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all other cases (except as may be otherwise determined by the Board of Directors or the Committee from time to time (including following the date hereof)), any such withholding obligation shall be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60"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69" w:lineRule="exact"/>
        <w:rPr>
          <w:sz w:val="20"/>
          <w:szCs w:val="20"/>
          <w:color w:val="auto"/>
        </w:rPr>
      </w:pPr>
    </w:p>
    <w:p>
      <w:pPr>
        <w:jc w:val="both"/>
        <w:ind w:left="-1200" w:firstLine="1305"/>
        <w:spacing w:after="0" w:line="261" w:lineRule="auto"/>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Pursuant to Section 8(e) of the Plan, the Company shall hold in escrow all dividends, if any, that are paid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71" w:lineRule="exact"/>
        <w:rPr>
          <w:rFonts w:ascii="Arial" w:cs="Arial" w:eastAsia="Arial" w:hAnsi="Arial"/>
          <w:sz w:val="18"/>
          <w:szCs w:val="18"/>
          <w:color w:val="auto"/>
        </w:rPr>
      </w:pPr>
    </w:p>
    <w:p>
      <w:pPr>
        <w:jc w:val="both"/>
        <w:ind w:left="-1200" w:firstLine="1305"/>
        <w:spacing w:after="0" w:line="295" w:lineRule="auto"/>
        <w:tabs>
          <w:tab w:leader="none" w:pos="411"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Compliance with Law and Regulations</w:t>
      </w:r>
      <w:r>
        <w:rPr>
          <w:rFonts w:ascii="Arial" w:cs="Arial" w:eastAsia="Arial" w:hAnsi="Arial"/>
          <w:sz w:val="16"/>
          <w:szCs w:val="16"/>
          <w:color w:val="auto"/>
        </w:rPr>
        <w:t>. 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47" w:lineRule="exact"/>
        <w:rPr>
          <w:rFonts w:ascii="Arial" w:cs="Arial" w:eastAsia="Arial" w:hAnsi="Arial"/>
          <w:sz w:val="16"/>
          <w:szCs w:val="16"/>
          <w:color w:val="auto"/>
        </w:rPr>
      </w:pPr>
    </w:p>
    <w:p>
      <w:pPr>
        <w:jc w:val="both"/>
        <w:ind w:left="-1200" w:firstLine="1305"/>
        <w:spacing w:after="0" w:line="314" w:lineRule="auto"/>
        <w:tabs>
          <w:tab w:leader="none" w:pos="515"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 by</w:t>
      </w:r>
      <w:r>
        <w:rPr>
          <w:rFonts w:ascii="Arial" w:cs="Arial" w:eastAsia="Arial" w:hAnsi="Arial"/>
          <w:sz w:val="16"/>
          <w:szCs w:val="16"/>
          <w:b w:val="1"/>
          <w:bCs w:val="1"/>
          <w:color w:val="auto"/>
        </w:rPr>
        <w:t xml:space="preserve"> </w:t>
      </w:r>
      <w:r>
        <w:rPr>
          <w:rFonts w:ascii="Arial" w:cs="Arial" w:eastAsia="Arial" w:hAnsi="Arial"/>
          <w:sz w:val="16"/>
          <w:szCs w:val="16"/>
          <w:color w:val="auto"/>
        </w:rPr>
        <w:t>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4" w:lineRule="exact"/>
        <w:rPr>
          <w:rFonts w:ascii="Arial" w:cs="Arial" w:eastAsia="Arial" w:hAnsi="Arial"/>
          <w:sz w:val="16"/>
          <w:szCs w:val="16"/>
          <w:color w:val="auto"/>
        </w:rPr>
      </w:pPr>
    </w:p>
    <w:p>
      <w:pPr>
        <w:jc w:val="both"/>
        <w:ind w:left="-1200" w:firstLine="1305"/>
        <w:spacing w:after="0" w:line="277" w:lineRule="auto"/>
        <w:tabs>
          <w:tab w:leader="none" w:pos="495"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60" w:lineRule="exact"/>
        <w:rPr>
          <w:rFonts w:ascii="Arial" w:cs="Arial" w:eastAsia="Arial" w:hAnsi="Arial"/>
          <w:sz w:val="17"/>
          <w:szCs w:val="17"/>
          <w:color w:val="auto"/>
        </w:rPr>
      </w:pPr>
    </w:p>
    <w:p>
      <w:pPr>
        <w:ind w:left="-1200" w:right="20" w:firstLine="1305"/>
        <w:spacing w:after="0" w:line="282" w:lineRule="auto"/>
        <w:tabs>
          <w:tab w:leader="none" w:pos="52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time period, nor does it modify in any respect the Recipient’s employment or compensation.</w:t>
      </w:r>
    </w:p>
    <w:p>
      <w:pPr>
        <w:spacing w:after="0" w:line="161" w:lineRule="exact"/>
        <w:rPr>
          <w:rFonts w:ascii="Arial" w:cs="Arial" w:eastAsia="Arial" w:hAnsi="Arial"/>
          <w:sz w:val="18"/>
          <w:szCs w:val="18"/>
          <w:color w:val="auto"/>
        </w:rPr>
      </w:pPr>
    </w:p>
    <w:p>
      <w:pPr>
        <w:jc w:val="both"/>
        <w:ind w:left="-1200" w:firstLine="1305"/>
        <w:spacing w:after="0" w:line="261" w:lineRule="auto"/>
        <w:tabs>
          <w:tab w:leader="none" w:pos="52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shares of Restricted Stock granted hereunder (including after all restrictions on such shares have lapsed).</w:t>
      </w:r>
    </w:p>
    <w:p>
      <w:pPr>
        <w:sectPr>
          <w:pgSz w:w="11900" w:h="16838" w:orient="portrait"/>
          <w:cols w:equalWidth="0" w:num="1">
            <w:col w:w="10220"/>
          </w:cols>
          <w:pgMar w:left="1440" w:top="44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10.2.20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294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40" w:type="dxa"/>
            <w:vAlign w:val="bottom"/>
            <w:gridSpan w:val="4"/>
          </w:tcPr>
          <w:p>
            <w:pPr>
              <w:ind w:left="160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3560" w:type="dxa"/>
            <w:vAlign w:val="bottom"/>
          </w:tcPr>
          <w:p>
            <w:pPr>
              <w:spacing w:after="0"/>
              <w:rPr>
                <w:sz w:val="24"/>
                <w:szCs w:val="24"/>
                <w:color w:val="auto"/>
              </w:rPr>
            </w:pP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880" w:type="dxa"/>
            <w:vAlign w:val="bottom"/>
            <w:gridSpan w:val="3"/>
          </w:tcPr>
          <w:p>
            <w:pPr>
              <w:ind w:left="160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w:t>
            </w:r>
          </w:p>
        </w:tc>
        <w:tc>
          <w:tcPr>
            <w:tcW w:w="3880" w:type="dxa"/>
            <w:vAlign w:val="bottom"/>
            <w:gridSpan w:val="3"/>
          </w:tcPr>
          <w:p>
            <w:pPr>
              <w:ind w:left="160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628"/>
        </w:trPr>
        <w:tc>
          <w:tcPr>
            <w:tcW w:w="3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3180" w:type="dxa"/>
            <w:vAlign w:val="bottom"/>
            <w:gridSpan w:val="2"/>
          </w:tcPr>
          <w:p>
            <w:pPr>
              <w:ind w:left="1600"/>
              <w:spacing w:after="0"/>
              <w:rPr>
                <w:sz w:val="20"/>
                <w:szCs w:val="20"/>
                <w:color w:val="auto"/>
              </w:rPr>
            </w:pPr>
            <w:r>
              <w:rPr>
                <w:rFonts w:ascii="Arial" w:cs="Arial" w:eastAsia="Arial" w:hAnsi="Arial"/>
                <w:sz w:val="18"/>
                <w:szCs w:val="18"/>
                <w:b w:val="1"/>
                <w:bCs w:val="1"/>
                <w:color w:val="auto"/>
              </w:rPr>
              <w:t>Option Number:</w:t>
            </w: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Plan:</w:t>
            </w:r>
          </w:p>
        </w:tc>
        <w:tc>
          <w:tcPr>
            <w:tcW w:w="8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3560" w:type="dxa"/>
            <w:vAlign w:val="bottom"/>
          </w:tcPr>
          <w:p>
            <w:pPr>
              <w:spacing w:after="0"/>
              <w:rPr>
                <w:sz w:val="24"/>
                <w:szCs w:val="24"/>
                <w:color w:val="auto"/>
              </w:rPr>
            </w:pP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ID:</w:t>
            </w:r>
          </w:p>
        </w:tc>
        <w:tc>
          <w:tcPr>
            <w:tcW w:w="8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6740" w:type="dxa"/>
            <w:vAlign w:val="bottom"/>
            <w:tcBorders>
              <w:bottom w:val="single" w:sz="8" w:color="auto"/>
            </w:tcBorders>
            <w:gridSpan w:val="3"/>
          </w:tcPr>
          <w:p>
            <w:pPr>
              <w:spacing w:after="0"/>
              <w:rPr>
                <w:sz w:val="24"/>
                <w:szCs w:val="24"/>
                <w:color w:val="auto"/>
              </w:rPr>
            </w:pPr>
          </w:p>
        </w:tc>
        <w:tc>
          <w:tcPr>
            <w:tcW w:w="4660" w:type="dxa"/>
            <w:vAlign w:val="bottom"/>
            <w:tcBorders>
              <w:bottom w:val="single" w:sz="8" w:color="auto"/>
            </w:tcBorders>
            <w:gridSpan w:val="2"/>
          </w:tcPr>
          <w:p>
            <w:pPr>
              <w:spacing w:after="0"/>
              <w:rPr>
                <w:sz w:val="24"/>
                <w:szCs w:val="24"/>
                <w:color w:val="auto"/>
              </w:rPr>
            </w:pPr>
          </w:p>
        </w:tc>
      </w:tr>
      <w:tr>
        <w:trPr>
          <w:trHeight w:val="594"/>
        </w:trPr>
        <w:tc>
          <w:tcPr>
            <w:tcW w:w="6740" w:type="dxa"/>
            <w:vAlign w:val="bottom"/>
            <w:gridSpan w:val="3"/>
          </w:tcPr>
          <w:p>
            <w:pPr>
              <w:spacing w:after="0"/>
              <w:rPr>
                <w:sz w:val="20"/>
                <w:szCs w:val="20"/>
                <w:color w:val="auto"/>
              </w:rPr>
            </w:pPr>
            <w:r>
              <w:rPr>
                <w:rFonts w:ascii="Arial" w:cs="Arial" w:eastAsia="Arial" w:hAnsi="Arial"/>
                <w:sz w:val="18"/>
                <w:szCs w:val="18"/>
                <w:color w:val="auto"/>
                <w:w w:val="93"/>
              </w:rPr>
              <w:t>Effective &lt;date&gt; (the “Grant Date”) you have been granted a Non-Qualified Option to buy [</w:t>
            </w: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w w:val="92"/>
              </w:rPr>
              <w:t>] shares of Regeneron Pharmaceuticals, Inc. (the “Company”)</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stock at $[   ] per share.</w:t>
            </w:r>
          </w:p>
        </w:tc>
        <w:tc>
          <w:tcPr>
            <w:tcW w:w="2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w w:val="92"/>
              </w:rPr>
              <w:t>The total option price of the shares granted is $[</w:t>
            </w:r>
          </w:p>
        </w:tc>
        <w:tc>
          <w:tcPr>
            <w:tcW w:w="230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Full Vest Dates: This option will vest and become exercisable (i) on the date of the Company’s [ ]* Annual Meeting of Shareholders with respect to a pro-rata portion of the total number of shares underlying the option equal to the portion of one year that has elapsed from the date of grant to the date of the Company’s [ ]* Annual Meeting of Shareholders, and (ii) on [ / / ]** with respect to the remainder of the shares underlying the option. Assuming the [ ]* Annual Meeting of Shareholders occurs on [ / / ] as currently planned, this option will vest and become exercisable with respect to [ ] underlying shares on [ / / ] and with respect to [ ] underlying shares on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294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294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16" w:lineRule="exact"/>
        <w:rPr>
          <w:sz w:val="20"/>
          <w:szCs w:val="20"/>
          <w:color w:val="auto"/>
        </w:rPr>
      </w:pPr>
    </w:p>
    <w:p>
      <w:pPr>
        <w:ind w:left="40" w:right="6000" w:hanging="5"/>
        <w:spacing w:after="0" w:line="684" w:lineRule="auto"/>
        <w:tabs>
          <w:tab w:leader="none" w:pos="4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 ** First anniversary of the Grant Date.</w:t>
      </w:r>
    </w:p>
    <w:p>
      <w:pPr>
        <w:sectPr>
          <w:pgSz w:w="11900" w:h="16838" w:orient="portrait"/>
          <w:cols w:equalWidth="0" w:num="1">
            <w:col w:w="11420"/>
          </w:cols>
          <w:pgMar w:left="240" w:top="125"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Grant)</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04"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12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70" w:lineRule="auto"/>
        <w:tabs>
          <w:tab w:leader="none" w:pos="99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becomes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has 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Grantee acknowledges that it is the Grantee’s responsibility to satisfy any federal, state and local tax requirements related to the exercise of the Option.</w:t>
      </w:r>
    </w:p>
    <w:p>
      <w:pPr>
        <w:spacing w:after="0" w:line="73" w:lineRule="exact"/>
        <w:rPr>
          <w:rFonts w:ascii="Arial" w:cs="Arial" w:eastAsia="Arial" w:hAnsi="Arial"/>
          <w:sz w:val="17"/>
          <w:szCs w:val="17"/>
          <w:b w:val="1"/>
          <w:bCs w:val="1"/>
          <w:color w:val="auto"/>
        </w:rPr>
      </w:pPr>
    </w:p>
    <w:p>
      <w:pPr>
        <w:jc w:val="both"/>
        <w:ind w:left="80" w:firstLine="644"/>
        <w:spacing w:after="0" w:line="269" w:lineRule="auto"/>
        <w:tabs>
          <w:tab w:leader="none" w:pos="983"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(except as set forth below with respect to Retirement or the Grantee’s death)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as may be otherwise determined by the Committee in accordance with Section 12(e) of the Plan, no vesting shall occur 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remained in service on the Board.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pacing w:after="0" w:line="74" w:lineRule="exact"/>
        <w:rPr>
          <w:rFonts w:ascii="Arial" w:cs="Arial" w:eastAsia="Arial" w:hAnsi="Arial"/>
          <w:sz w:val="17"/>
          <w:szCs w:val="17"/>
          <w:color w:val="auto"/>
        </w:rPr>
      </w:pPr>
    </w:p>
    <w:p>
      <w:pPr>
        <w:ind w:left="80" w:firstLine="644"/>
        <w:spacing w:after="0" w:line="277" w:lineRule="auto"/>
        <w:tabs>
          <w:tab w:leader="none" w:pos="973"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Notwithstanding anything herein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the Grantee’s death if the Grantee’s service on the Board has not terminated prior to the Grantee’s</w:t>
      </w:r>
    </w:p>
    <w:p>
      <w:pPr>
        <w:sectPr>
          <w:pgSz w:w="11900" w:h="16838" w:orient="portrait"/>
          <w:cols w:equalWidth="0" w:num="1">
            <w:col w:w="11420"/>
          </w:cols>
          <w:pgMar w:left="240" w:top="333" w:right="239" w:bottom="1440" w:gutter="0" w:footer="0" w:header="0"/>
        </w:sectPr>
      </w:pPr>
    </w:p>
    <w:bookmarkStart w:id="147" w:name="page148"/>
    <w:bookmarkEnd w:id="147"/>
    <w:p>
      <w:pPr>
        <w:jc w:val="both"/>
        <w:ind w:left="4"/>
        <w:spacing w:after="0" w:line="284" w:lineRule="auto"/>
        <w:rPr>
          <w:sz w:val="20"/>
          <w:szCs w:val="20"/>
          <w:color w:val="auto"/>
        </w:rPr>
      </w:pPr>
      <w:r>
        <w:rPr>
          <w:rFonts w:ascii="Arial" w:cs="Arial" w:eastAsia="Arial" w:hAnsi="Arial"/>
          <w:sz w:val="16"/>
          <w:szCs w:val="16"/>
          <w:color w:val="auto"/>
        </w:rPr>
        <w:t xml:space="preserve">death. In addition, and also 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if the Grantee’s service on the Board has not terminated prior to such date. If the application of the provision in the foregoing sentence, similar provisions in other stock option or restricted stock grants, and other payments and benefits payable to the Grantee in connection with a Change in Control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w:t>
      </w:r>
    </w:p>
    <w:p>
      <w:pPr>
        <w:spacing w:after="0" w:line="1" w:lineRule="exact"/>
        <w:rPr>
          <w:sz w:val="20"/>
          <w:szCs w:val="20"/>
          <w:color w:val="auto"/>
        </w:rPr>
      </w:pPr>
    </w:p>
    <w:p>
      <w:pPr>
        <w:jc w:val="both"/>
        <w:ind w:left="4" w:hanging="4"/>
        <w:spacing w:after="0" w:line="292" w:lineRule="auto"/>
        <w:tabs>
          <w:tab w:leader="none" w:pos="2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58" w:lineRule="exact"/>
        <w:rPr>
          <w:rFonts w:ascii="Arial" w:cs="Arial" w:eastAsia="Arial" w:hAnsi="Arial"/>
          <w:sz w:val="16"/>
          <w:szCs w:val="16"/>
          <w:color w:val="auto"/>
        </w:rPr>
      </w:pPr>
    </w:p>
    <w:p>
      <w:pPr>
        <w:jc w:val="both"/>
        <w:ind w:left="-76" w:firstLine="656"/>
        <w:spacing w:after="0" w:line="219" w:lineRule="exact"/>
        <w:tabs>
          <w:tab w:leader="none" w:pos="901"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Term. </w:t>
      </w:r>
      <w:r>
        <w:rPr>
          <w:rFonts w:ascii="Arial" w:cs="Arial" w:eastAsia="Arial" w:hAnsi="Arial"/>
          <w:sz w:val="17"/>
          <w:szCs w:val="17"/>
          <w:color w:val="auto"/>
        </w:rPr>
        <w:t>Except as otherwise provided in the next sentence or in the Plan, the Option shall expire on the tenth anniversary of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In the event of termination of service as a member of the Board of the Company, except as may be otherwise determined by the Committee in accordance with Section 12(e) of the Plan, the vested portion of the Option shall expire on the earlier of (i) the tenth anniversary of this grant, or (ii)(A) subject to (D) below, three months after such termination if such termination is for any reason other than death, Retirement, or long</w:t>
      </w:r>
      <w:r>
        <w:rPr>
          <w:rFonts w:ascii="MS PGothic" w:cs="MS PGothic" w:eastAsia="MS PGothic" w:hAnsi="MS PGothic"/>
          <w:sz w:val="17"/>
          <w:szCs w:val="17"/>
          <w:color w:val="auto"/>
        </w:rPr>
        <w:t>‑</w:t>
      </w:r>
      <w:r>
        <w:rPr>
          <w:rFonts w:ascii="Arial" w:cs="Arial" w:eastAsia="Arial" w:hAnsi="Arial"/>
          <w:sz w:val="17"/>
          <w:szCs w:val="17"/>
          <w:color w:val="auto"/>
        </w:rPr>
        <w:t>term disability, (B) the tenth anniversary of this grant if such termination is due to Retirement or death, (C) one year after the termination if such termination is due to the Grantee’s long</w:t>
      </w:r>
      <w:r>
        <w:rPr>
          <w:rFonts w:ascii="MS PGothic" w:cs="MS PGothic" w:eastAsia="MS PGothic" w:hAnsi="MS PGothic"/>
          <w:sz w:val="17"/>
          <w:szCs w:val="17"/>
          <w:color w:val="auto"/>
        </w:rPr>
        <w:t>‑</w:t>
      </w:r>
      <w:r>
        <w:rPr>
          <w:rFonts w:ascii="Arial" w:cs="Arial" w:eastAsia="Arial" w:hAnsi="Arial"/>
          <w:sz w:val="17"/>
          <w:szCs w:val="17"/>
          <w:color w:val="auto"/>
        </w:rPr>
        <w:t>term disability or (D) one year after such termination if such termination is at any time within two years after the occurrence of a Change in Control and is not due to death, Retirement, or long-term disability.</w:t>
      </w:r>
    </w:p>
    <w:p>
      <w:pPr>
        <w:spacing w:after="0" w:line="92" w:lineRule="exact"/>
        <w:rPr>
          <w:rFonts w:ascii="Arial" w:cs="Arial" w:eastAsia="Arial" w:hAnsi="Arial"/>
          <w:sz w:val="17"/>
          <w:szCs w:val="17"/>
          <w:b w:val="1"/>
          <w:bCs w:val="1"/>
          <w:color w:val="auto"/>
        </w:rPr>
      </w:pPr>
    </w:p>
    <w:p>
      <w:pPr>
        <w:jc w:val="both"/>
        <w:ind w:left="-76" w:firstLine="656"/>
        <w:spacing w:after="0" w:line="254" w:lineRule="auto"/>
        <w:tabs>
          <w:tab w:leader="none" w:pos="955"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left="-76" w:firstLine="656"/>
        <w:spacing w:after="0" w:line="261" w:lineRule="auto"/>
        <w:tabs>
          <w:tab w:leader="none" w:pos="901"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71" w:lineRule="exact"/>
        <w:rPr>
          <w:rFonts w:ascii="Arial" w:cs="Arial" w:eastAsia="Arial" w:hAnsi="Arial"/>
          <w:sz w:val="18"/>
          <w:szCs w:val="18"/>
          <w:b w:val="1"/>
          <w:bCs w:val="1"/>
          <w:color w:val="auto"/>
        </w:rPr>
      </w:pPr>
    </w:p>
    <w:p>
      <w:pPr>
        <w:jc w:val="both"/>
        <w:ind w:left="-76" w:firstLine="656"/>
        <w:spacing w:after="0" w:line="288" w:lineRule="auto"/>
        <w:tabs>
          <w:tab w:leader="none" w:pos="901"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ectPr>
          <w:pgSz w:w="11900" w:h="16838" w:orient="portrait"/>
          <w:cols w:equalWidth="0" w:num="1">
            <w:col w:w="11344"/>
          </w:cols>
          <w:pgMar w:left="316" w:top="449" w:right="239" w:bottom="1440" w:gutter="0" w:footer="0" w:header="0"/>
        </w:sectPr>
      </w:pPr>
    </w:p>
    <w:bookmarkStart w:id="148" w:name="page149"/>
    <w:bookmarkEnd w:id="148"/>
    <w:p>
      <w:pPr>
        <w:jc w:val="both"/>
        <w:ind w:left="-656" w:firstLine="656"/>
        <w:spacing w:after="0" w:line="266" w:lineRule="auto"/>
        <w:tabs>
          <w:tab w:leader="none" w:pos="37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left="-656" w:firstLine="656"/>
        <w:spacing w:after="0" w:line="258" w:lineRule="auto"/>
        <w:tabs>
          <w:tab w:leader="none" w:pos="347"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ectPr>
          <w:pgSz w:w="11900" w:h="16838" w:orient="portrait"/>
          <w:cols w:equalWidth="0" w:num="1">
            <w:col w:w="10764"/>
          </w:cols>
          <w:pgMar w:left="896" w:top="44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10.2.21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382" w:right="239" w:bottom="1440" w:gutter="0" w:footer="0" w:header="0"/>
        </w:sectPr>
      </w:pP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3">
            <w:col w:w="5320" w:space="60"/>
            <w:col w:w="60" w:space="580"/>
            <w:col w:w="540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Notice of Grant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777 Old Saw Mill River Road</w:t>
      </w:r>
    </w:p>
    <w:p>
      <w:pPr>
        <w:spacing w:after="0" w:line="109" w:lineRule="exact"/>
        <w:rPr>
          <w:sz w:val="20"/>
          <w:szCs w:val="20"/>
          <w:color w:val="auto"/>
        </w:rPr>
      </w:pPr>
    </w:p>
    <w:p>
      <w:pPr>
        <w:sectPr>
          <w:pgSz w:w="11900" w:h="16838" w:orient="portrait"/>
          <w:cols w:equalWidth="0" w:num="2">
            <w:col w:w="4340" w:space="720"/>
            <w:col w:w="636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and Restricted Stock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424180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360"/>
          </w:cols>
          <w:pgMar w:left="240" w:top="38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RSU Number:</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297"/>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[ADDRESS]</w:t>
            </w: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Plan:</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297"/>
        </w:trPr>
        <w:tc>
          <w:tcPr>
            <w:tcW w:w="3020" w:type="dxa"/>
            <w:vAlign w:val="bottom"/>
          </w:tcPr>
          <w:p>
            <w:pPr>
              <w:spacing w:after="0"/>
              <w:rPr>
                <w:sz w:val="24"/>
                <w:szCs w:val="24"/>
                <w:color w:val="auto"/>
              </w:rPr>
            </w:pP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ID:</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321"/>
        </w:trPr>
        <w:tc>
          <w:tcPr>
            <w:tcW w:w="30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700"/>
        <w:spacing w:after="0" w:line="324" w:lineRule="auto"/>
        <w:rPr>
          <w:sz w:val="20"/>
          <w:szCs w:val="20"/>
          <w:color w:val="auto"/>
        </w:rPr>
      </w:pPr>
      <w:r>
        <w:rPr>
          <w:rFonts w:ascii="Arial" w:cs="Arial" w:eastAsia="Arial" w:hAnsi="Arial"/>
          <w:sz w:val="18"/>
          <w:szCs w:val="18"/>
          <w:color w:val="auto"/>
        </w:rPr>
        <w:t>Effective &lt;date&gt; (the “Grant Date”) you have been granted restricted stock units with respect to [ ] shares of Regeneron Pharmaceuticals, Inc. (the “Company”) stock.</w:t>
      </w:r>
    </w:p>
    <w:p>
      <w:pPr>
        <w:spacing w:after="0" w:line="130"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The total current value of the award is $[</w:t>
      </w:r>
      <w:r>
        <w:rPr>
          <w:sz w:val="20"/>
          <w:szCs w:val="20"/>
          <w:color w:val="auto"/>
        </w:rPr>
        <w:tab/>
      </w:r>
      <w:r>
        <w:rPr>
          <w:rFonts w:ascii="Arial" w:cs="Arial" w:eastAsia="Arial" w:hAnsi="Arial"/>
          <w:sz w:val="17"/>
          <w:szCs w:val="17"/>
          <w:color w:val="auto"/>
        </w:rPr>
        <w:t>].</w:t>
      </w:r>
    </w:p>
    <w:p>
      <w:pPr>
        <w:spacing w:after="0" w:line="1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Full Vest Dates: These restricted stock units will vest (i) on the date of the Company’s [ ]* Annual Meeting of Shareholders with respect to a pro-rata portion of the total number of shares underlying the award equal to the portion of one year that has elapsed from the date of grant to the date of the Company’s [ ]* Annual Meeting of Shareholders, and (ii) on [ / / ]** with respect to the remainder of the shares underlying the award. Assuming the [ ]* Annual Meeting</w:t>
      </w:r>
    </w:p>
    <w:p>
      <w:pPr>
        <w:ind w:right="100"/>
        <w:spacing w:after="0" w:line="255" w:lineRule="auto"/>
        <w:rPr>
          <w:sz w:val="20"/>
          <w:szCs w:val="20"/>
          <w:color w:val="auto"/>
        </w:rPr>
      </w:pPr>
      <w:r>
        <w:rPr>
          <w:rFonts w:ascii="Arial" w:cs="Arial" w:eastAsia="Arial" w:hAnsi="Arial"/>
          <w:sz w:val="18"/>
          <w:szCs w:val="18"/>
          <w:color w:val="auto"/>
        </w:rPr>
        <w:t>of Shareholders occurs on [ / / ] as currently planned, these restricted stock units will vest respect to [ ] underlying shares on [ / / ] and with respect to [ ] underlying shares on [ / / ]**. Vested restricted stock units remain subject to the tax deferral provisions set forth in the enclosed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right="100"/>
        <w:spacing w:after="0" w:line="264" w:lineRule="auto"/>
        <w:rPr>
          <w:sz w:val="20"/>
          <w:szCs w:val="20"/>
          <w:color w:val="auto"/>
        </w:rPr>
      </w:pPr>
      <w:r>
        <w:rPr>
          <w:rFonts w:ascii="Arial" w:cs="Arial" w:eastAsia="Arial" w:hAnsi="Arial"/>
          <w:sz w:val="18"/>
          <w:szCs w:val="18"/>
          <w:color w:val="auto"/>
        </w:rPr>
        <w:t>You and the Company agree that these restricted stock units are granted under and governed by the terms and conditions of the Amended and Restated Regeneron Pharmaceuticals, Inc. 2014 Long Term Incentive Plan, as amended from time to time, and the enclosed Restricted Stock Unit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16" w:lineRule="exact"/>
        <w:rPr>
          <w:sz w:val="20"/>
          <w:szCs w:val="20"/>
          <w:color w:val="auto"/>
        </w:rPr>
      </w:pPr>
    </w:p>
    <w:p>
      <w:pPr>
        <w:ind w:left="620" w:hanging="585"/>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w:t>
      </w:r>
    </w:p>
    <w:p>
      <w:pPr>
        <w:spacing w:after="0" w:line="36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First anniversary of the Grant Date.</w:t>
      </w:r>
    </w:p>
    <w:p>
      <w:pPr>
        <w:sectPr>
          <w:pgSz w:w="11900" w:h="16838" w:orient="portrait"/>
          <w:cols w:equalWidth="0" w:num="1">
            <w:col w:w="11420"/>
          </w:cols>
          <w:pgMar w:left="240" w:top="382" w:right="2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14"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 Units</w:t>
      </w:r>
      <w:r>
        <w:rPr>
          <w:rFonts w:ascii="Arial" w:cs="Arial" w:eastAsia="Arial" w:hAnsi="Arial"/>
          <w:sz w:val="18"/>
          <w:szCs w:val="18"/>
          <w:color w:val="auto"/>
        </w:rPr>
        <w:t xml:space="preserve">) to the Recipient a Restricted Stock Unit (as defined below) with respect to the number of shares of Company Stock as set forth in the </w:t>
      </w:r>
      <w:r>
        <w:rPr>
          <w:rFonts w:ascii="Arial" w:cs="Arial" w:eastAsia="Arial" w:hAnsi="Arial"/>
          <w:sz w:val="18"/>
          <w:szCs w:val="18"/>
          <w:i w:val="1"/>
          <w:iCs w:val="1"/>
          <w:color w:val="auto"/>
        </w:rPr>
        <w:t>Notice of Grant of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Stock Units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3" w:lineRule="exact"/>
        <w:rPr>
          <w:sz w:val="20"/>
          <w:szCs w:val="20"/>
          <w:color w:val="auto"/>
        </w:rPr>
      </w:pPr>
    </w:p>
    <w:p>
      <w:pPr>
        <w:ind w:right="140" w:firstLine="1305"/>
        <w:spacing w:after="0" w:line="281" w:lineRule="auto"/>
        <w:tabs>
          <w:tab w:leader="none" w:pos="2080" w:val="left"/>
        </w:tabs>
        <w:numPr>
          <w:ilvl w:val="1"/>
          <w:numId w:val="76"/>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9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subject further to the terms and conditions set forth herein, a restricted stock unit (referred to in the Plan as “Phantom Stock”) (each such unit, a “</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with respect to the number of shares of Company Stock as shown on the Notice of Grant of Restricted Stock Units. The Recipient’s record of Company Stock ownership shall be recorded in the books of the Company only when the Restricted Stock Units vest and the shares of Company Stock are issued. At the Recipient’s request, vested shares may be evidenced by stock certificates or book-entry registration.</w:t>
      </w:r>
    </w:p>
    <w:p>
      <w:pPr>
        <w:spacing w:after="0" w:line="3" w:lineRule="exact"/>
        <w:rPr>
          <w:rFonts w:ascii="Arial" w:cs="Arial" w:eastAsia="Arial" w:hAnsi="Arial"/>
          <w:sz w:val="16"/>
          <w:szCs w:val="16"/>
          <w:color w:val="auto"/>
        </w:rPr>
      </w:pPr>
    </w:p>
    <w:p>
      <w:pPr>
        <w:ind w:right="20" w:firstLine="1305"/>
        <w:spacing w:after="0" w:line="282" w:lineRule="auto"/>
        <w:tabs>
          <w:tab w:leader="none" w:pos="2080" w:val="left"/>
        </w:tabs>
        <w:numPr>
          <w:ilvl w:val="1"/>
          <w:numId w:val="76"/>
        </w:numPr>
        <w:rPr>
          <w:rFonts w:ascii="Arial" w:cs="Arial" w:eastAsia="Arial" w:hAnsi="Arial"/>
          <w:sz w:val="16"/>
          <w:szCs w:val="16"/>
          <w:color w:val="auto"/>
        </w:rPr>
      </w:pPr>
      <w:r>
        <w:rPr>
          <w:rFonts w:ascii="Arial" w:cs="Arial" w:eastAsia="Arial" w:hAnsi="Arial"/>
          <w:sz w:val="16"/>
          <w:szCs w:val="16"/>
          <w:b w:val="1"/>
          <w:bCs w:val="1"/>
          <w:color w:val="auto"/>
        </w:rPr>
        <w:t>Vesting; Delivery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9"/>
          <w:szCs w:val="19"/>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Units granted to the Recipient shall vest in installments as provided in the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Restricted Stock Units. The vesting schedule in the Notice of Grant of Restricted Stock Units indicates each date upon which the Restricted Stock Units shall vest, entitling the Recipient to receive the underlying shares of Company Stock, provided that the Recipient has not incurred a termination of service as a member of the Board. There shall be no proportionate or partial vesting in the periods between the Full Vest Dates specified in the Notice of Grant of Restricted Stock Units and all vesting shall occur only on such Full Vest Dates. No vesting shall occur after the termination of the Recipient’s service as a member of the Board for any reason. Notwithstanding the preceding sentence, upon the Recipient’s Retirement from service on the Board, the Restricted Stock Units shall continue to vest in installments as provided on the Notice of Grant of Restricted Stock Units as if the Recipient had remained in service on the Board. For purposes of this Agreement, “Retirement” shall mean a voluntary termination of service on the Board (including by not standing for re-election) by the Recipient at a time when the Recipient meets both of the following criteria: the Recipient has served as a member of the Board for a minimum of three (3) years, and the combination of the Recipient’s age and total years of service as a member of the Board equals a minimum of 80.</w:t>
      </w:r>
    </w:p>
    <w:p>
      <w:pPr>
        <w:spacing w:after="0" w:line="65" w:lineRule="exact"/>
        <w:rPr>
          <w:rFonts w:ascii="Arial" w:cs="Arial" w:eastAsia="Arial" w:hAnsi="Arial"/>
          <w:sz w:val="16"/>
          <w:szCs w:val="16"/>
          <w:color w:val="auto"/>
        </w:rPr>
      </w:pPr>
    </w:p>
    <w:p>
      <w:pPr>
        <w:jc w:val="both"/>
        <w:ind w:left="80" w:firstLine="644"/>
        <w:spacing w:after="0" w:line="291" w:lineRule="auto"/>
        <w:tabs>
          <w:tab w:leader="none" w:pos="9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Notwithstanding anything herein (except the following sentence) or in the Notice of Grant of Restricted Stock Units to the contrary, outstanding Restricted Stock Units granted to Recipient shall be fully vested on the date of a Change in Control or upon the Recipient’s death. If the application of the provision in the foregoing sentence, similar provisions in other stock option or equity compensation grants, and other payments and benefits payable to the Recipient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w:t>
      </w:r>
    </w:p>
    <w:p>
      <w:pPr>
        <w:sectPr>
          <w:pgSz w:w="11900" w:h="16838" w:orient="portrait"/>
          <w:cols w:equalWidth="0" w:num="1">
            <w:col w:w="11420"/>
          </w:cols>
          <w:pgMar w:left="240" w:top="589" w:right="239" w:bottom="1440" w:gutter="0" w:footer="0" w:header="0"/>
        </w:sectPr>
      </w:pPr>
    </w:p>
    <w:bookmarkStart w:id="151" w:name="page152"/>
    <w:bookmarkEnd w:id="151"/>
    <w:p>
      <w:pPr>
        <w:jc w:val="both"/>
        <w:ind w:left="4"/>
        <w:spacing w:after="0" w:line="272" w:lineRule="auto"/>
        <w:rPr>
          <w:sz w:val="20"/>
          <w:szCs w:val="20"/>
          <w:color w:val="auto"/>
        </w:rPr>
      </w:pPr>
      <w:r>
        <w:rPr>
          <w:rFonts w:ascii="Arial" w:cs="Arial" w:eastAsia="Arial" w:hAnsi="Arial"/>
          <w:sz w:val="17"/>
          <w:szCs w:val="17"/>
          <w:color w:val="auto"/>
        </w:rPr>
        <w:t>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70" w:lineRule="exact"/>
        <w:rPr>
          <w:sz w:val="20"/>
          <w:szCs w:val="20"/>
          <w:color w:val="auto"/>
        </w:rPr>
      </w:pPr>
    </w:p>
    <w:p>
      <w:pPr>
        <w:jc w:val="both"/>
        <w:ind w:left="4" w:firstLine="644"/>
        <w:spacing w:after="0" w:line="291" w:lineRule="auto"/>
        <w:tabs>
          <w:tab w:leader="none" w:pos="897" w:val="left"/>
        </w:tabs>
        <w:numPr>
          <w:ilvl w:val="1"/>
          <w:numId w:val="78"/>
        </w:numPr>
        <w:rPr>
          <w:rFonts w:ascii="Arial" w:cs="Arial" w:eastAsia="Arial" w:hAnsi="Arial"/>
          <w:sz w:val="16"/>
          <w:szCs w:val="16"/>
          <w:color w:val="auto"/>
        </w:rPr>
      </w:pPr>
      <w:r>
        <w:rPr>
          <w:rFonts w:ascii="Arial" w:cs="Arial" w:eastAsia="Arial" w:hAnsi="Arial"/>
          <w:sz w:val="16"/>
          <w:szCs w:val="16"/>
          <w:color w:val="auto"/>
        </w:rPr>
        <w:t>Unless a later delivery date is elected by the Recipient at a time and in a manner which complies with the requirements of Section 409A of the Code (and the regulations thereunder), shares of Company Stock issuable pursuant to the vesting of Restricted Stock Units shall be delivered on the earlier of</w:t>
      </w:r>
    </w:p>
    <w:p>
      <w:pPr>
        <w:jc w:val="both"/>
        <w:ind w:left="4" w:hanging="4"/>
        <w:spacing w:after="0" w:line="252" w:lineRule="auto"/>
        <w:tabs>
          <w:tab w:leader="none" w:pos="2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termination of the Recipient’s service as a member of the Board, (2) the seventh anniversary of the date of grant of the Restricted Stock Units and (3) the date of a Change in Control (provided that the shares of Company Stock may be delivered upon such Change in Control without violating Section 409A of the Code). With respect to Restricted Stock Units which become vested following termination of the Recipient’s service as a member of the Board pursuant to the last two sentences of Section 2(a), shares of Company Stock with respect thereto shall be delivered as soon as practicable following vesting, unless a later delivery date is elected by the Recipient at a time and in a manner which complies with the requirements of Section 409A of the Code (and the regulations thereunder).</w:t>
      </w:r>
    </w:p>
    <w:p>
      <w:pPr>
        <w:spacing w:after="0" w:line="82" w:lineRule="exact"/>
        <w:rPr>
          <w:rFonts w:ascii="Arial" w:cs="Arial" w:eastAsia="Arial" w:hAnsi="Arial"/>
          <w:sz w:val="18"/>
          <w:szCs w:val="18"/>
          <w:color w:val="auto"/>
        </w:rPr>
      </w:pPr>
    </w:p>
    <w:p>
      <w:pPr>
        <w:ind w:left="-76" w:right="440" w:firstLine="1305"/>
        <w:spacing w:after="0" w:line="266" w:lineRule="auto"/>
        <w:tabs>
          <w:tab w:leader="none" w:pos="2004"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 hereof, if the Recipient’s service on the Board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 hereof), the Recipient shall forfeit any or all of the shares of Company Stock subject to the Restricted Stock Unit that have not vested in accordance with Section 2 hereof.</w:t>
      </w:r>
    </w:p>
    <w:p>
      <w:pPr>
        <w:spacing w:after="0" w:line="68" w:lineRule="exact"/>
        <w:rPr>
          <w:rFonts w:ascii="Arial" w:cs="Arial" w:eastAsia="Arial" w:hAnsi="Arial"/>
          <w:sz w:val="18"/>
          <w:szCs w:val="18"/>
          <w:color w:val="auto"/>
        </w:rPr>
      </w:pPr>
    </w:p>
    <w:p>
      <w:pPr>
        <w:jc w:val="both"/>
        <w:ind w:left="-76" w:firstLine="1305"/>
        <w:spacing w:after="0" w:line="266" w:lineRule="auto"/>
        <w:tabs>
          <w:tab w:leader="none" w:pos="2004"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ind w:left="-76" w:right="60" w:firstLine="1305"/>
        <w:spacing w:after="0" w:line="261" w:lineRule="auto"/>
        <w:tabs>
          <w:tab w:leader="none" w:pos="2004"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71" w:lineRule="exact"/>
        <w:rPr>
          <w:rFonts w:ascii="Arial" w:cs="Arial" w:eastAsia="Arial" w:hAnsi="Arial"/>
          <w:sz w:val="18"/>
          <w:szCs w:val="18"/>
          <w:color w:val="auto"/>
        </w:rPr>
      </w:pPr>
    </w:p>
    <w:p>
      <w:pPr>
        <w:ind w:left="-76" w:right="80" w:firstLine="1305"/>
        <w:spacing w:after="0" w:line="274" w:lineRule="auto"/>
        <w:tabs>
          <w:tab w:leader="none" w:pos="2004" w:val="left"/>
        </w:tabs>
        <w:numPr>
          <w:ilvl w:val="2"/>
          <w:numId w:val="79"/>
        </w:numPr>
        <w:rPr>
          <w:rFonts w:ascii="Arial" w:cs="Arial" w:eastAsia="Arial" w:hAnsi="Arial"/>
          <w:sz w:val="17"/>
          <w:szCs w:val="17"/>
          <w:color w:val="auto"/>
        </w:rPr>
      </w:pPr>
      <w:r>
        <w:rPr>
          <w:rFonts w:ascii="Arial" w:cs="Arial" w:eastAsia="Arial" w:hAnsi="Arial"/>
          <w:sz w:val="17"/>
          <w:szCs w:val="17"/>
          <w:b w:val="1"/>
          <w:bCs w:val="1"/>
          <w:color w:val="auto"/>
        </w:rPr>
        <w:t>Rights as a Shareholder</w:t>
      </w:r>
      <w:r>
        <w:rPr>
          <w:rFonts w:ascii="Arial" w:cs="Arial" w:eastAsia="Arial" w:hAnsi="Arial"/>
          <w:sz w:val="17"/>
          <w:szCs w:val="17"/>
          <w:color w:val="auto"/>
        </w:rPr>
        <w:t>. The Recipient will not have the rights of a shareholder with respect to shares of Company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Restricted Stock Units until the vesting of the Restricted Stock Units and the delivery of shares of Company Stock with respect to such vesting. To the extent that the Company declares a cash dividend while all or a portion of the Restricted Stock Units are unvested, the Recipient shall be credited with dividend equivalent rights with respect to each share of Company Stock subject to the unvested portion of the Restricted Stock Units. Such dividend equivalent right will entitle the Recipient to payment of such dividend only upon vesting of the corresponding portion of the Restricted Stock Unit; and such right will be forfeited to the extent the corresponding portion of the Restricted Stock Unit is forfeited.</w:t>
      </w:r>
    </w:p>
    <w:p>
      <w:pPr>
        <w:spacing w:after="0" w:line="65" w:lineRule="exact"/>
        <w:rPr>
          <w:rFonts w:ascii="Arial" w:cs="Arial" w:eastAsia="Arial" w:hAnsi="Arial"/>
          <w:sz w:val="17"/>
          <w:szCs w:val="17"/>
          <w:color w:val="auto"/>
        </w:rPr>
      </w:pPr>
    </w:p>
    <w:p>
      <w:pPr>
        <w:jc w:val="both"/>
        <w:ind w:left="-76" w:right="140" w:firstLine="1305"/>
        <w:spacing w:after="0" w:line="261" w:lineRule="auto"/>
        <w:tabs>
          <w:tab w:leader="none" w:pos="2004"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71" w:lineRule="exact"/>
        <w:rPr>
          <w:rFonts w:ascii="Arial" w:cs="Arial" w:eastAsia="Arial" w:hAnsi="Arial"/>
          <w:sz w:val="18"/>
          <w:szCs w:val="18"/>
          <w:color w:val="auto"/>
        </w:rPr>
      </w:pPr>
    </w:p>
    <w:p>
      <w:pPr>
        <w:jc w:val="both"/>
        <w:ind w:left="-76" w:firstLine="1305"/>
        <w:spacing w:after="0" w:line="314" w:lineRule="auto"/>
        <w:tabs>
          <w:tab w:leader="none" w:pos="2004" w:val="left"/>
        </w:tabs>
        <w:numPr>
          <w:ilvl w:val="2"/>
          <w:numId w:val="79"/>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w:t>
      </w:r>
      <w:r>
        <w:rPr>
          <w:rFonts w:ascii="Arial" w:cs="Arial" w:eastAsia="Arial" w:hAnsi="Arial"/>
          <w:sz w:val="16"/>
          <w:szCs w:val="16"/>
          <w:b w:val="1"/>
          <w:bCs w:val="1"/>
          <w:color w:val="auto"/>
        </w:rPr>
        <w:t xml:space="preserve"> </w:t>
      </w:r>
      <w:r>
        <w:rPr>
          <w:rFonts w:ascii="Arial" w:cs="Arial" w:eastAsia="Arial" w:hAnsi="Arial"/>
          <w:sz w:val="16"/>
          <w:szCs w:val="16"/>
          <w:color w:val="auto"/>
        </w:rPr>
        <w:t>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4" w:lineRule="exact"/>
        <w:rPr>
          <w:rFonts w:ascii="Arial" w:cs="Arial" w:eastAsia="Arial" w:hAnsi="Arial"/>
          <w:sz w:val="16"/>
          <w:szCs w:val="16"/>
          <w:color w:val="auto"/>
        </w:rPr>
      </w:pPr>
    </w:p>
    <w:p>
      <w:pPr>
        <w:ind w:left="-76" w:firstLine="1305"/>
        <w:spacing w:after="0" w:line="282" w:lineRule="auto"/>
        <w:tabs>
          <w:tab w:leader="none" w:pos="2004"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communication given hereunder shall be in writing and shall be deemed given when delivered in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by United States mail, at the following addresses: (i) if to the Company,</w:t>
      </w:r>
    </w:p>
    <w:p>
      <w:pPr>
        <w:sectPr>
          <w:pgSz w:w="11900" w:h="16838" w:orient="portrait"/>
          <w:cols w:equalWidth="0" w:num="1">
            <w:col w:w="11344"/>
          </w:cols>
          <w:pgMar w:left="316" w:top="449" w:right="239" w:bottom="1440" w:gutter="0" w:footer="0" w:header="0"/>
        </w:sectPr>
      </w:pPr>
    </w:p>
    <w:bookmarkStart w:id="152" w:name="page153"/>
    <w:bookmarkEnd w:id="152"/>
    <w:p>
      <w:pPr>
        <w:jc w:val="both"/>
        <w:spacing w:after="0" w:line="259" w:lineRule="auto"/>
        <w:rPr>
          <w:sz w:val="20"/>
          <w:szCs w:val="20"/>
          <w:color w:val="auto"/>
        </w:rPr>
      </w:pPr>
      <w:r>
        <w:rPr>
          <w:rFonts w:ascii="Arial" w:cs="Arial" w:eastAsia="Arial" w:hAnsi="Arial"/>
          <w:sz w:val="18"/>
          <w:szCs w:val="18"/>
          <w:color w:val="auto"/>
        </w:rPr>
        <w:t>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9.</w:t>
      </w:r>
    </w:p>
    <w:p>
      <w:pPr>
        <w:sectPr>
          <w:pgSz w:w="11900" w:h="16838" w:orient="portrait"/>
          <w:cols w:equalWidth="0" w:num="1">
            <w:col w:w="11420"/>
          </w:cols>
          <w:pgMar w:left="240" w:top="449"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10.2.22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294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320" w:type="dxa"/>
            <w:vAlign w:val="bottom"/>
            <w:gridSpan w:val="2"/>
          </w:tcPr>
          <w:p>
            <w:pPr>
              <w:ind w:left="780"/>
              <w:spacing w:after="0"/>
              <w:rPr>
                <w:sz w:val="20"/>
                <w:szCs w:val="20"/>
                <w:color w:val="auto"/>
              </w:rPr>
            </w:pPr>
            <w:r>
              <w:rPr>
                <w:rFonts w:ascii="Arial" w:cs="Arial" w:eastAsia="Arial" w:hAnsi="Arial"/>
                <w:sz w:val="18"/>
                <w:szCs w:val="18"/>
                <w:b w:val="1"/>
                <w:bCs w:val="1"/>
                <w:color w:val="auto"/>
                <w:w w:val="88"/>
              </w:rPr>
              <w:t>Regeneron Pharmaceuticals, Inc.</w:t>
            </w:r>
          </w:p>
        </w:tc>
        <w:tc>
          <w:tcPr>
            <w:tcW w:w="0" w:type="dxa"/>
            <w:vAlign w:val="bottom"/>
          </w:tcPr>
          <w:p>
            <w:pPr>
              <w:spacing w:after="0"/>
              <w:rPr>
                <w:sz w:val="1"/>
                <w:szCs w:val="1"/>
                <w:color w:val="auto"/>
              </w:rPr>
            </w:pPr>
          </w:p>
        </w:tc>
      </w:tr>
      <w:tr>
        <w:trPr>
          <w:trHeight w:val="297"/>
        </w:trPr>
        <w:tc>
          <w:tcPr>
            <w:tcW w:w="4360" w:type="dxa"/>
            <w:vAlign w:val="bottom"/>
          </w:tcPr>
          <w:p>
            <w:pPr>
              <w:spacing w:after="0"/>
              <w:rPr>
                <w:sz w:val="24"/>
                <w:szCs w:val="24"/>
                <w:color w:val="auto"/>
              </w:rPr>
            </w:pPr>
          </w:p>
        </w:tc>
        <w:tc>
          <w:tcPr>
            <w:tcW w:w="1460" w:type="dxa"/>
            <w:vAlign w:val="bottom"/>
          </w:tcPr>
          <w:p>
            <w:pPr>
              <w:ind w:left="7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860" w:type="dxa"/>
            <w:vAlign w:val="bottom"/>
          </w:tcPr>
          <w:p>
            <w:pPr>
              <w:jc w:val="right"/>
              <w:ind w:right="1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360" w:type="dxa"/>
            <w:vAlign w:val="bottom"/>
          </w:tcPr>
          <w:p>
            <w:pPr>
              <w:spacing w:after="0"/>
              <w:rPr>
                <w:sz w:val="20"/>
                <w:szCs w:val="20"/>
                <w:color w:val="auto"/>
              </w:rPr>
            </w:pPr>
            <w:r>
              <w:rPr>
                <w:rFonts w:ascii="Arial" w:cs="Arial" w:eastAsia="Arial" w:hAnsi="Arial"/>
                <w:sz w:val="18"/>
                <w:szCs w:val="18"/>
                <w:b w:val="1"/>
                <w:bCs w:val="1"/>
                <w:color w:val="auto"/>
              </w:rPr>
              <w:t>Notice of Grant of Performance Restricted</w:t>
            </w:r>
          </w:p>
        </w:tc>
        <w:tc>
          <w:tcPr>
            <w:tcW w:w="3320" w:type="dxa"/>
            <w:vAlign w:val="bottom"/>
            <w:gridSpan w:val="2"/>
          </w:tcPr>
          <w:p>
            <w:pPr>
              <w:ind w:left="780"/>
              <w:spacing w:after="0"/>
              <w:rPr>
                <w:sz w:val="20"/>
                <w:szCs w:val="20"/>
                <w:color w:val="auto"/>
              </w:rPr>
            </w:pPr>
            <w:r>
              <w:rPr>
                <w:rFonts w:ascii="Arial" w:cs="Arial" w:eastAsia="Arial" w:hAnsi="Arial"/>
                <w:sz w:val="18"/>
                <w:szCs w:val="18"/>
                <w:color w:val="auto"/>
              </w:rPr>
              <w:t>777 Old Saw Mill River Road</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b w:val="1"/>
                <w:bCs w:val="1"/>
                <w:color w:val="auto"/>
              </w:rPr>
              <w:t>Stock Units and Performance Restricted Stock</w:t>
            </w:r>
          </w:p>
        </w:tc>
        <w:tc>
          <w:tcPr>
            <w:tcW w:w="3320" w:type="dxa"/>
            <w:vAlign w:val="bottom"/>
            <w:gridSpan w:val="2"/>
            <w:vMerge w:val="restart"/>
          </w:tcPr>
          <w:p>
            <w:pPr>
              <w:ind w:left="780"/>
              <w:spacing w:after="0"/>
              <w:rPr>
                <w:sz w:val="20"/>
                <w:szCs w:val="20"/>
                <w:color w:val="auto"/>
              </w:rPr>
            </w:pPr>
            <w:r>
              <w:rPr>
                <w:rFonts w:ascii="Arial" w:cs="Arial" w:eastAsia="Arial" w:hAnsi="Arial"/>
                <w:sz w:val="18"/>
                <w:szCs w:val="18"/>
                <w:color w:val="auto"/>
              </w:rPr>
              <w:t>Tarrytown, New York 10591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 Agreement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360680</wp:posOffset>
            </wp:positionV>
            <wp:extent cx="72294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3640" w:type="dxa"/>
            <w:vAlign w:val="bottom"/>
          </w:tcPr>
          <w:p>
            <w:pPr>
              <w:ind w:left="2080"/>
              <w:spacing w:after="0"/>
              <w:rPr>
                <w:sz w:val="20"/>
                <w:szCs w:val="20"/>
                <w:color w:val="auto"/>
              </w:rPr>
            </w:pPr>
            <w:r>
              <w:rPr>
                <w:rFonts w:ascii="Arial" w:cs="Arial" w:eastAsia="Arial" w:hAnsi="Arial"/>
                <w:sz w:val="18"/>
                <w:szCs w:val="18"/>
                <w:b w:val="1"/>
                <w:bCs w:val="1"/>
                <w:color w:val="auto"/>
              </w:rPr>
              <w:t>Performance RSU</w:t>
            </w:r>
          </w:p>
        </w:tc>
        <w:tc>
          <w:tcPr>
            <w:tcW w:w="520" w:type="dxa"/>
            <w:vAlign w:val="bottom"/>
            <w:vMerge w:val="restart"/>
          </w:tcPr>
          <w:p>
            <w:pPr>
              <w:jc w:val="right"/>
              <w:ind w:right="192"/>
              <w:spacing w:after="0"/>
              <w:rPr>
                <w:sz w:val="20"/>
                <w:szCs w:val="20"/>
                <w:color w:val="auto"/>
              </w:rPr>
            </w:pPr>
            <w:r>
              <w:rPr>
                <w:rFonts w:ascii="Arial" w:cs="Arial" w:eastAsia="Arial" w:hAnsi="Arial"/>
                <w:sz w:val="22"/>
                <w:szCs w:val="22"/>
                <w:b w:val="1"/>
                <w:bCs w:val="1"/>
                <w:color w:val="auto"/>
              </w:rPr>
              <w:t>[</w:t>
            </w:r>
          </w:p>
        </w:tc>
        <w:tc>
          <w:tcPr>
            <w:tcW w:w="4140" w:type="dxa"/>
            <w:vAlign w:val="bottom"/>
            <w:vMerge w:val="restart"/>
          </w:tcPr>
          <w:p>
            <w:pPr>
              <w:jc w:val="right"/>
              <w:ind w:right="3672"/>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44"/>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640" w:type="dxa"/>
            <w:vAlign w:val="bottom"/>
          </w:tcPr>
          <w:p>
            <w:pPr>
              <w:ind w:left="2080"/>
              <w:spacing w:after="0"/>
              <w:rPr>
                <w:sz w:val="20"/>
                <w:szCs w:val="20"/>
                <w:color w:val="auto"/>
              </w:rPr>
            </w:pPr>
            <w:r>
              <w:rPr>
                <w:rFonts w:ascii="Arial" w:cs="Arial" w:eastAsia="Arial" w:hAnsi="Arial"/>
                <w:sz w:val="18"/>
                <w:szCs w:val="18"/>
                <w:b w:val="1"/>
                <w:bCs w:val="1"/>
                <w:color w:val="auto"/>
              </w:rPr>
              <w:t>Number:</w:t>
            </w:r>
          </w:p>
        </w:tc>
        <w:tc>
          <w:tcPr>
            <w:tcW w:w="520" w:type="dxa"/>
            <w:vAlign w:val="bottom"/>
            <w:vMerge w:val="continue"/>
          </w:tcPr>
          <w:p>
            <w:pPr>
              <w:spacing w:after="0"/>
              <w:rPr>
                <w:sz w:val="21"/>
                <w:szCs w:val="21"/>
                <w:color w:val="auto"/>
              </w:rPr>
            </w:pPr>
          </w:p>
        </w:tc>
        <w:tc>
          <w:tcPr>
            <w:tcW w:w="4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3640" w:type="dxa"/>
            <w:vAlign w:val="bottom"/>
          </w:tcPr>
          <w:p>
            <w:pPr>
              <w:ind w:left="2080"/>
              <w:spacing w:after="0"/>
              <w:rPr>
                <w:sz w:val="20"/>
                <w:szCs w:val="20"/>
                <w:color w:val="auto"/>
              </w:rPr>
            </w:pPr>
            <w:r>
              <w:rPr>
                <w:rFonts w:ascii="Arial" w:cs="Arial" w:eastAsia="Arial" w:hAnsi="Arial"/>
                <w:sz w:val="18"/>
                <w:szCs w:val="18"/>
                <w:b w:val="1"/>
                <w:bCs w:val="1"/>
                <w:color w:val="auto"/>
              </w:rPr>
              <w:t>Plan:</w:t>
            </w:r>
          </w:p>
        </w:tc>
        <w:tc>
          <w:tcPr>
            <w:tcW w:w="5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140" w:type="dxa"/>
            <w:vAlign w:val="bottom"/>
          </w:tcPr>
          <w:p>
            <w:pPr>
              <w:jc w:val="right"/>
              <w:ind w:right="3672"/>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3640" w:type="dxa"/>
            <w:vAlign w:val="bottom"/>
          </w:tcPr>
          <w:p>
            <w:pPr>
              <w:ind w:left="2080"/>
              <w:spacing w:after="0"/>
              <w:rPr>
                <w:sz w:val="20"/>
                <w:szCs w:val="20"/>
                <w:color w:val="auto"/>
              </w:rPr>
            </w:pPr>
            <w:r>
              <w:rPr>
                <w:rFonts w:ascii="Arial" w:cs="Arial" w:eastAsia="Arial" w:hAnsi="Arial"/>
                <w:sz w:val="18"/>
                <w:szCs w:val="18"/>
                <w:b w:val="1"/>
                <w:bCs w:val="1"/>
                <w:color w:val="auto"/>
              </w:rPr>
              <w:t>ID:</w:t>
            </w:r>
          </w:p>
        </w:tc>
        <w:tc>
          <w:tcPr>
            <w:tcW w:w="5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140" w:type="dxa"/>
            <w:vAlign w:val="bottom"/>
          </w:tcPr>
          <w:p>
            <w:pPr>
              <w:jc w:val="right"/>
              <w:ind w:right="3672"/>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321"/>
        </w:trPr>
        <w:tc>
          <w:tcPr>
            <w:tcW w:w="30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&lt;date&gt; (the “Grant Date”) you have been granted Performance Restricted Stock Units with respect to a target number of [ ] shares of REGENERON PHARMACUTICALS, INC. (the “Company”) common stock (the “Target PSU”). Please refer to Section 2, Definitions below for definitions of certain terms used in this Notice. Any capitalized term used but not defined in this Notice shall have the meaning given to such term in the Plan.</w:t>
      </w:r>
    </w:p>
    <w:p>
      <w:pPr>
        <w:spacing w:after="0" w:line="192"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Vesting Criteria and Rules</w:t>
      </w:r>
      <w:r>
        <w:rPr>
          <w:rFonts w:ascii="Arial" w:cs="Arial" w:eastAsia="Arial" w:hAnsi="Arial"/>
          <w:sz w:val="20"/>
          <w:szCs w:val="20"/>
          <w:color w:val="auto"/>
        </w:rPr>
        <w:t>.</w:t>
      </w:r>
    </w:p>
    <w:p>
      <w:pPr>
        <w:spacing w:after="0" w:line="215" w:lineRule="exact"/>
        <w:rPr>
          <w:rFonts w:ascii="Arial" w:cs="Arial" w:eastAsia="Arial" w:hAnsi="Arial"/>
          <w:sz w:val="20"/>
          <w:szCs w:val="20"/>
          <w:u w:val="single" w:color="auto"/>
          <w:color w:val="auto"/>
        </w:rPr>
      </w:pPr>
    </w:p>
    <w:p>
      <w:pPr>
        <w:ind w:left="660"/>
        <w:spacing w:after="0"/>
        <w:rPr>
          <w:rFonts w:ascii="Arial" w:cs="Arial" w:eastAsia="Arial" w:hAnsi="Arial"/>
          <w:sz w:val="20"/>
          <w:szCs w:val="20"/>
          <w:u w:val="single" w:color="auto"/>
          <w:color w:val="auto"/>
        </w:rPr>
      </w:pPr>
      <w:r>
        <w:rPr>
          <w:rFonts w:ascii="Arial" w:cs="Arial" w:eastAsia="Arial" w:hAnsi="Arial"/>
          <w:sz w:val="20"/>
          <w:szCs w:val="20"/>
          <w:u w:val="single" w:color="auto"/>
          <w:color w:val="auto"/>
        </w:rPr>
        <w:t>A. Primary Performance Schedule</w:t>
      </w:r>
      <w:r>
        <w:rPr>
          <w:rFonts w:ascii="Arial" w:cs="Arial" w:eastAsia="Arial" w:hAnsi="Arial"/>
          <w:sz w:val="20"/>
          <w:szCs w:val="20"/>
          <w:color w:val="auto"/>
        </w:rPr>
        <w: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Performance Restricted Stock Units shall be eligible to vest based on determinations that are to be made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upon the fourth anniversary of the Grant Date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upon the fifth anniversary of the Grant Date, subject to earlier determinations upon a Change in Control. Rules regarding the timing of issuance of shares of Company Stock in connection with the vesting of Performance Restricted Stock Units are set forth below under Section 3, Special Rules (“Special Rules”).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number of shares of Company Stock deliverable in respect of determinations that are to be made upon the fourth anniversary of the Grant Date shall be based on the following matrix (the “4-Year Goal”):</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80" w:type="dxa"/>
            <w:vAlign w:val="bottom"/>
            <w:gridSpan w:val="2"/>
          </w:tcPr>
          <w:p>
            <w:pPr>
              <w:ind w:left="900"/>
              <w:spacing w:after="0"/>
              <w:rPr>
                <w:sz w:val="20"/>
                <w:szCs w:val="20"/>
                <w:color w:val="auto"/>
              </w:rPr>
            </w:pPr>
            <w:r>
              <w:rPr>
                <w:rFonts w:ascii="Arial" w:cs="Arial" w:eastAsia="Arial" w:hAnsi="Arial"/>
                <w:sz w:val="20"/>
                <w:szCs w:val="20"/>
                <w:b w:val="1"/>
                <w:bCs w:val="1"/>
                <w:color w:val="auto"/>
              </w:rPr>
              <w:t>4-Year Goal</w:t>
            </w:r>
          </w:p>
        </w:tc>
        <w:tc>
          <w:tcPr>
            <w:tcW w:w="42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563"/>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Payout (as percentage of Target</w:t>
            </w: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91"/>
              </w:rPr>
              <w:t>Level</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gridSpan w:val="2"/>
          </w:tcPr>
          <w:p>
            <w:pPr>
              <w:spacing w:after="0" w:line="209" w:lineRule="exact"/>
              <w:rPr>
                <w:sz w:val="20"/>
                <w:szCs w:val="20"/>
                <w:color w:val="auto"/>
              </w:rPr>
            </w:pPr>
            <w:r>
              <w:rPr>
                <w:rFonts w:ascii="Arial" w:cs="Arial" w:eastAsia="Arial" w:hAnsi="Arial"/>
                <w:sz w:val="20"/>
                <w:szCs w:val="20"/>
                <w:color w:val="auto"/>
              </w:rPr>
              <w:t>Cumulative TSR</w:t>
            </w:r>
          </w:p>
        </w:tc>
        <w:tc>
          <w:tcPr>
            <w:tcW w:w="2780" w:type="dxa"/>
            <w:vAlign w:val="bottom"/>
            <w:gridSpan w:val="2"/>
          </w:tcPr>
          <w:p>
            <w:pPr>
              <w:spacing w:after="0" w:line="209" w:lineRule="exact"/>
              <w:rPr>
                <w:sz w:val="20"/>
                <w:szCs w:val="20"/>
                <w:color w:val="auto"/>
              </w:rPr>
            </w:pPr>
            <w:r>
              <w:rPr>
                <w:rFonts w:ascii="Arial" w:cs="Arial" w:eastAsia="Arial" w:hAnsi="Arial"/>
                <w:sz w:val="20"/>
                <w:szCs w:val="20"/>
                <w:color w:val="auto"/>
              </w:rPr>
              <w:t>PSU)</w:t>
            </w:r>
          </w:p>
        </w:tc>
      </w:tr>
      <w:tr>
        <w:trPr>
          <w:trHeight w:val="20"/>
        </w:trPr>
        <w:tc>
          <w:tcPr>
            <w:tcW w:w="4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8"/>
        </w:trPr>
        <w:tc>
          <w:tcPr>
            <w:tcW w:w="1860" w:type="dxa"/>
            <w:vAlign w:val="bottom"/>
            <w:gridSpan w:val="2"/>
          </w:tcPr>
          <w:p>
            <w:pPr>
              <w:spacing w:after="0"/>
              <w:rPr>
                <w:sz w:val="20"/>
                <w:szCs w:val="20"/>
                <w:color w:val="auto"/>
              </w:rPr>
            </w:pPr>
            <w:r>
              <w:rPr>
                <w:rFonts w:ascii="Arial" w:cs="Arial" w:eastAsia="Arial" w:hAnsi="Arial"/>
                <w:sz w:val="20"/>
                <w:szCs w:val="20"/>
                <w:color w:val="auto"/>
              </w:rPr>
              <w:t>Maximum</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+75%</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225%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+69%</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+63%</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175%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+57%</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150%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+52%</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125%</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Target</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+46%</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+34%</w:t>
            </w:r>
          </w:p>
        </w:tc>
        <w:tc>
          <w:tcPr>
            <w:tcW w:w="1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75%</w:t>
            </w:r>
          </w:p>
        </w:tc>
        <w:tc>
          <w:tcPr>
            <w:tcW w:w="2360" w:type="dxa"/>
            <w:vAlign w:val="bottom"/>
          </w:tcPr>
          <w:p>
            <w:pPr>
              <w:spacing w:after="0"/>
              <w:rPr>
                <w:sz w:val="24"/>
                <w:szCs w:val="24"/>
                <w:color w:val="auto"/>
              </w:rPr>
            </w:pP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Threshold</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+22%</w:t>
            </w:r>
          </w:p>
        </w:tc>
        <w:tc>
          <w:tcPr>
            <w:tcW w:w="1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50%</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5-Year Goal</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number of shares of Company Stock deliverable in respect of determinations that are to be made upon the fifth anniversary of the Grant Date shall be based on the following matrix (the “5-Year Goal”), except that the number of shares of Company Stock deliverable shall be net of the number (if any) of shares of Company Stock previously delivered in respect of the 4-Year Goal:</w:t>
      </w:r>
    </w:p>
    <w:p>
      <w:pPr>
        <w:spacing w:after="0" w:line="324"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Payout (as percentage of Target</w:t>
            </w: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91"/>
              </w:rPr>
              <w:t>Level</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gridSpan w:val="2"/>
          </w:tcPr>
          <w:p>
            <w:pPr>
              <w:spacing w:after="0" w:line="209" w:lineRule="exact"/>
              <w:rPr>
                <w:sz w:val="20"/>
                <w:szCs w:val="20"/>
                <w:color w:val="auto"/>
              </w:rPr>
            </w:pPr>
            <w:r>
              <w:rPr>
                <w:rFonts w:ascii="Arial" w:cs="Arial" w:eastAsia="Arial" w:hAnsi="Arial"/>
                <w:sz w:val="20"/>
                <w:szCs w:val="20"/>
                <w:color w:val="auto"/>
              </w:rPr>
              <w:t>Cumulative TSR</w:t>
            </w:r>
          </w:p>
        </w:tc>
        <w:tc>
          <w:tcPr>
            <w:tcW w:w="2780" w:type="dxa"/>
            <w:vAlign w:val="bottom"/>
            <w:gridSpan w:val="2"/>
          </w:tcPr>
          <w:p>
            <w:pPr>
              <w:spacing w:after="0" w:line="209" w:lineRule="exact"/>
              <w:rPr>
                <w:sz w:val="20"/>
                <w:szCs w:val="20"/>
                <w:color w:val="auto"/>
              </w:rPr>
            </w:pPr>
            <w:r>
              <w:rPr>
                <w:rFonts w:ascii="Arial" w:cs="Arial" w:eastAsia="Arial" w:hAnsi="Arial"/>
                <w:sz w:val="20"/>
                <w:szCs w:val="20"/>
                <w:color w:val="auto"/>
              </w:rPr>
              <w:t>PSU)</w:t>
            </w:r>
          </w:p>
        </w:tc>
      </w:tr>
      <w:tr>
        <w:trPr>
          <w:trHeight w:val="20"/>
        </w:trPr>
        <w:tc>
          <w:tcPr>
            <w:tcW w:w="4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8"/>
        </w:trPr>
        <w:tc>
          <w:tcPr>
            <w:tcW w:w="1860" w:type="dxa"/>
            <w:vAlign w:val="bottom"/>
            <w:gridSpan w:val="2"/>
          </w:tcPr>
          <w:p>
            <w:pPr>
              <w:spacing w:after="0"/>
              <w:rPr>
                <w:sz w:val="20"/>
                <w:szCs w:val="20"/>
                <w:color w:val="auto"/>
              </w:rPr>
            </w:pPr>
            <w:r>
              <w:rPr>
                <w:rFonts w:ascii="Arial" w:cs="Arial" w:eastAsia="Arial" w:hAnsi="Arial"/>
                <w:sz w:val="20"/>
                <w:szCs w:val="20"/>
                <w:color w:val="auto"/>
              </w:rPr>
              <w:t>Maximum</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+101%</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225%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+93%</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+84%</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175%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+76%</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150%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+69%</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125%</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Target</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+61%</w:t>
            </w:r>
          </w:p>
        </w:tc>
        <w:tc>
          <w:tcPr>
            <w:tcW w:w="15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+44%</w:t>
            </w:r>
          </w:p>
        </w:tc>
        <w:tc>
          <w:tcPr>
            <w:tcW w:w="1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75%</w:t>
            </w:r>
          </w:p>
        </w:tc>
        <w:tc>
          <w:tcPr>
            <w:tcW w:w="2360" w:type="dxa"/>
            <w:vAlign w:val="bottom"/>
          </w:tcPr>
          <w:p>
            <w:pPr>
              <w:spacing w:after="0"/>
              <w:rPr>
                <w:sz w:val="24"/>
                <w:szCs w:val="24"/>
                <w:color w:val="auto"/>
              </w:rPr>
            </w:pP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Threshold</w:t>
            </w:r>
          </w:p>
        </w:tc>
        <w:tc>
          <w:tcPr>
            <w:tcW w:w="2340" w:type="dxa"/>
            <w:vAlign w:val="bottom"/>
            <w:gridSpan w:val="2"/>
          </w:tcPr>
          <w:p>
            <w:pPr>
              <w:ind w:left="1000"/>
              <w:spacing w:after="0"/>
              <w:rPr>
                <w:sz w:val="20"/>
                <w:szCs w:val="20"/>
                <w:color w:val="auto"/>
              </w:rPr>
            </w:pPr>
            <w:r>
              <w:rPr>
                <w:rFonts w:ascii="Arial" w:cs="Arial" w:eastAsia="Arial" w:hAnsi="Arial"/>
                <w:sz w:val="20"/>
                <w:szCs w:val="20"/>
                <w:color w:val="auto"/>
              </w:rPr>
              <w:t>+28%</w:t>
            </w:r>
          </w:p>
        </w:tc>
        <w:tc>
          <w:tcPr>
            <w:tcW w:w="15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50%</w:t>
            </w:r>
          </w:p>
        </w:tc>
        <w:tc>
          <w:tcPr>
            <w:tcW w:w="2360" w:type="dxa"/>
            <w:vAlign w:val="bottom"/>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 Performance Restricted Stock Units shall vest for performance below the Threshold level (except as set forth below under Section 1.B, Secondary Relative TSR Performance Schedule (the “Secondary Relative TSR Performance Schedule”)) and no additional payments shall be made for payments above the Maximum level. There shall be straight line interpolation to determine the payout percentage earned for performance above the Threshold level and falling between the percentages specified in the matrices shown above and below. In the event of a Change in Control prior to the fourth anniversary of the Grant Date, the performance period shall be deemed to have ended on the date of the Change in Control and the payment of Company Stock shall be based on the compound annual growth rate (“CAGR”) of the TSR attained as of such date for the shortened performance period (as determined by the Committee) measured against the CAGR levels set forth in the matrix below. In the event of a Change in Control between the fourth and fifth anniversaries of the Grant Date, the performance period shall be deemed to have ended on the date of the Change in Control and the payment of Company Stock shall be based on the CAGR of the TSR attained as of such date for the shortened performance period (as determined by the Committee) measured against the CAGR levels set forth in the matrix below, net of any shares paid pursuant to the determination of the 4-Year Goal. Further, in the event that no Performance Restricted Stock Units have vested hereunder pursuant to the CAGR of the TSR attained for a shortened performance period (whether or not occurring after the first four years of the performance period), the Secondary Relative TSR Performance Schedule shall be applied, except that the relative TSR described therein shall be determined over the shortened performance period.</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CAGR matrix shall be used to determine the number of shares of Company Stock deliverable in respect of TSR performance over a shortened performance period:</w:t>
      </w:r>
    </w:p>
    <w:p>
      <w:pPr>
        <w:spacing w:after="0" w:line="315"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Payout (as percentage of Target</w:t>
            </w: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91"/>
              </w:rPr>
              <w:t>Level</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line="209" w:lineRule="exact"/>
              <w:rPr>
                <w:sz w:val="20"/>
                <w:szCs w:val="20"/>
                <w:color w:val="auto"/>
              </w:rPr>
            </w:pPr>
            <w:r>
              <w:rPr>
                <w:rFonts w:ascii="Arial" w:cs="Arial" w:eastAsia="Arial" w:hAnsi="Arial"/>
                <w:sz w:val="20"/>
                <w:szCs w:val="20"/>
                <w:color w:val="auto"/>
                <w:w w:val="93"/>
              </w:rPr>
              <w:t>CAGR</w:t>
            </w:r>
          </w:p>
        </w:tc>
        <w:tc>
          <w:tcPr>
            <w:tcW w:w="2320" w:type="dxa"/>
            <w:vAlign w:val="bottom"/>
          </w:tcPr>
          <w:p>
            <w:pPr>
              <w:spacing w:after="0"/>
              <w:rPr>
                <w:sz w:val="18"/>
                <w:szCs w:val="18"/>
                <w:color w:val="auto"/>
              </w:rPr>
            </w:pPr>
          </w:p>
        </w:tc>
        <w:tc>
          <w:tcPr>
            <w:tcW w:w="2780" w:type="dxa"/>
            <w:vAlign w:val="bottom"/>
            <w:gridSpan w:val="2"/>
          </w:tcPr>
          <w:p>
            <w:pPr>
              <w:spacing w:after="0" w:line="209" w:lineRule="exact"/>
              <w:rPr>
                <w:sz w:val="20"/>
                <w:szCs w:val="20"/>
                <w:color w:val="auto"/>
              </w:rPr>
            </w:pPr>
            <w:r>
              <w:rPr>
                <w:rFonts w:ascii="Arial" w:cs="Arial" w:eastAsia="Arial" w:hAnsi="Arial"/>
                <w:sz w:val="20"/>
                <w:szCs w:val="20"/>
                <w:color w:val="auto"/>
              </w:rPr>
              <w:t>PSU)</w:t>
            </w:r>
          </w:p>
        </w:tc>
      </w:tr>
      <w:tr>
        <w:trPr>
          <w:trHeight w:val="20"/>
        </w:trPr>
        <w:tc>
          <w:tcPr>
            <w:tcW w:w="4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8"/>
        </w:trPr>
        <w:tc>
          <w:tcPr>
            <w:tcW w:w="1860" w:type="dxa"/>
            <w:vAlign w:val="bottom"/>
            <w:gridSpan w:val="2"/>
          </w:tcPr>
          <w:p>
            <w:pPr>
              <w:spacing w:after="0"/>
              <w:rPr>
                <w:sz w:val="20"/>
                <w:szCs w:val="20"/>
                <w:color w:val="auto"/>
              </w:rPr>
            </w:pPr>
            <w:r>
              <w:rPr>
                <w:rFonts w:ascii="Arial" w:cs="Arial" w:eastAsia="Arial" w:hAnsi="Arial"/>
                <w:sz w:val="20"/>
                <w:szCs w:val="20"/>
                <w:color w:val="auto"/>
              </w:rPr>
              <w:t>Maximum</w:t>
            </w: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+15%</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225%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+14%</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200%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+13%</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175%</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+12%</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150%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+11%</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125%</w:t>
            </w: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Target</w:t>
            </w: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+10%</w:t>
            </w:r>
          </w:p>
        </w:tc>
        <w:tc>
          <w:tcPr>
            <w:tcW w:w="23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100%</w:t>
            </w:r>
          </w:p>
        </w:tc>
      </w:tr>
      <w:tr>
        <w:trPr>
          <w:trHeight w:val="284"/>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w w:val="94"/>
              </w:rPr>
              <w:t>+7.5%</w:t>
            </w:r>
          </w:p>
        </w:tc>
        <w:tc>
          <w:tcPr>
            <w:tcW w:w="2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75%</w:t>
            </w:r>
          </w:p>
        </w:tc>
        <w:tc>
          <w:tcPr>
            <w:tcW w:w="2360" w:type="dxa"/>
            <w:vAlign w:val="bottom"/>
          </w:tcPr>
          <w:p>
            <w:pPr>
              <w:spacing w:after="0"/>
              <w:rPr>
                <w:sz w:val="24"/>
                <w:szCs w:val="24"/>
                <w:color w:val="auto"/>
              </w:rPr>
            </w:pPr>
          </w:p>
        </w:tc>
      </w:tr>
      <w:tr>
        <w:trPr>
          <w:trHeight w:val="284"/>
        </w:trPr>
        <w:tc>
          <w:tcPr>
            <w:tcW w:w="1860" w:type="dxa"/>
            <w:vAlign w:val="bottom"/>
            <w:gridSpan w:val="2"/>
          </w:tcPr>
          <w:p>
            <w:pPr>
              <w:spacing w:after="0"/>
              <w:rPr>
                <w:sz w:val="20"/>
                <w:szCs w:val="20"/>
                <w:color w:val="auto"/>
              </w:rPr>
            </w:pPr>
            <w:r>
              <w:rPr>
                <w:rFonts w:ascii="Arial" w:cs="Arial" w:eastAsia="Arial" w:hAnsi="Arial"/>
                <w:sz w:val="20"/>
                <w:szCs w:val="20"/>
                <w:color w:val="auto"/>
              </w:rPr>
              <w:t>Threshold</w:t>
            </w:r>
          </w:p>
        </w:tc>
        <w:tc>
          <w:tcPr>
            <w:tcW w:w="1560" w:type="dxa"/>
            <w:vAlign w:val="bottom"/>
            <w:gridSpan w:val="2"/>
          </w:tcPr>
          <w:p>
            <w:pPr>
              <w:ind w:left="1000"/>
              <w:spacing w:after="0"/>
              <w:rPr>
                <w:sz w:val="20"/>
                <w:szCs w:val="20"/>
                <w:color w:val="auto"/>
              </w:rPr>
            </w:pPr>
            <w:r>
              <w:rPr>
                <w:rFonts w:ascii="Arial" w:cs="Arial" w:eastAsia="Arial" w:hAnsi="Arial"/>
                <w:sz w:val="20"/>
                <w:szCs w:val="20"/>
                <w:color w:val="auto"/>
              </w:rPr>
              <w:t>+5%</w:t>
            </w:r>
          </w:p>
        </w:tc>
        <w:tc>
          <w:tcPr>
            <w:tcW w:w="23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color w:val="auto"/>
                <w:w w:val="99"/>
              </w:rPr>
              <w:t>50%</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0"/>
          <w:szCs w:val="20"/>
          <w:u w:val="single" w:color="auto"/>
          <w:color w:val="auto"/>
        </w:rPr>
        <w:t>B. Secondary Relative TSR Performance Schedule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immediately following the determination of performance against the 5-Year Goal (or upon a shortened performance period due to a Change in Control, as described above), (1) no Performance Restricted Stock Units have vested hereunder and (2) the Company’s TSR for such 5-year period (or shortened performance period, as applicable) is at least 200 basis points above the TSR of the Nasdaq Biotech Index (composite return) as determined by the Committee for the corresponding period, then a number of Performance Restricted Stock Units equal to 50% of the Target PSU shall vest hereunder.</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the extent not earned pursuant to the criteria set forth above, the Performance Restricted Stock Units shall be forfeited upon the fifth anniversary of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 Definitions</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“Beginning Stock Price” shall mean the Fair Market Value of a share of the Company Stock on the Grant Date.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“Closing Price” of a share of Company Stock, as of a date of determination, shall mean (1) the closing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“Dividend Value” shall mean the value of any dividends paid on a share of Company Stock during the applicable measurement period, with the payment date deemed to have occurred on the ex-dividend date for such dividend and the amount of such dividend deemed reinvested in shares of Company Stock as of the ex-dividend date (based on the Closing Price of such shares on such date).</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“Ending Stock Price” shall mean the average Closing Price of a share of Company Stock for the twenty trading days immediately preceding the applicable determination date, after adjusting for the Dividend Value, as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“Plan” shall mean the Amended and Restated Regeneron Pharmaceuticals, Inc. 2014 Long-Term Incentive Plan, as amended from time to time.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“TSR” shall mean the percent return on a share of Company Stock, determined using the following calculation: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TSR = (Ending Stock Price - Beginning Stock Price)/(Beginning Stock Price)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 Special Rules</w:t>
      </w:r>
      <w:r>
        <w:rPr>
          <w:rFonts w:ascii="Arial" w:cs="Arial" w:eastAsia="Arial" w:hAnsi="Arial"/>
          <w:sz w:val="20"/>
          <w:szCs w:val="20"/>
          <w:color w:val="auto"/>
        </w:rPr>
        <w: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Upon a termination of employment due to death or retirement (as defined in the Company’s employee handbook as in effect on the date hereof) (such retirement, “Retirement”), the Performance Restricted Stock Unit award shall remain outstanding, and vesting and forfeiture shall be determined in the manner set forth in this Notice, without regard to such termination of employment.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For the avoidance of doubt, and notwithstanding any provision in this Notice, the Performance Restricted Stock Unit Agreement, or the Plan to the contrary, no termination of employment shall be deemed to take place unless the Recipient has ceased both to be employed by and to provide service [(other than continued service on the board of directors of the successor, surviving, or resulting entity of the Company following a Change in Control, as described below)]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 the Company and/or its Subsidiaries.</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ind w:left="140" w:hanging="132"/>
        <w:spacing w:after="0" w:line="195" w:lineRule="auto"/>
        <w:tabs>
          <w:tab w:leader="none" w:pos="140" w:val="left"/>
        </w:tabs>
        <w:numPr>
          <w:ilvl w:val="0"/>
          <w:numId w:val="81"/>
        </w:numPr>
        <w:rPr>
          <w:rFonts w:ascii="Arial" w:cs="Arial" w:eastAsia="Arial" w:hAnsi="Arial"/>
          <w:sz w:val="29"/>
          <w:szCs w:val="29"/>
          <w:color w:val="auto"/>
          <w:vertAlign w:val="superscript"/>
        </w:rPr>
      </w:pPr>
      <w:r>
        <w:rPr>
          <w:rFonts w:ascii="Arial" w:cs="Arial" w:eastAsia="Arial" w:hAnsi="Arial"/>
          <w:sz w:val="20"/>
          <w:szCs w:val="20"/>
          <w:color w:val="auto"/>
        </w:rPr>
        <w:t>Not applicable to Notices for P. Roy Vagelos, M.D.</w:t>
      </w:r>
    </w:p>
    <w:p>
      <w:pPr>
        <w:sectPr>
          <w:pgSz w:w="11900" w:h="16838" w:orient="portrait"/>
          <w:cols w:equalWidth="0" w:num="1">
            <w:col w:w="11420"/>
          </w:cols>
          <w:pgMar w:left="240" w:top="555" w:right="239" w:bottom="1440" w:gutter="0" w:footer="0" w:header="0"/>
        </w:sectPr>
      </w:pPr>
    </w:p>
    <w:bookmarkStart w:id="156" w:name="page157"/>
    <w:bookmarkEnd w:id="156"/>
    <w:p>
      <w:pPr>
        <w:jc w:val="both"/>
        <w:spacing w:after="0" w:line="260" w:lineRule="auto"/>
        <w:rPr>
          <w:sz w:val="20"/>
          <w:szCs w:val="20"/>
          <w:color w:val="auto"/>
        </w:rPr>
      </w:pPr>
      <w:r>
        <w:rPr>
          <w:rFonts w:ascii="Arial" w:cs="Arial" w:eastAsia="Arial" w:hAnsi="Arial"/>
          <w:sz w:val="20"/>
          <w:szCs w:val="20"/>
          <w:color w:val="auto"/>
        </w:rPr>
        <w:t>Upon any termination of employment other than (1) due to death, (2) due to Retirement, or (3) following a Change in Control, any unvested portion of the Performance Restricted Stock Units shall be immediately forfeited.</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event that the Company pays dividends during a performance period, the number of shares of Company Stock subject to the Target PSU shall be increased by a number of shares of Company Stock equal to the aggregate amount of the dividend payable with respect to the number of shares of Company Stock subject to the Target PSU, divided by the Fair Market Value of a share of the Company Stock on the ex-dividend date with respect to such dividend.</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[Except in the case of vesting determinations made early due to the occurrence of a Change in Control, shares]</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[Shares]</w:t>
      </w:r>
      <w:r>
        <w:rPr>
          <w:rFonts w:ascii="Arial" w:cs="Arial" w:eastAsia="Arial" w:hAnsi="Arial"/>
          <w:sz w:val="21"/>
          <w:szCs w:val="21"/>
          <w:color w:val="auto"/>
          <w:vertAlign w:val="superscript"/>
        </w:rPr>
        <w:t>3</w:t>
      </w:r>
      <w:r>
        <w:rPr>
          <w:rFonts w:ascii="Arial" w:cs="Arial" w:eastAsia="Arial" w:hAnsi="Arial"/>
          <w:sz w:val="17"/>
          <w:szCs w:val="17"/>
          <w:color w:val="auto"/>
        </w:rPr>
        <w:t xml:space="preserve"> of Company Stock earned pursuant to the Performance Restricted Stock Unit Agreement and this Notice shall be delivered (subject to satisfaction of the applicable tax withholding requirements) as soon as practicable (but in no event more than 30 days) following the applicable vesting determination described above, which shall be made by the Committee within 30 days following completion of the applicable performance period.</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the case of vesting determinations made early due to the occurrence of a Change in Control, shares of Company Stock earned pursuant to the Performance Restricted Stock Unit Agreement and this Notice based on a determination made as a result of such Change in Control shall be delivered (subject to satisfaction of the applicable tax withholding requirements) as soon as practicable (but in no event more than 30 days) following the fifth anniversary of the Grant Date (subject to your continued employment upon such anniversary);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the event that your employment is terminated prior to such fifth anniversary and upon or within the two-year period immediately following the Change in Control either by the Company without Cause (as defined below) or by you for Good Reason (as defined below) or due to your death, such shares shall be delivered upon or within 30 days following such termination (and shall be forfeited upon any other termination of employment). In addition, in the event that the Performance Restricted Stock Units are not assumed or converted into an economically-equivalent right upon a Change in Control, Performance Restricted Stock Units earned as a result of vesting determinations made early due to the occurrence of a Change in Control shall be delivered upon or as soon as practicable following the Change in Control.</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purposes of this Notice, “</w:t>
      </w:r>
      <w:r>
        <w:rPr>
          <w:rFonts w:ascii="Arial" w:cs="Arial" w:eastAsia="Arial" w:hAnsi="Arial"/>
          <w:sz w:val="18"/>
          <w:szCs w:val="18"/>
          <w:u w:val="single" w:color="auto"/>
          <w:color w:val="auto"/>
        </w:rPr>
        <w:t>Cause</w:t>
      </w:r>
      <w:r>
        <w:rPr>
          <w:rFonts w:ascii="Arial" w:cs="Arial" w:eastAsia="Arial" w:hAnsi="Arial"/>
          <w:sz w:val="18"/>
          <w:szCs w:val="18"/>
          <w:color w:val="auto"/>
        </w:rPr>
        <w:t>” shall mean (i) in the case where there is no employment agreement, consulting agreement, change in control agreement or plan, or similar agreement or plan in effect between you and the Company (or otherwise applicable to you) on the Grant Date (or where there is such an agreement or plan but it does not define “cause” (or words of like import)) (A) the willful and continued failure by you substantially to perform your duties and obligations to the Company (other than any such failure resulting from your incapacity due to physical or mental illness), including without limitation, repeated refusal to follow the reasonable directions of the Company, violation of the Company’s Code of Business Conduct and Ethics, knowing violation of law in the course of performance of your duties of employment, repeated absences from work without a reasonable excuse, or intoxication with alcohol or illegal drugs while on the Company’s premises during regular business hours; (B) fraud or material dishonesty against the Company; or (C) a conviction or plea of guilty or nolo contendere to a felony or a crime involving material dishonesty; or (ii) in the case where there is an employment agreement, consulting agreement, change in control agreement or plan, or similar agreement or plan in effect between you and the Company (or otherwise applicable to you) on the Grant Date that defines “cause” (or words of like import), as defined under such agreement or plan. For purposes of this paragraph, no act, or failure to act, on your part shall be considered “willful” unless done, or omitted to be done, by you in bad faith and without reasonable belief that the action or omission was in the best interest of the Company.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purposes of this Notice,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(i) in the case where there is no employment agreement, consulting agreement, change in control agreement or plan, or similar agreement or plan in effect between you and the Company (or otherwise applicable to you) on the Grant Date (or where there is such an agreement or plan but it does not define “good reason” (or words of like import)) a termination of employment by you within one hundred twenty (120) days after the occurrence of one of the following events after the occurrence of a Change in Control</w:t>
      </w:r>
    </w:p>
    <w:p>
      <w:pPr>
        <w:ind w:left="60"/>
        <w:spacing w:after="0" w:line="234" w:lineRule="auto"/>
        <w:rPr>
          <w:sz w:val="20"/>
          <w:szCs w:val="20"/>
          <w:color w:val="auto"/>
        </w:rPr>
      </w:pPr>
      <w:r>
        <w:rPr>
          <w:rFonts w:ascii="Arial" w:cs="Arial" w:eastAsia="Arial" w:hAnsi="Arial"/>
          <w:sz w:val="22"/>
          <w:szCs w:val="22"/>
          <w:color w:val="auto"/>
        </w:rPr>
        <w:t>____________________</w:t>
      </w:r>
    </w:p>
    <w:p>
      <w:pPr>
        <w:ind w:left="140" w:hanging="132"/>
        <w:spacing w:after="0" w:line="192" w:lineRule="auto"/>
        <w:tabs>
          <w:tab w:leader="none" w:pos="140" w:val="left"/>
        </w:tabs>
        <w:numPr>
          <w:ilvl w:val="0"/>
          <w:numId w:val="82"/>
        </w:numPr>
        <w:rPr>
          <w:rFonts w:ascii="Arial" w:cs="Arial" w:eastAsia="Arial" w:hAnsi="Arial"/>
          <w:sz w:val="29"/>
          <w:szCs w:val="29"/>
          <w:color w:val="auto"/>
          <w:vertAlign w:val="superscript"/>
        </w:rPr>
      </w:pPr>
      <w:r>
        <w:rPr>
          <w:rFonts w:ascii="Arial" w:cs="Arial" w:eastAsia="Arial" w:hAnsi="Arial"/>
          <w:sz w:val="20"/>
          <w:szCs w:val="20"/>
          <w:color w:val="auto"/>
        </w:rPr>
        <w:t>Not applicable to Notices for P. Roy Vagelos, M.D.</w:t>
      </w:r>
    </w:p>
    <w:p>
      <w:pPr>
        <w:spacing w:after="0" w:line="36"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28"/>
          <w:szCs w:val="28"/>
          <w:color w:val="auto"/>
          <w:vertAlign w:val="superscript"/>
        </w:rPr>
        <w:t>3</w:t>
      </w:r>
      <w:r>
        <w:rPr>
          <w:rFonts w:ascii="Arial" w:cs="Arial" w:eastAsia="Arial" w:hAnsi="Arial"/>
          <w:sz w:val="20"/>
          <w:szCs w:val="20"/>
          <w:color w:val="auto"/>
        </w:rPr>
        <w:t xml:space="preserve"> Only applicable to Notices for P. Roy Vagelos, M.D.</w:t>
      </w:r>
    </w:p>
    <w:p>
      <w:pPr>
        <w:sectPr>
          <w:pgSz w:w="11900" w:h="16838" w:orient="portrait"/>
          <w:cols w:equalWidth="0" w:num="1">
            <w:col w:w="11420"/>
          </w:cols>
          <w:pgMar w:left="240" w:top="555" w:right="239" w:bottom="1440" w:gutter="0" w:footer="0" w:header="0"/>
        </w:sectPr>
      </w:pPr>
    </w:p>
    <w:bookmarkStart w:id="157" w:name="page158"/>
    <w:bookmarkEnd w:id="157"/>
    <w:p>
      <w:pPr>
        <w:jc w:val="both"/>
        <w:spacing w:after="0" w:line="242" w:lineRule="auto"/>
        <w:rPr>
          <w:sz w:val="20"/>
          <w:szCs w:val="20"/>
          <w:color w:val="auto"/>
        </w:rPr>
      </w:pPr>
      <w:r>
        <w:rPr>
          <w:rFonts w:ascii="Arial" w:cs="Arial" w:eastAsia="Arial" w:hAnsi="Arial"/>
          <w:sz w:val="20"/>
          <w:szCs w:val="20"/>
          <w:color w:val="auto"/>
        </w:rPr>
        <w:t>unless such events are fully corrected in all material respects by you within thirty (30) days following written notification by you to the Company that you intend to terminate your employment hereunder for one of the reasons set forth below: (A) (1) any material diminution in your duties and responsibilities from those which existed immediately prior to a Change in Control (except in each case in connection with the termination of your employment for Cause or as a result of your death, or temporarily as a result of your illness or other absence), or (2) the assignment to you of duties and</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 xml:space="preserve">responsibilities materially inconsistent with the position held by you; (B) any material breach by the Company of any material provision of any written agreement with you or failure to timely pay any compensation obligation to you; (C) a reduction in your annual base salary or target bonus opportunity (if any) from that which existed immediately prior to a Change in Control; or (D) if you are based at the Company’s principal executive office, any relocation therefrom or, in any event, a relocation of your primary office of more than fifty (50) miles from the location immediately prior to a Change in Control; or (ii) in the case where there is an employment agreement, consulting agreement, change in control agreement or plan, or similar agreement or plan in effect between you and the Company (or otherwise applicable to you) on the Grant Date that defines “good reason” (or words of like import), as defined under such agreement or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definition shall be deemed, solely for purposes of this Notice,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has ended due to Dr. Schleifer’s Involuntary Termination (as defined in the Employment Agreement)].</w:t>
      </w:r>
      <w:r>
        <w:rPr>
          <w:rFonts w:ascii="Arial" w:cs="Arial" w:eastAsia="Arial" w:hAnsi="Arial"/>
          <w:sz w:val="24"/>
          <w:szCs w:val="24"/>
          <w:color w:val="auto"/>
          <w:vertAlign w:val="superscript"/>
        </w:rPr>
        <w:t>4</w:t>
      </w:r>
      <w:r>
        <w:rPr>
          <w:rFonts w:ascii="Arial" w:cs="Arial" w:eastAsia="Arial" w:hAnsi="Arial"/>
          <w:sz w:val="19"/>
          <w:szCs w:val="19"/>
          <w:color w:val="auto"/>
        </w:rPr>
        <w:t>]</w:t>
      </w:r>
      <w:r>
        <w:rPr>
          <w:rFonts w:ascii="Arial" w:cs="Arial" w:eastAsia="Arial" w:hAnsi="Arial"/>
          <w:sz w:val="24"/>
          <w:szCs w:val="24"/>
          <w:color w:val="auto"/>
          <w:vertAlign w:val="superscript"/>
        </w:rPr>
        <w:t>5</w:t>
      </w:r>
      <w:r>
        <w:rPr>
          <w:rFonts w:ascii="Arial" w:cs="Arial" w:eastAsia="Arial" w:hAnsi="Arial"/>
          <w:sz w:val="19"/>
          <w:szCs w:val="19"/>
          <w:color w:val="auto"/>
        </w:rPr>
        <w:t xml:space="preserve"> [For purposes of this Notice, in the event of a termination without Cause or for Good Reason on or within the two-year period following a Change in Control, continued service on the board of directors of the successor, surviving, or resulting entity of the Company in a Change in Control transaction shall not affect the payment timing (which shall be upon or within 30 days following such termination).</w:t>
      </w:r>
      <w:r>
        <w:rPr>
          <w:rFonts w:ascii="Arial" w:cs="Arial" w:eastAsia="Arial" w:hAnsi="Arial"/>
          <w:sz w:val="24"/>
          <w:szCs w:val="24"/>
          <w:color w:val="auto"/>
          <w:vertAlign w:val="superscript"/>
        </w:rPr>
        <w:t>6</w:t>
      </w:r>
      <w:r>
        <w:rPr>
          <w:rFonts w:ascii="Arial" w:cs="Arial" w:eastAsia="Arial" w:hAnsi="Arial"/>
          <w:sz w:val="19"/>
          <w:szCs w:val="19"/>
          <w:color w:val="auto"/>
        </w:rPr>
        <w:t>]</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and the Company agree that these Performance Restricted Stock Units are granted under and governed by the terms and conditions of the Plan and the enclosed Performance Restricted Stock Unit Agreement, both of which are attached and made a part of this document. You and the Company further agree that these Performance Restricted Stock Units are intended to be short-term deferrals exempt from the provisions of Section 409A of the Code and shall be construed and interpreted in accordance with such intention.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ind w:left="120" w:hanging="112"/>
        <w:spacing w:after="0" w:line="186" w:lineRule="auto"/>
        <w:tabs>
          <w:tab w:leader="none" w:pos="120" w:val="left"/>
        </w:tabs>
        <w:numPr>
          <w:ilvl w:val="0"/>
          <w:numId w:val="83"/>
        </w:numPr>
        <w:rPr>
          <w:rFonts w:ascii="Arial" w:cs="Arial" w:eastAsia="Arial" w:hAnsi="Arial"/>
          <w:sz w:val="29"/>
          <w:szCs w:val="29"/>
          <w:color w:val="auto"/>
          <w:vertAlign w:val="superscript"/>
        </w:rPr>
      </w:pPr>
      <w:r>
        <w:rPr>
          <w:rFonts w:ascii="Arial" w:cs="Arial" w:eastAsia="Arial" w:hAnsi="Arial"/>
          <w:sz w:val="20"/>
          <w:szCs w:val="20"/>
          <w:color w:val="auto"/>
        </w:rPr>
        <w:t>Only applicable to Notices for George D. Yancopoulos, M.D., Ph.D.</w:t>
      </w:r>
    </w:p>
    <w:p>
      <w:pPr>
        <w:spacing w:after="0" w:line="8" w:lineRule="exact"/>
        <w:rPr>
          <w:rFonts w:ascii="Arial" w:cs="Arial" w:eastAsia="Arial" w:hAnsi="Arial"/>
          <w:sz w:val="29"/>
          <w:szCs w:val="29"/>
          <w:color w:val="auto"/>
          <w:vertAlign w:val="superscript"/>
        </w:rPr>
      </w:pPr>
    </w:p>
    <w:p>
      <w:pPr>
        <w:jc w:val="both"/>
        <w:ind w:right="7260"/>
        <w:spacing w:after="0" w:line="254" w:lineRule="auto"/>
        <w:rPr>
          <w:rFonts w:ascii="Arial" w:cs="Arial" w:eastAsia="Arial" w:hAnsi="Arial"/>
          <w:sz w:val="29"/>
          <w:szCs w:val="29"/>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Not applicable to Notices for P. Roy Vagelos, M.D.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Not applicable to Notices for P. Roy Vagelos, M.D.</w:t>
      </w:r>
    </w:p>
    <w:p>
      <w:pPr>
        <w:sectPr>
          <w:pgSz w:w="11900" w:h="16838" w:orient="portrait"/>
          <w:cols w:equalWidth="0" w:num="1">
            <w:col w:w="11420"/>
          </w:cols>
          <w:pgMar w:left="240" w:top="555"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UNIT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330"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made as of the date on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by and between Regeneron Pharmaceuticals, Inc., a New York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its Subsidiaries, the “</w:t>
      </w: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and the employee named on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Recipient</w:t>
      </w:r>
      <w:r>
        <w:rPr>
          <w:rFonts w:ascii="Arial" w:cs="Arial" w:eastAsia="Arial" w:hAnsi="Arial"/>
          <w:sz w:val="18"/>
          <w:szCs w:val="18"/>
          <w:color w:val="auto"/>
        </w:rPr>
        <w:t>”). Any capitalized term used but not defined in this Agreement shall have the meaning given to such term in the Plan (as defined below).</w:t>
      </w:r>
    </w:p>
    <w:p>
      <w:pPr>
        <w:spacing w:after="0" w:line="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xml:space="preserve">) to the Recipient a Performance Restricted Stock Unit (as defined below) with respect to the number of shares of Company Stock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Performance Restricted Stock Units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3" w:lineRule="exact"/>
        <w:rPr>
          <w:sz w:val="20"/>
          <w:szCs w:val="20"/>
          <w:color w:val="auto"/>
        </w:rPr>
      </w:pPr>
    </w:p>
    <w:p>
      <w:pPr>
        <w:jc w:val="both"/>
        <w:ind w:firstLine="1305"/>
        <w:spacing w:after="0" w:line="250" w:lineRule="auto"/>
        <w:tabs>
          <w:tab w:leader="none" w:pos="208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Grant of Award</w:t>
      </w:r>
      <w:r>
        <w:rPr>
          <w:rFonts w:ascii="Arial" w:cs="Arial" w:eastAsia="Arial" w:hAnsi="Arial"/>
          <w:sz w:val="18"/>
          <w:szCs w:val="18"/>
          <w:color w:val="auto"/>
        </w:rPr>
        <w:t>. Pursuant to Section 9 of the Plan, the Company grants to the Recipient, subject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subject further to the terms and conditions set forth herein, a restricted stock unit (referred to in the Plan as “Phantom Stock”) (each such unit, a “</w:t>
      </w:r>
      <w:r>
        <w:rPr>
          <w:rFonts w:ascii="Arial" w:cs="Arial" w:eastAsia="Arial" w:hAnsi="Arial"/>
          <w:sz w:val="18"/>
          <w:szCs w:val="18"/>
          <w:u w:val="single" w:color="auto"/>
          <w:color w:val="auto"/>
        </w:rPr>
        <w:t>Performance Restricted Stock Unit</w:t>
      </w:r>
      <w:r>
        <w:rPr>
          <w:rFonts w:ascii="Arial" w:cs="Arial" w:eastAsia="Arial" w:hAnsi="Arial"/>
          <w:sz w:val="18"/>
          <w:szCs w:val="18"/>
          <w:color w:val="auto"/>
        </w:rPr>
        <w:t xml:space="preserve">”) with respect to the shares of Company Stock as determined in accordance with the </w:t>
      </w:r>
      <w:r>
        <w:rPr>
          <w:rFonts w:ascii="Arial" w:cs="Arial" w:eastAsia="Arial" w:hAnsi="Arial"/>
          <w:sz w:val="18"/>
          <w:szCs w:val="18"/>
          <w:i w:val="1"/>
          <w:iCs w:val="1"/>
          <w:color w:val="auto"/>
        </w:rPr>
        <w:t>Notice of Grant of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 Units</w:t>
      </w:r>
      <w:r>
        <w:rPr>
          <w:rFonts w:ascii="Arial" w:cs="Arial" w:eastAsia="Arial" w:hAnsi="Arial"/>
          <w:sz w:val="18"/>
          <w:szCs w:val="18"/>
          <w:color w:val="auto"/>
        </w:rPr>
        <w:t>. The Participant’s record of Company Stock ownership shall be recorded in the books of the Company only when and to the extent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Restricted Stock Units vest and the shares of Company Stock are issued. At the Recipient’s request, vested shares may be evidenced by stock certificates or book-entry registration.</w:t>
      </w:r>
    </w:p>
    <w:p>
      <w:pPr>
        <w:spacing w:after="0" w:line="2" w:lineRule="exact"/>
        <w:rPr>
          <w:rFonts w:ascii="Arial" w:cs="Arial" w:eastAsia="Arial" w:hAnsi="Arial"/>
          <w:sz w:val="18"/>
          <w:szCs w:val="18"/>
          <w:color w:val="auto"/>
        </w:rPr>
      </w:pPr>
    </w:p>
    <w:p>
      <w:pPr>
        <w:jc w:val="both"/>
        <w:ind w:firstLine="1305"/>
        <w:spacing w:after="0" w:line="246" w:lineRule="auto"/>
        <w:tabs>
          <w:tab w:leader="none" w:pos="208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Vesting; Forfeiture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21"/>
          <w:szCs w:val="21"/>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Restricted Stock Units granted to the Recipient shall vest and be forfeited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t>
      </w:r>
      <w:r>
        <w:rPr>
          <w:rFonts w:ascii="Arial" w:cs="Arial" w:eastAsia="Arial" w:hAnsi="Arial"/>
          <w:sz w:val="18"/>
          <w:szCs w:val="18"/>
          <w:i w:val="1"/>
          <w:iCs w:val="1"/>
          <w:color w:val="auto"/>
        </w:rPr>
        <w:t>Notice of Grant of Performance Restricted Stock Units</w:t>
      </w:r>
      <w:r>
        <w:rPr>
          <w:rFonts w:ascii="Arial" w:cs="Arial" w:eastAsia="Arial" w:hAnsi="Arial"/>
          <w:sz w:val="18"/>
          <w:szCs w:val="18"/>
          <w:color w:val="auto"/>
        </w:rPr>
        <w:t xml:space="preserve">. The provisions of this Section 2(a) are subject to the provisions set forth in the </w:t>
      </w:r>
      <w:r>
        <w:rPr>
          <w:rFonts w:ascii="Arial" w:cs="Arial" w:eastAsia="Arial" w:hAnsi="Arial"/>
          <w:sz w:val="18"/>
          <w:szCs w:val="18"/>
          <w:i w:val="1"/>
          <w:iCs w:val="1"/>
          <w:color w:val="auto"/>
        </w:rPr>
        <w:t>Notice of Grant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Performance Restricted Stock Units </w:t>
      </w:r>
      <w:r>
        <w:rPr>
          <w:rFonts w:ascii="Arial" w:cs="Arial" w:eastAsia="Arial" w:hAnsi="Arial"/>
          <w:sz w:val="18"/>
          <w:szCs w:val="18"/>
          <w:color w:val="auto"/>
        </w:rPr>
        <w:t>and any employment agreement, consulting agreement, change in control agreement or plan, or similar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in effect between the Employer and the Recipient (or otherwise applicable to the Recipient) on the date of grant specified in the </w:t>
      </w:r>
      <w:r>
        <w:rPr>
          <w:rFonts w:ascii="Arial" w:cs="Arial" w:eastAsia="Arial" w:hAnsi="Arial"/>
          <w:sz w:val="18"/>
          <w:szCs w:val="18"/>
          <w:i w:val="1"/>
          <w:iCs w:val="1"/>
          <w:color w:val="auto"/>
        </w:rPr>
        <w:t>Notice of Grant of</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Restricted Stock Units</w:t>
      </w:r>
      <w:r>
        <w:rPr>
          <w:rFonts w:ascii="Arial" w:cs="Arial" w:eastAsia="Arial" w:hAnsi="Arial"/>
          <w:sz w:val="18"/>
          <w:szCs w:val="18"/>
          <w:color w:val="auto"/>
        </w:rPr>
        <w:t>.</w:t>
      </w:r>
    </w:p>
    <w:p>
      <w:pPr>
        <w:spacing w:after="0" w:line="91" w:lineRule="exact"/>
        <w:rPr>
          <w:rFonts w:ascii="Arial" w:cs="Arial" w:eastAsia="Arial" w:hAnsi="Arial"/>
          <w:sz w:val="18"/>
          <w:szCs w:val="18"/>
          <w:color w:val="auto"/>
        </w:rPr>
      </w:pPr>
    </w:p>
    <w:p>
      <w:pPr>
        <w:jc w:val="both"/>
        <w:ind w:left="80" w:firstLine="644"/>
        <w:spacing w:after="0" w:line="268" w:lineRule="auto"/>
        <w:tabs>
          <w:tab w:leader="none" w:pos="98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Performance Restricted Stock Units</w:t>
      </w:r>
      <w:r>
        <w:rPr>
          <w:rFonts w:ascii="Arial" w:cs="Arial" w:eastAsia="Arial" w:hAnsi="Arial"/>
          <w:sz w:val="17"/>
          <w:szCs w:val="17"/>
          <w:color w:val="auto"/>
        </w:rPr>
        <w:t>, if the application of the Change in Control provisions set forth in the</w:t>
      </w:r>
      <w:r>
        <w:rPr>
          <w:rFonts w:ascii="Arial" w:cs="Arial" w:eastAsia="Arial" w:hAnsi="Arial"/>
          <w:sz w:val="17"/>
          <w:szCs w:val="17"/>
          <w:i w:val="1"/>
          <w:iCs w:val="1"/>
          <w:color w:val="auto"/>
        </w:rPr>
        <w:t xml:space="preserve"> Notice of Grant of Performance Restricted Stock Units</w:t>
      </w:r>
      <w:r>
        <w:rPr>
          <w:rFonts w:ascii="Arial" w:cs="Arial" w:eastAsia="Arial" w:hAnsi="Arial"/>
          <w:sz w:val="17"/>
          <w:szCs w:val="17"/>
          <w:color w:val="auto"/>
        </w:rPr>
        <w:t>, similar provisions in other stock option or equity compensation grants, and other payments and benefits payable to the Recipient upon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Employer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Recipient being subject to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payable under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 not covered by (1) above.</w:t>
      </w:r>
    </w:p>
    <w:p>
      <w:pPr>
        <w:spacing w:after="0" w:line="71" w:lineRule="exact"/>
        <w:rPr>
          <w:rFonts w:ascii="Arial" w:cs="Arial" w:eastAsia="Arial" w:hAnsi="Arial"/>
          <w:sz w:val="17"/>
          <w:szCs w:val="17"/>
          <w:color w:val="auto"/>
        </w:rPr>
      </w:pPr>
    </w:p>
    <w:p>
      <w:pPr>
        <w:ind w:left="2080" w:hanging="775"/>
        <w:spacing w:after="0"/>
        <w:tabs>
          <w:tab w:leader="none" w:pos="208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Reserved.</w:t>
      </w:r>
    </w:p>
    <w:p>
      <w:pPr>
        <w:sectPr>
          <w:pgSz w:w="11900" w:h="16838" w:orient="portrait"/>
          <w:cols w:equalWidth="0" w:num="1">
            <w:col w:w="11420"/>
          </w:cols>
          <w:pgMar w:left="240" w:top="549" w:right="239" w:bottom="1440" w:gutter="0" w:footer="0" w:header="0"/>
        </w:sectPr>
      </w:pPr>
    </w:p>
    <w:bookmarkStart w:id="159" w:name="page160"/>
    <w:bookmarkEnd w:id="159"/>
    <w:p>
      <w:pPr>
        <w:jc w:val="both"/>
        <w:ind w:left="-1200" w:firstLine="1305"/>
        <w:spacing w:after="0" w:line="26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if such 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jc w:val="both"/>
        <w:ind w:left="-1200" w:firstLine="1305"/>
        <w:spacing w:after="0" w:line="28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Invalid Transfers</w:t>
      </w:r>
      <w:r>
        <w:rPr>
          <w:rFonts w:ascii="Arial" w:cs="Arial" w:eastAsia="Arial" w:hAnsi="Arial"/>
          <w:sz w:val="17"/>
          <w:szCs w:val="17"/>
          <w:color w:val="auto"/>
        </w:rPr>
        <w:t>. No purported sale, assignment, mortgage, hypothecation, transfer, pledge, encumbrance, gift, transfer in trust</w:t>
      </w:r>
      <w:r>
        <w:rPr>
          <w:rFonts w:ascii="Arial" w:cs="Arial" w:eastAsia="Arial" w:hAnsi="Arial"/>
          <w:sz w:val="17"/>
          <w:szCs w:val="17"/>
          <w:b w:val="1"/>
          <w:bCs w:val="1"/>
          <w:color w:val="auto"/>
        </w:rPr>
        <w:t xml:space="preserve"> </w:t>
      </w:r>
      <w:r>
        <w:rPr>
          <w:rFonts w:ascii="Arial" w:cs="Arial" w:eastAsia="Arial" w:hAnsi="Arial"/>
          <w:sz w:val="17"/>
          <w:szCs w:val="17"/>
          <w:color w:val="auto"/>
        </w:rPr>
        <w:t>(voting or other) or other disposition of, or creation of a security interest in or lien on, any of the Performance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56" w:lineRule="exact"/>
        <w:rPr>
          <w:rFonts w:ascii="Arial" w:cs="Arial" w:eastAsia="Arial" w:hAnsi="Arial"/>
          <w:sz w:val="17"/>
          <w:szCs w:val="17"/>
          <w:color w:val="auto"/>
        </w:rPr>
      </w:pPr>
    </w:p>
    <w:p>
      <w:pPr>
        <w:jc w:val="both"/>
        <w:ind w:left="-1200" w:firstLine="1305"/>
        <w:spacing w:after="0" w:line="27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At the time the Recipient recognizes taxable income in respect of the Performance Restricted Stock Units,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federal, state and/or local taxes the Company determines it is required to withhold under applicable tax laws with respect to the Performance Restricted Stock Units shall be due from the Recipient to the Company and shall (except as may otherwise be determined by the Board of Directors or the Committee from time to time (including following the date hereof)) be satisfied by surrendering to the Company a portion of the shares of Company Stock otherwise deliverable with respect to the Performance Restricted Stock Units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66" w:lineRule="exact"/>
        <w:rPr>
          <w:rFonts w:ascii="Arial" w:cs="Arial" w:eastAsia="Arial" w:hAnsi="Arial"/>
          <w:sz w:val="17"/>
          <w:szCs w:val="17"/>
          <w:color w:val="auto"/>
        </w:rPr>
      </w:pPr>
    </w:p>
    <w:p>
      <w:pPr>
        <w:ind w:left="-1200" w:right="240" w:firstLine="1305"/>
        <w:spacing w:after="0" w:line="26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The Recipient will not have the rights of a shareholder with respect to shares of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Performance Restricted Stock Units until the vesting of the Performance Restricted Stock Units and the delivery of shares of Company Stock with respect to such vesting.</w:t>
      </w:r>
    </w:p>
    <w:p>
      <w:pPr>
        <w:spacing w:after="0" w:line="68" w:lineRule="exact"/>
        <w:rPr>
          <w:rFonts w:ascii="Arial" w:cs="Arial" w:eastAsia="Arial" w:hAnsi="Arial"/>
          <w:sz w:val="18"/>
          <w:szCs w:val="18"/>
          <w:color w:val="auto"/>
        </w:rPr>
      </w:pPr>
    </w:p>
    <w:p>
      <w:pPr>
        <w:jc w:val="both"/>
        <w:ind w:left="-1200" w:firstLine="1305"/>
        <w:spacing w:after="0" w:line="261"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71" w:lineRule="exact"/>
        <w:rPr>
          <w:rFonts w:ascii="Arial" w:cs="Arial" w:eastAsia="Arial" w:hAnsi="Arial"/>
          <w:sz w:val="18"/>
          <w:szCs w:val="18"/>
          <w:color w:val="auto"/>
        </w:rPr>
      </w:pPr>
    </w:p>
    <w:p>
      <w:pPr>
        <w:jc w:val="both"/>
        <w:ind w:left="-1200" w:firstLine="1305"/>
        <w:spacing w:after="0" w:line="314" w:lineRule="auto"/>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w:t>
      </w:r>
      <w:r>
        <w:rPr>
          <w:rFonts w:ascii="Arial" w:cs="Arial" w:eastAsia="Arial" w:hAnsi="Arial"/>
          <w:sz w:val="16"/>
          <w:szCs w:val="16"/>
          <w:b w:val="1"/>
          <w:bCs w:val="1"/>
          <w:color w:val="auto"/>
        </w:rPr>
        <w:t xml:space="preserve"> </w:t>
      </w:r>
      <w:r>
        <w:rPr>
          <w:rFonts w:ascii="Arial" w:cs="Arial" w:eastAsia="Arial" w:hAnsi="Arial"/>
          <w:sz w:val="16"/>
          <w:szCs w:val="16"/>
          <w:color w:val="auto"/>
        </w:rPr>
        <w:t>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4" w:lineRule="exact"/>
        <w:rPr>
          <w:rFonts w:ascii="Arial" w:cs="Arial" w:eastAsia="Arial" w:hAnsi="Arial"/>
          <w:sz w:val="16"/>
          <w:szCs w:val="16"/>
          <w:color w:val="auto"/>
        </w:rPr>
      </w:pPr>
    </w:p>
    <w:p>
      <w:pPr>
        <w:jc w:val="both"/>
        <w:ind w:left="-1200" w:firstLine="1305"/>
        <w:spacing w:after="0" w:line="277" w:lineRule="auto"/>
        <w:tabs>
          <w:tab w:leader="none" w:pos="97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10.</w:t>
      </w:r>
    </w:p>
    <w:p>
      <w:pPr>
        <w:spacing w:after="0" w:line="60" w:lineRule="exact"/>
        <w:rPr>
          <w:rFonts w:ascii="Arial" w:cs="Arial" w:eastAsia="Arial" w:hAnsi="Arial"/>
          <w:sz w:val="17"/>
          <w:szCs w:val="17"/>
          <w:color w:val="auto"/>
        </w:rPr>
      </w:pPr>
    </w:p>
    <w:p>
      <w:pPr>
        <w:ind w:left="-1200" w:firstLine="1305"/>
        <w:spacing w:after="0" w:line="282" w:lineRule="auto"/>
        <w:tabs>
          <w:tab w:leader="none" w:pos="96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specified time period, nor does it modify in any respect the Recipient’s employment or compensation.</w:t>
      </w:r>
    </w:p>
    <w:p>
      <w:pPr>
        <w:spacing w:after="0" w:line="53" w:lineRule="exact"/>
        <w:rPr>
          <w:rFonts w:ascii="Arial" w:cs="Arial" w:eastAsia="Arial" w:hAnsi="Arial"/>
          <w:sz w:val="18"/>
          <w:szCs w:val="18"/>
          <w:color w:val="auto"/>
        </w:rPr>
      </w:pPr>
    </w:p>
    <w:p>
      <w:pPr>
        <w:jc w:val="both"/>
        <w:ind w:left="-1200" w:firstLine="1305"/>
        <w:spacing w:after="0" w:line="258" w:lineRule="auto"/>
        <w:tabs>
          <w:tab w:leader="none" w:pos="97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Performance Restricted Stock Units and the shares of Company Stock deliverable pursuant to the Performance Restricted Stock Units granted hereunder (including after all restrictions on such shares have lapsed).</w:t>
      </w:r>
    </w:p>
    <w:p>
      <w:pPr>
        <w:sectPr>
          <w:pgSz w:w="11900" w:h="16838" w:orient="portrait"/>
          <w:cols w:equalWidth="0" w:num="1">
            <w:col w:w="10220"/>
          </w:cols>
          <w:pgMar w:left="1440" w:top="661" w:right="239" w:bottom="1440" w:gutter="0" w:footer="0" w:header="0"/>
        </w:sectPr>
      </w:pPr>
    </w:p>
    <w:bookmarkStart w:id="160" w:name="page161"/>
    <w:bookmarkEnd w:id="160"/>
    <w:p>
      <w:pPr>
        <w:ind w:left="10300"/>
        <w:spacing w:after="0"/>
        <w:rPr>
          <w:sz w:val="20"/>
          <w:szCs w:val="20"/>
          <w:color w:val="auto"/>
        </w:rPr>
      </w:pPr>
      <w:r>
        <w:rPr>
          <w:rFonts w:ascii="Arial" w:cs="Arial" w:eastAsia="Arial" w:hAnsi="Arial"/>
          <w:sz w:val="16"/>
          <w:szCs w:val="16"/>
          <w:color w:val="auto"/>
        </w:rPr>
        <w:t>Exhibit 10.10.2</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AGREEMENT</w:t>
      </w:r>
    </w:p>
    <w:p>
      <w:pPr>
        <w:spacing w:after="0" w:line="22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Second Amendment Agreement (“Second Amendment Agreement”) is made and effective as of December 19th, 2019 (the “Effective Date”) with the Parties’ obligations hereunder to commence on January 1</w:t>
      </w:r>
      <w:r>
        <w:rPr>
          <w:rFonts w:ascii="Arial" w:cs="Arial" w:eastAsia="Arial" w:hAnsi="Arial"/>
          <w:sz w:val="25"/>
          <w:szCs w:val="25"/>
          <w:color w:val="auto"/>
          <w:vertAlign w:val="superscript"/>
        </w:rPr>
        <w:t>st</w:t>
      </w:r>
      <w:r>
        <w:rPr>
          <w:rFonts w:ascii="Arial" w:cs="Arial" w:eastAsia="Arial" w:hAnsi="Arial"/>
          <w:sz w:val="20"/>
          <w:szCs w:val="20"/>
          <w:color w:val="auto"/>
        </w:rPr>
        <w:t>, 2022 (the “Commencement Date”) by and between (i) Regeneron Ireland Designated Activity Company (“RIRE”) and (ii) Bayer Healthcare LLC (“Bayer”).</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Regeneron Pharmaceuticals, Inc., the ultimate parent company of RIRE, (“Regeneron”) and Bayer were Parties to a License and Collaboration Agreement having an effective date of October 18, 2006, which was amended by a Restated Amendment Agreement effective May 7, 2012 and dated December 30, 2014 (“Restated Amendment Agreement”) to reflect changes in the financial and other arrangements with respect to the Commercialization of Licensed Products in Japan (the said License and Collaboration Agreement, as amended, the “LCA”) and partially assigned to RIRE;</w:t>
      </w:r>
    </w:p>
    <w:p>
      <w:pPr>
        <w:spacing w:after="0" w:line="19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WHEREAS, Regeneron and Bayer agreed that Licensed Products would be Commercialized in Japan by Santen Pharmaceutical Co., Ltd. (“Santen”) pursuant to a Co-Promotion and Distribution Agreement by and between Bayer Yakuhin, Ltd (“BYL”) and Santen dated May 7, 2012 which was subsequently amended on July 14</w:t>
      </w:r>
      <w:r>
        <w:rPr>
          <w:rFonts w:ascii="Arial" w:cs="Arial" w:eastAsia="Arial" w:hAnsi="Arial"/>
          <w:sz w:val="25"/>
          <w:szCs w:val="25"/>
          <w:color w:val="auto"/>
          <w:vertAlign w:val="superscript"/>
        </w:rPr>
        <w:t>th</w:t>
      </w:r>
      <w:r>
        <w:rPr>
          <w:rFonts w:ascii="Arial" w:cs="Arial" w:eastAsia="Arial" w:hAnsi="Arial"/>
          <w:sz w:val="20"/>
          <w:szCs w:val="20"/>
          <w:color w:val="auto"/>
        </w:rPr>
        <w:t>, 2016 (the said Co-Promotion and Distribution Agreement, as amended, the “Santen Co-Promotion Agreement”);</w:t>
      </w:r>
    </w:p>
    <w:p>
      <w:pPr>
        <w:spacing w:after="0" w:line="1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the Santen Co-Promotion Agreement will expire on December 31</w:t>
      </w:r>
      <w:r>
        <w:rPr>
          <w:rFonts w:ascii="Arial" w:cs="Arial" w:eastAsia="Arial" w:hAnsi="Arial"/>
          <w:sz w:val="25"/>
          <w:szCs w:val="25"/>
          <w:color w:val="auto"/>
          <w:vertAlign w:val="superscript"/>
        </w:rPr>
        <w:t>st</w:t>
      </w:r>
      <w:r>
        <w:rPr>
          <w:rFonts w:ascii="Arial" w:cs="Arial" w:eastAsia="Arial" w:hAnsi="Arial"/>
          <w:sz w:val="20"/>
          <w:szCs w:val="20"/>
          <w:color w:val="auto"/>
        </w:rPr>
        <w:t>, 2021 and BYL and Santen would like to extend it, subject to the terms and conditions of an Amended and Restated Co-Promotion and Distribution Agreement (the “Extended Santen Co-Promotion Agreement”);</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Parties would like to revise several terms and conditions in the Santen Co-Promotion Agreement considering the anticipated changes to the Anti-VEGF market in the future and a potential launch of a Licensed Product bio-identical; and</w:t>
      </w:r>
    </w:p>
    <w:p>
      <w:pPr>
        <w:spacing w:after="0" w:line="1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extension and changes to the Santen Co-Promotion Agreement require the consent of RIRE and certain further amendments to the LCA.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promises set forth herein, and other good and valuable consideration, the sufficiency of which is hereby acknowledged, the Parties agree as follows:</w:t>
      </w:r>
    </w:p>
    <w:p>
      <w:pPr>
        <w:spacing w:after="0" w:line="306" w:lineRule="exact"/>
        <w:rPr>
          <w:sz w:val="20"/>
          <w:szCs w:val="20"/>
          <w:color w:val="auto"/>
        </w:rPr>
      </w:pPr>
    </w:p>
    <w:p>
      <w:pPr>
        <w:jc w:val="both"/>
        <w:ind w:firstLine="656"/>
        <w:spacing w:after="0" w:line="269" w:lineRule="auto"/>
        <w:tabs>
          <w:tab w:leader="none" w:pos="1445"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in this Second Amendment Agreement which are not defined herein and are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LCA shall have the meanings ascribed to them in the LCA. Capitalized terms used in this Second Amendment Agreement which are not defined herein and are not defined in the LCA shall have the meanings ascribed to them in the Santen Co-Promotion Agreement or the Extended Santen Co-Promotion Agreement and such definitions are hereby deemed incorporated by reference into Article I of the LCA.</w:t>
      </w:r>
    </w:p>
    <w:p>
      <w:pPr>
        <w:spacing w:after="0" w:line="206" w:lineRule="exact"/>
        <w:rPr>
          <w:rFonts w:ascii="Arial" w:cs="Arial" w:eastAsia="Arial" w:hAnsi="Arial"/>
          <w:sz w:val="18"/>
          <w:szCs w:val="18"/>
          <w:color w:val="auto"/>
        </w:rPr>
      </w:pPr>
    </w:p>
    <w:p>
      <w:pPr>
        <w:ind w:firstLine="656"/>
        <w:spacing w:after="0" w:line="253" w:lineRule="auto"/>
        <w:tabs>
          <w:tab w:leader="none" w:pos="1445"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Date of Commencement</w:t>
      </w:r>
      <w:r>
        <w:rPr>
          <w:rFonts w:ascii="Arial" w:cs="Arial" w:eastAsia="Arial" w:hAnsi="Arial"/>
          <w:sz w:val="20"/>
          <w:szCs w:val="20"/>
          <w:color w:val="auto"/>
        </w:rPr>
        <w:t>. The Santen Co-Promotion Agreement shall continue in force until December 31, 2021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Extended Santen Co-Promotion Agreement shall become effective on the Commencement</w:t>
      </w:r>
    </w:p>
    <w:p>
      <w:pPr>
        <w:sectPr>
          <w:pgSz w:w="11900" w:h="16838" w:orient="portrait"/>
          <w:cols w:equalWidth="0" w:num="1">
            <w:col w:w="11420"/>
          </w:cols>
          <w:pgMar w:left="240" w:top="558" w:right="239" w:bottom="1440" w:gutter="0" w:footer="0" w:header="0"/>
        </w:sectPr>
      </w:pPr>
    </w:p>
    <w:bookmarkStart w:id="161" w:name="page162"/>
    <w:bookmarkEnd w:id="161"/>
    <w:p>
      <w:pPr>
        <w:spacing w:after="0" w:line="246" w:lineRule="auto"/>
        <w:rPr>
          <w:sz w:val="20"/>
          <w:szCs w:val="20"/>
          <w:color w:val="auto"/>
        </w:rPr>
      </w:pPr>
      <w:r>
        <w:rPr>
          <w:rFonts w:ascii="Arial" w:cs="Arial" w:eastAsia="Arial" w:hAnsi="Arial"/>
          <w:sz w:val="20"/>
          <w:szCs w:val="20"/>
          <w:color w:val="auto"/>
        </w:rPr>
        <w:t>Date. The Restated Amendment Agreement shall also continue to apply until December 31, 2021 with this Second Amendment Agreement becoming effective on the Commencement Date.</w:t>
      </w:r>
    </w:p>
    <w:p>
      <w:pPr>
        <w:spacing w:after="0" w:line="225" w:lineRule="exact"/>
        <w:rPr>
          <w:sz w:val="20"/>
          <w:szCs w:val="20"/>
          <w:color w:val="auto"/>
        </w:rPr>
      </w:pPr>
    </w:p>
    <w:p>
      <w:pPr>
        <w:jc w:val="both"/>
        <w:ind w:firstLine="656"/>
        <w:spacing w:after="0" w:line="236" w:lineRule="auto"/>
        <w:tabs>
          <w:tab w:leader="none" w:pos="1445"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Continuing Effect</w:t>
      </w:r>
      <w:r>
        <w:rPr>
          <w:rFonts w:ascii="Arial" w:cs="Arial" w:eastAsia="Arial" w:hAnsi="Arial"/>
          <w:sz w:val="20"/>
          <w:szCs w:val="20"/>
          <w:color w:val="auto"/>
        </w:rPr>
        <w:t>. Except as specifically modified by this Second Amendment, all of the provisions of the LCA</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Restated Amendment Agreement) are hereby ratified and confirmed to be in full force and effect. Where references are made in the Restated Amendment Agreement to the Santen Co-Promotion Agreement, following the Commencement Date such references shall be to the Extended Santen Co-Promotion Agreement.</w:t>
      </w:r>
    </w:p>
    <w:p>
      <w:pPr>
        <w:spacing w:after="0" w:line="229" w:lineRule="exact"/>
        <w:rPr>
          <w:rFonts w:ascii="Arial" w:cs="Arial" w:eastAsia="Arial" w:hAnsi="Arial"/>
          <w:sz w:val="20"/>
          <w:szCs w:val="20"/>
          <w:color w:val="auto"/>
        </w:rPr>
      </w:pPr>
    </w:p>
    <w:p>
      <w:pPr>
        <w:jc w:val="both"/>
        <w:ind w:firstLine="656"/>
        <w:spacing w:after="0" w:line="262" w:lineRule="auto"/>
        <w:tabs>
          <w:tab w:leader="none" w:pos="1445"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Regeneron Consent to Sublicense Grant</w:t>
      </w:r>
      <w:r>
        <w:rPr>
          <w:rFonts w:ascii="Arial" w:cs="Arial" w:eastAsia="Arial" w:hAnsi="Arial"/>
          <w:sz w:val="18"/>
          <w:szCs w:val="18"/>
          <w:color w:val="auto"/>
        </w:rPr>
        <w:t>. RIRE hereby expressly agrees and consents for the Initial Extension Term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Renewal Term (as defined in the Extended Santen Co-Promotion Agreement) to a sublicense by Bayer to BYL of Bayer’s rights under the Regeneron Intellectual Property granted by RIRE to Bayer pursuant to the LCA provided such sublicense is in compliance with Section 4.3 of the LCA unless agreed in writing by RIRE with Bayer, and to BYL’s further sublicense of such rights to Santen, pursuant to the terms of the Extended Santen Co-Promotion Agreement, provided that such agreement and consent shall not alter or affect in any manner Bayer’s obligations of RIRE’s rights under the LCA which shall remain in full force and effect, including without limitation under such Section 4.3.</w:t>
      </w:r>
    </w:p>
    <w:p>
      <w:pPr>
        <w:spacing w:after="0" w:line="216" w:lineRule="exact"/>
        <w:rPr>
          <w:rFonts w:ascii="Arial" w:cs="Arial" w:eastAsia="Arial" w:hAnsi="Arial"/>
          <w:sz w:val="18"/>
          <w:szCs w:val="18"/>
          <w:color w:val="auto"/>
        </w:rPr>
      </w:pPr>
    </w:p>
    <w:p>
      <w:pPr>
        <w:ind w:left="1460" w:hanging="804"/>
        <w:spacing w:after="0"/>
        <w:tabs>
          <w:tab w:leader="none" w:pos="14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p>
    <w:p>
      <w:pPr>
        <w:spacing w:after="0" w:line="250" w:lineRule="exact"/>
        <w:rPr>
          <w:rFonts w:ascii="Arial" w:cs="Arial" w:eastAsia="Arial" w:hAnsi="Arial"/>
          <w:sz w:val="20"/>
          <w:szCs w:val="20"/>
          <w:color w:val="auto"/>
        </w:rPr>
      </w:pPr>
    </w:p>
    <w:p>
      <w:pPr>
        <w:jc w:val="both"/>
        <w:ind w:firstLine="656"/>
        <w:spacing w:after="0" w:line="263" w:lineRule="auto"/>
        <w:tabs>
          <w:tab w:leader="none" w:pos="1445"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Japan Profit Share</w:t>
      </w:r>
      <w:r>
        <w:rPr>
          <w:rFonts w:ascii="Arial" w:cs="Arial" w:eastAsia="Arial" w:hAnsi="Arial"/>
          <w:sz w:val="18"/>
          <w:szCs w:val="18"/>
          <w:color w:val="auto"/>
        </w:rPr>
        <w:t>. With effect from the Commencement Date, the Purchase Price Adjustment arrangement shall cease to</w:t>
      </w:r>
      <w:r>
        <w:rPr>
          <w:rFonts w:ascii="Arial" w:cs="Arial" w:eastAsia="Arial" w:hAnsi="Arial"/>
          <w:sz w:val="18"/>
          <w:szCs w:val="18"/>
          <w:b w:val="1"/>
          <w:bCs w:val="1"/>
          <w:color w:val="auto"/>
        </w:rPr>
        <w:t xml:space="preserve"> </w:t>
      </w:r>
      <w:r>
        <w:rPr>
          <w:rFonts w:ascii="Arial" w:cs="Arial" w:eastAsia="Arial" w:hAnsi="Arial"/>
          <w:sz w:val="18"/>
          <w:szCs w:val="18"/>
          <w:color w:val="auto"/>
        </w:rPr>
        <w:t>apply, and the Parties shall revert to a profit share arrangement for Japan. In determining the Territory Profit Split in accordance with Schedule</w:t>
      </w:r>
    </w:p>
    <w:p>
      <w:pPr>
        <w:spacing w:after="0"/>
        <w:rPr>
          <w:rFonts w:ascii="Arial" w:cs="Arial" w:eastAsia="Arial" w:hAnsi="Arial"/>
          <w:sz w:val="18"/>
          <w:szCs w:val="18"/>
          <w:color w:val="auto"/>
        </w:rPr>
      </w:pPr>
      <w:r>
        <w:rPr>
          <w:rFonts w:ascii="Arial" w:cs="Arial" w:eastAsia="Arial" w:hAnsi="Arial"/>
          <w:sz w:val="20"/>
          <w:szCs w:val="20"/>
          <w:color w:val="auto"/>
        </w:rPr>
        <w:t>2 of the LCA, the following clarifications and modifications shall apply to Japan:</w:t>
      </w:r>
    </w:p>
    <w:p>
      <w:pPr>
        <w:spacing w:after="0" w:line="240"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Net Sales will be calculated on the basis of sales by BYL to Santen with the gross amount invoiced corresponding to [***] pursuant to the Santen Co-Promotion Agreement; and</w:t>
      </w:r>
    </w:p>
    <w:p>
      <w:pPr>
        <w:spacing w:after="0" w:line="230"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 calculated in accordance with the Extended Co-Promotion Agreement, shall be added as a deduction in Section 1.65 of the LCA in the calculation of Net Sales. [***].</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64" w:lineRule="exact"/>
        <w:rPr>
          <w:sz w:val="20"/>
          <w:szCs w:val="20"/>
          <w:color w:val="auto"/>
        </w:rPr>
      </w:pPr>
    </w:p>
    <w:p>
      <w:pPr>
        <w:jc w:val="both"/>
        <w:ind w:firstLine="656"/>
        <w:spacing w:after="0" w:line="236" w:lineRule="auto"/>
        <w:tabs>
          <w:tab w:leader="none" w:pos="1445"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Treatment of Santen Eylea Inventory on Commencement Date</w:t>
      </w:r>
      <w:r>
        <w:rPr>
          <w:rFonts w:ascii="Arial" w:cs="Arial" w:eastAsia="Arial" w:hAnsi="Arial"/>
          <w:sz w:val="20"/>
          <w:szCs w:val="20"/>
          <w:color w:val="auto"/>
        </w:rPr>
        <w:t>. As part of the first Global True-Up following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Date, Bayer will compensate RIRE for the Eylea inventory that Santen has on-hand as of [***]. Such compensation will be calculated according to the following formula: Santen inventory units of Licensed Product in its possession on [***], converted to US Dollars using the Quarter exchange rates.</w:t>
      </w:r>
    </w:p>
    <w:p>
      <w:pPr>
        <w:spacing w:after="0" w:line="229" w:lineRule="exact"/>
        <w:rPr>
          <w:rFonts w:ascii="Arial" w:cs="Arial" w:eastAsia="Arial" w:hAnsi="Arial"/>
          <w:sz w:val="20"/>
          <w:szCs w:val="20"/>
          <w:color w:val="auto"/>
        </w:rPr>
      </w:pPr>
    </w:p>
    <w:p>
      <w:pPr>
        <w:jc w:val="both"/>
        <w:ind w:firstLine="656"/>
        <w:spacing w:after="0" w:line="239" w:lineRule="auto"/>
        <w:tabs>
          <w:tab w:leader="none" w:pos="1445"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Schedule 2 of the LCA is deleted and replaced with the Amended and Restated Schedule 2 attached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Second Amendment Agreement, and all references to Schedule 2 in this Second Amendment Agreement or in the LCA from and after the Commencement Date shall refer to such Amended and Restated Schedule 2.</w:t>
      </w:r>
    </w:p>
    <w:p>
      <w:pPr>
        <w:spacing w:after="0" w:line="231" w:lineRule="exact"/>
        <w:rPr>
          <w:rFonts w:ascii="Arial" w:cs="Arial" w:eastAsia="Arial" w:hAnsi="Arial"/>
          <w:sz w:val="20"/>
          <w:szCs w:val="20"/>
          <w:color w:val="auto"/>
        </w:rPr>
      </w:pPr>
    </w:p>
    <w:p>
      <w:pPr>
        <w:jc w:val="both"/>
        <w:ind w:firstLine="656"/>
        <w:spacing w:after="0" w:line="264" w:lineRule="auto"/>
        <w:tabs>
          <w:tab w:leader="none" w:pos="1445"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LCA (including the Restated Amendment Agreement), this Second Amendment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agreements executed by both Parties pertaining to the subject matter therein or herein, contain the complete understanding and entire agreement of the Parties hereto with respect to subject matter hereof and thereof and said documents supersedes all prior understandings and agreements, whether written or oral, relating to the subject matter hereof and thereof. This Second Amendment Agreement shall be binding upon and inure to the benefit of the Parties and their respective successors and permitted assigns.</w:t>
      </w:r>
    </w:p>
    <w:p>
      <w:pPr>
        <w:spacing w:after="0" w:line="212" w:lineRule="exact"/>
        <w:rPr>
          <w:rFonts w:ascii="Arial" w:cs="Arial" w:eastAsia="Arial" w:hAnsi="Arial"/>
          <w:sz w:val="18"/>
          <w:szCs w:val="18"/>
          <w:color w:val="auto"/>
        </w:rPr>
      </w:pPr>
    </w:p>
    <w:p>
      <w:pPr>
        <w:ind w:right="20" w:firstLine="656"/>
        <w:spacing w:after="0" w:line="253" w:lineRule="auto"/>
        <w:tabs>
          <w:tab w:leader="none" w:pos="1544"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Headings in this Second Amendment Agreement are for convenience of reference only and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in construing this Second Amendment Agreement.</w:t>
      </w:r>
    </w:p>
    <w:p>
      <w:pPr>
        <w:spacing w:after="0" w:line="217" w:lineRule="exact"/>
        <w:rPr>
          <w:rFonts w:ascii="Arial" w:cs="Arial" w:eastAsia="Arial" w:hAnsi="Arial"/>
          <w:sz w:val="20"/>
          <w:szCs w:val="20"/>
          <w:color w:val="auto"/>
        </w:rPr>
      </w:pPr>
    </w:p>
    <w:p>
      <w:pPr>
        <w:ind w:right="20" w:firstLine="656"/>
        <w:spacing w:after="0" w:line="253" w:lineRule="auto"/>
        <w:tabs>
          <w:tab w:leader="none" w:pos="1536"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Second Amendment Agreement may be executed in counterparts, with each part being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and that an electronic copy signature shall have the same force and effect as an original signature.</w:t>
      </w:r>
    </w:p>
    <w:p>
      <w:pPr>
        <w:sectPr>
          <w:pgSz w:w="11900" w:h="16838" w:orient="portrait"/>
          <w:cols w:equalWidth="0" w:num="1">
            <w:col w:w="11420"/>
          </w:cols>
          <w:pgMar w:left="240" w:top="690" w:right="239" w:bottom="1440" w:gutter="0" w:footer="0" w:header="0"/>
        </w:sectPr>
      </w:pPr>
    </w:p>
    <w:bookmarkStart w:id="162" w:name="page163"/>
    <w:bookmarkEnd w:id="162"/>
    <w:p>
      <w:pPr>
        <w:jc w:val="both"/>
        <w:ind w:left="-20" w:firstLine="656"/>
        <w:spacing w:after="0" w:line="236" w:lineRule="auto"/>
        <w:tabs>
          <w:tab w:leader="none" w:pos="1524"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The provisions of Section 20.1 of the LCA shall apply,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mutatis mutandis</w:t>
      </w:r>
      <w:r>
        <w:rPr>
          <w:rFonts w:ascii="Arial" w:cs="Arial" w:eastAsia="Arial" w:hAnsi="Arial"/>
          <w:sz w:val="20"/>
          <w:szCs w:val="20"/>
          <w:color w:val="auto"/>
        </w:rPr>
        <w:t>, to this Second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If there is a direct conflict between the provisions of the LCA (including the Restated Amendment Agreement) and this Second Amendment Agreement, this Second Amendment Agreement shall govern. This Second Amendment Agreement may be amended only by a writing executed by an authorized representative of each of the Parties.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appear on following page]</w:t>
      </w:r>
    </w:p>
    <w:p>
      <w:pPr>
        <w:sectPr>
          <w:pgSz w:w="11900" w:h="16838" w:orient="portrait"/>
          <w:cols w:equalWidth="0" w:num="1">
            <w:col w:w="11400"/>
          </w:cols>
          <w:pgMar w:left="260" w:top="684" w:right="239" w:bottom="1440" w:gutter="0" w:footer="0" w:header="0"/>
        </w:sectPr>
      </w:pPr>
    </w:p>
    <w:bookmarkStart w:id="163" w:name="page164"/>
    <w:bookmarkEnd w:id="163"/>
    <w:p>
      <w:pPr>
        <w:ind w:firstLine="648"/>
        <w:spacing w:after="0" w:line="260" w:lineRule="auto"/>
        <w:rPr>
          <w:sz w:val="20"/>
          <w:szCs w:val="20"/>
          <w:color w:val="auto"/>
        </w:rPr>
      </w:pPr>
      <w:r>
        <w:rPr>
          <w:rFonts w:ascii="Arial" w:cs="Arial" w:eastAsia="Arial" w:hAnsi="Arial"/>
          <w:sz w:val="20"/>
          <w:szCs w:val="20"/>
          <w:color w:val="auto"/>
        </w:rPr>
        <w:t>IN WITNESS WHEREOF, each of the Parties has cause this Second Amendment Agreement to be executed as of the date hereof by a duly authorized corporate officer.</w:t>
      </w: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780" w:type="dxa"/>
            <w:vAlign w:val="bottom"/>
            <w:gridSpan w:val="5"/>
          </w:tcPr>
          <w:p>
            <w:pPr>
              <w:spacing w:after="0"/>
              <w:rPr>
                <w:sz w:val="20"/>
                <w:szCs w:val="20"/>
                <w:color w:val="auto"/>
              </w:rPr>
            </w:pPr>
            <w:r>
              <w:rPr>
                <w:rFonts w:ascii="Arial" w:cs="Arial" w:eastAsia="Arial" w:hAnsi="Arial"/>
                <w:sz w:val="20"/>
                <w:szCs w:val="20"/>
                <w:color w:val="auto"/>
              </w:rPr>
              <w:t>REGENERON IRELAND DESIGNATED ACTIVITY COMPANY</w:t>
            </w:r>
          </w:p>
        </w:tc>
        <w:tc>
          <w:tcPr>
            <w:tcW w:w="2820" w:type="dxa"/>
            <w:vAlign w:val="bottom"/>
            <w:gridSpan w:val="5"/>
          </w:tcPr>
          <w:p>
            <w:pPr>
              <w:ind w:left="380"/>
              <w:spacing w:after="0"/>
              <w:rPr>
                <w:sz w:val="20"/>
                <w:szCs w:val="20"/>
                <w:color w:val="auto"/>
              </w:rPr>
            </w:pPr>
            <w:r>
              <w:rPr>
                <w:rFonts w:ascii="Arial" w:cs="Arial" w:eastAsia="Arial" w:hAnsi="Arial"/>
                <w:sz w:val="20"/>
                <w:szCs w:val="20"/>
                <w:color w:val="auto"/>
                <w:w w:val="96"/>
              </w:rPr>
              <w:t>BAYER HEALTHCARE LLC</w:t>
            </w:r>
          </w:p>
        </w:tc>
      </w:tr>
      <w:tr>
        <w:trPr>
          <w:trHeight w:val="455"/>
        </w:trPr>
        <w:tc>
          <w:tcPr>
            <w:tcW w:w="5780" w:type="dxa"/>
            <w:vAlign w:val="bottom"/>
            <w:gridSpan w:val="5"/>
          </w:tcPr>
          <w:p>
            <w:pPr>
              <w:spacing w:after="0"/>
              <w:rPr>
                <w:sz w:val="20"/>
                <w:szCs w:val="20"/>
                <w:color w:val="auto"/>
              </w:rPr>
            </w:pPr>
            <w:r>
              <w:rPr>
                <w:rFonts w:ascii="Arial" w:cs="Arial" w:eastAsia="Arial" w:hAnsi="Arial"/>
                <w:sz w:val="20"/>
                <w:szCs w:val="20"/>
                <w:color w:val="auto"/>
              </w:rPr>
              <w:t>By: /s/Muriel O’Byrne</w:t>
            </w:r>
          </w:p>
        </w:tc>
        <w:tc>
          <w:tcPr>
            <w:tcW w:w="2820" w:type="dxa"/>
            <w:vAlign w:val="bottom"/>
            <w:gridSpan w:val="5"/>
          </w:tcPr>
          <w:p>
            <w:pPr>
              <w:ind w:left="380"/>
              <w:spacing w:after="0"/>
              <w:rPr>
                <w:sz w:val="20"/>
                <w:szCs w:val="20"/>
                <w:color w:val="auto"/>
              </w:rPr>
            </w:pPr>
            <w:r>
              <w:rPr>
                <w:rFonts w:ascii="Arial" w:cs="Arial" w:eastAsia="Arial" w:hAnsi="Arial"/>
                <w:sz w:val="20"/>
                <w:szCs w:val="20"/>
                <w:color w:val="auto"/>
              </w:rPr>
              <w:t>By: /s/Ganesh Kamath</w:t>
            </w: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5780" w:type="dxa"/>
            <w:vAlign w:val="bottom"/>
            <w:gridSpan w:val="5"/>
          </w:tcPr>
          <w:p>
            <w:pPr>
              <w:spacing w:after="0"/>
              <w:rPr>
                <w:sz w:val="20"/>
                <w:szCs w:val="20"/>
                <w:color w:val="auto"/>
              </w:rPr>
            </w:pPr>
            <w:r>
              <w:rPr>
                <w:rFonts w:ascii="Arial" w:cs="Arial" w:eastAsia="Arial" w:hAnsi="Arial"/>
                <w:sz w:val="20"/>
                <w:szCs w:val="20"/>
                <w:color w:val="auto"/>
              </w:rPr>
              <w:t>DATE: December 19, 2019</w:t>
            </w:r>
          </w:p>
        </w:tc>
        <w:tc>
          <w:tcPr>
            <w:tcW w:w="2820" w:type="dxa"/>
            <w:vAlign w:val="bottom"/>
            <w:gridSpan w:val="5"/>
          </w:tcPr>
          <w:p>
            <w:pPr>
              <w:ind w:left="380"/>
              <w:spacing w:after="0"/>
              <w:rPr>
                <w:sz w:val="20"/>
                <w:szCs w:val="20"/>
                <w:color w:val="auto"/>
              </w:rPr>
            </w:pPr>
            <w:r>
              <w:rPr>
                <w:rFonts w:ascii="Arial" w:cs="Arial" w:eastAsia="Arial" w:hAnsi="Arial"/>
                <w:sz w:val="20"/>
                <w:szCs w:val="20"/>
                <w:color w:val="auto"/>
              </w:rPr>
              <w:t>DATE: December 19, 2019</w:t>
            </w: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280"/>
          </w:cols>
          <w:pgMar w:left="240" w:top="555" w:right="37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0"/>
          <w:szCs w:val="20"/>
          <w:b w:val="1"/>
          <w:bCs w:val="1"/>
          <w:u w:val="single" w:color="auto"/>
          <w:color w:val="auto"/>
        </w:rPr>
        <w:t>Amended and Restated Schedule 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Quarterly True-Up</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At the end of each Quarter, the Parties will calculate the net payment one Party shall be required to make to the other Party (the “</w:t>
      </w:r>
      <w:r>
        <w:rPr>
          <w:rFonts w:ascii="Arial" w:cs="Arial" w:eastAsia="Arial" w:hAnsi="Arial"/>
          <w:sz w:val="18"/>
          <w:szCs w:val="18"/>
          <w:u w:val="single" w:color="auto"/>
          <w:color w:val="auto"/>
        </w:rPr>
        <w:t>Quarterly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True-Up</w:t>
      </w:r>
      <w:r>
        <w:rPr>
          <w:rFonts w:ascii="Arial" w:cs="Arial" w:eastAsia="Arial" w:hAnsi="Arial"/>
          <w:sz w:val="18"/>
          <w:szCs w:val="18"/>
          <w:color w:val="auto"/>
        </w:rPr>
        <w:t>”) equal to (a) the Territory Profit Split for such Quarter (as set forth in Part I), plus (b) the Regeneron Reimbursement Amount for such Quarter (as set forth in Part II), plus or minus (c) the Global True-Up (as set forth in Part III), minus (d) the Global Development Balance Payment (commencing in the Quarter of the First Commercial Sale in a Major Market Country) (as set forth in Part IV). In the event that the Quarterly True-Up is an amount greater than zero, such amount shall be payable by Company to Regeneron in accordance with the terms set forth in Article 9. In the event that the Quarterly True-Up is an amount less than zero, the absolute value of such amount shall be payable by Regeneron to Company in accordance with the terms set forth in Article 9. An example of the Quarterly True-Up is shown in Part V.</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I. TERRITORY PROFIT SPLIT</w:t>
      </w:r>
    </w:p>
    <w:p>
      <w:pPr>
        <w:spacing w:after="0" w:line="21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Territory Profit Split</w:t>
      </w:r>
      <w:r>
        <w:rPr>
          <w:rFonts w:ascii="Arial" w:cs="Arial" w:eastAsia="Arial" w:hAnsi="Arial"/>
          <w:sz w:val="20"/>
          <w:szCs w:val="20"/>
          <w:color w:val="auto"/>
        </w:rPr>
        <w:t>” shall mean fifty percent (50%) of Territory Profits in a Quarter. “</w:t>
      </w:r>
      <w:r>
        <w:rPr>
          <w:rFonts w:ascii="Arial" w:cs="Arial" w:eastAsia="Arial" w:hAnsi="Arial"/>
          <w:sz w:val="20"/>
          <w:szCs w:val="20"/>
          <w:u w:val="single" w:color="auto"/>
          <w:color w:val="auto"/>
        </w:rPr>
        <w:t>Territory Profits</w:t>
      </w:r>
      <w:r>
        <w:rPr>
          <w:rFonts w:ascii="Arial" w:cs="Arial" w:eastAsia="Arial" w:hAnsi="Arial"/>
          <w:sz w:val="20"/>
          <w:szCs w:val="20"/>
          <w:color w:val="auto"/>
        </w:rPr>
        <w:t>” shall mean aggregate Net Sales in the Territory in the Quarter less the sum of aggregate COGS and aggregate Shared Promotion Expenses incurred by both Parties in the Territory in the Quarter.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 example of a calculation of the Territory Profit Split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226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1">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60" w:type="dxa"/>
            <w:vAlign w:val="bottom"/>
          </w:tcPr>
          <w:p>
            <w:pPr>
              <w:spacing w:after="0"/>
              <w:rPr>
                <w:sz w:val="21"/>
                <w:szCs w:val="21"/>
                <w:color w:val="auto"/>
              </w:rPr>
            </w:pPr>
          </w:p>
        </w:tc>
        <w:tc>
          <w:tcPr>
            <w:tcW w:w="1860" w:type="dxa"/>
            <w:vAlign w:val="bottom"/>
          </w:tcPr>
          <w:p>
            <w:pPr>
              <w:ind w:left="700"/>
              <w:spacing w:after="0"/>
              <w:rPr>
                <w:sz w:val="20"/>
                <w:szCs w:val="20"/>
                <w:color w:val="auto"/>
              </w:rPr>
            </w:pPr>
            <w:r>
              <w:rPr>
                <w:rFonts w:ascii="Arial" w:cs="Arial" w:eastAsia="Arial" w:hAnsi="Arial"/>
                <w:sz w:val="20"/>
                <w:szCs w:val="20"/>
                <w:color w:val="auto"/>
              </w:rPr>
              <w:t>Aggregate</w:t>
            </w:r>
          </w:p>
        </w:tc>
        <w:tc>
          <w:tcPr>
            <w:tcW w:w="1440" w:type="dxa"/>
            <w:vAlign w:val="bottom"/>
          </w:tcPr>
          <w:p>
            <w:pPr>
              <w:ind w:left="320"/>
              <w:spacing w:after="0"/>
              <w:rPr>
                <w:sz w:val="20"/>
                <w:szCs w:val="20"/>
                <w:color w:val="auto"/>
              </w:rPr>
            </w:pPr>
            <w:r>
              <w:rPr>
                <w:rFonts w:ascii="Arial" w:cs="Arial" w:eastAsia="Arial" w:hAnsi="Arial"/>
                <w:sz w:val="20"/>
                <w:szCs w:val="20"/>
                <w:color w:val="auto"/>
              </w:rPr>
              <w:t>Company</w:t>
            </w:r>
          </w:p>
        </w:tc>
        <w:tc>
          <w:tcPr>
            <w:tcW w:w="1520" w:type="dxa"/>
            <w:vAlign w:val="bottom"/>
          </w:tcPr>
          <w:p>
            <w:pPr>
              <w:ind w:left="360"/>
              <w:spacing w:after="0"/>
              <w:rPr>
                <w:sz w:val="20"/>
                <w:szCs w:val="20"/>
                <w:color w:val="auto"/>
              </w:rPr>
            </w:pPr>
            <w:r>
              <w:rPr>
                <w:rFonts w:ascii="Arial" w:cs="Arial" w:eastAsia="Arial" w:hAnsi="Arial"/>
                <w:sz w:val="20"/>
                <w:szCs w:val="20"/>
                <w:color w:val="auto"/>
              </w:rPr>
              <w:t>Regeneron</w:t>
            </w:r>
          </w:p>
        </w:tc>
        <w:tc>
          <w:tcPr>
            <w:tcW w:w="2040" w:type="dxa"/>
            <w:vAlign w:val="bottom"/>
          </w:tcPr>
          <w:p>
            <w:pPr>
              <w:ind w:left="300"/>
              <w:spacing w:after="0"/>
              <w:rPr>
                <w:sz w:val="20"/>
                <w:szCs w:val="20"/>
                <w:color w:val="auto"/>
              </w:rPr>
            </w:pPr>
            <w:r>
              <w:rPr>
                <w:rFonts w:ascii="Arial" w:cs="Arial" w:eastAsia="Arial" w:hAnsi="Arial"/>
                <w:sz w:val="20"/>
                <w:szCs w:val="20"/>
                <w:color w:val="auto"/>
              </w:rPr>
              <w:t>Territory Profit Split</w:t>
            </w:r>
          </w:p>
        </w:tc>
      </w:tr>
      <w:tr>
        <w:trPr>
          <w:trHeight w:val="23"/>
        </w:trPr>
        <w:tc>
          <w:tcPr>
            <w:tcW w:w="2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389"/>
        </w:trPr>
        <w:tc>
          <w:tcPr>
            <w:tcW w:w="2960" w:type="dxa"/>
            <w:vAlign w:val="bottom"/>
          </w:tcPr>
          <w:p>
            <w:pPr>
              <w:ind w:left="40"/>
              <w:spacing w:after="0"/>
              <w:rPr>
                <w:sz w:val="20"/>
                <w:szCs w:val="20"/>
                <w:color w:val="auto"/>
              </w:rPr>
            </w:pPr>
            <w:r>
              <w:rPr>
                <w:rFonts w:ascii="Arial" w:cs="Arial" w:eastAsia="Arial" w:hAnsi="Arial"/>
                <w:sz w:val="20"/>
                <w:szCs w:val="20"/>
                <w:color w:val="auto"/>
              </w:rPr>
              <w:t>Net Sales in the Territory</w:t>
            </w:r>
          </w:p>
        </w:tc>
        <w:tc>
          <w:tcPr>
            <w:tcW w:w="1860" w:type="dxa"/>
            <w:vAlign w:val="bottom"/>
          </w:tcPr>
          <w:p>
            <w:pPr>
              <w:ind w:left="700"/>
              <w:spacing w:after="0"/>
              <w:rPr>
                <w:sz w:val="20"/>
                <w:szCs w:val="20"/>
                <w:color w:val="auto"/>
              </w:rPr>
            </w:pPr>
            <w:r>
              <w:rPr>
                <w:rFonts w:ascii="Arial" w:cs="Arial" w:eastAsia="Arial" w:hAnsi="Arial"/>
                <w:sz w:val="20"/>
                <w:szCs w:val="20"/>
                <w:color w:val="auto"/>
              </w:rPr>
              <w:t>1000</w:t>
            </w:r>
          </w:p>
        </w:tc>
        <w:tc>
          <w:tcPr>
            <w:tcW w:w="1440" w:type="dxa"/>
            <w:vAlign w:val="bottom"/>
          </w:tcPr>
          <w:p>
            <w:pPr>
              <w:ind w:left="320"/>
              <w:spacing w:after="0"/>
              <w:rPr>
                <w:sz w:val="20"/>
                <w:szCs w:val="20"/>
                <w:color w:val="auto"/>
              </w:rPr>
            </w:pPr>
            <w:r>
              <w:rPr>
                <w:rFonts w:ascii="Arial" w:cs="Arial" w:eastAsia="Arial" w:hAnsi="Arial"/>
                <w:sz w:val="20"/>
                <w:szCs w:val="20"/>
                <w:color w:val="auto"/>
              </w:rPr>
              <w:t>1000</w:t>
            </w:r>
          </w:p>
        </w:tc>
        <w:tc>
          <w:tcPr>
            <w:tcW w:w="15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4"/>
        </w:trPr>
        <w:tc>
          <w:tcPr>
            <w:tcW w:w="2960" w:type="dxa"/>
            <w:vAlign w:val="bottom"/>
          </w:tcPr>
          <w:p>
            <w:pPr>
              <w:ind w:left="40"/>
              <w:spacing w:after="0"/>
              <w:rPr>
                <w:sz w:val="20"/>
                <w:szCs w:val="20"/>
                <w:color w:val="auto"/>
              </w:rPr>
            </w:pPr>
            <w:r>
              <w:rPr>
                <w:rFonts w:ascii="Arial" w:cs="Arial" w:eastAsia="Arial" w:hAnsi="Arial"/>
                <w:sz w:val="20"/>
                <w:szCs w:val="20"/>
                <w:color w:val="auto"/>
              </w:rPr>
              <w:t>COGS</w:t>
            </w:r>
          </w:p>
        </w:tc>
        <w:tc>
          <w:tcPr>
            <w:tcW w:w="1860" w:type="dxa"/>
            <w:vAlign w:val="bottom"/>
          </w:tcPr>
          <w:p>
            <w:pPr>
              <w:ind w:left="700"/>
              <w:spacing w:after="0"/>
              <w:rPr>
                <w:sz w:val="20"/>
                <w:szCs w:val="20"/>
                <w:color w:val="auto"/>
              </w:rPr>
            </w:pPr>
            <w:r>
              <w:rPr>
                <w:rFonts w:ascii="Arial" w:cs="Arial" w:eastAsia="Arial" w:hAnsi="Arial"/>
                <w:sz w:val="20"/>
                <w:szCs w:val="20"/>
                <w:color w:val="auto"/>
              </w:rPr>
              <w:t>(50)</w:t>
            </w:r>
          </w:p>
        </w:tc>
        <w:tc>
          <w:tcPr>
            <w:tcW w:w="1440" w:type="dxa"/>
            <w:vAlign w:val="bottom"/>
          </w:tcPr>
          <w:p>
            <w:pPr>
              <w:ind w:left="320"/>
              <w:spacing w:after="0"/>
              <w:rPr>
                <w:sz w:val="20"/>
                <w:szCs w:val="20"/>
                <w:color w:val="auto"/>
              </w:rPr>
            </w:pPr>
            <w:r>
              <w:rPr>
                <w:rFonts w:ascii="Arial" w:cs="Arial" w:eastAsia="Arial" w:hAnsi="Arial"/>
                <w:sz w:val="20"/>
                <w:szCs w:val="20"/>
                <w:color w:val="auto"/>
              </w:rPr>
              <w:t>(50)</w:t>
            </w:r>
          </w:p>
        </w:tc>
        <w:tc>
          <w:tcPr>
            <w:tcW w:w="1520" w:type="dxa"/>
            <w:vAlign w:val="bottom"/>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24"/>
                <w:szCs w:val="24"/>
                <w:color w:val="auto"/>
              </w:rPr>
            </w:pPr>
          </w:p>
        </w:tc>
      </w:tr>
      <w:tr>
        <w:trPr>
          <w:trHeight w:val="284"/>
        </w:trPr>
        <w:tc>
          <w:tcPr>
            <w:tcW w:w="2960" w:type="dxa"/>
            <w:vAlign w:val="bottom"/>
          </w:tcPr>
          <w:p>
            <w:pPr>
              <w:ind w:left="40"/>
              <w:spacing w:after="0"/>
              <w:rPr>
                <w:sz w:val="20"/>
                <w:szCs w:val="20"/>
                <w:color w:val="auto"/>
              </w:rPr>
            </w:pPr>
            <w:r>
              <w:rPr>
                <w:rFonts w:ascii="Arial" w:cs="Arial" w:eastAsia="Arial" w:hAnsi="Arial"/>
                <w:sz w:val="20"/>
                <w:szCs w:val="20"/>
                <w:color w:val="auto"/>
              </w:rPr>
              <w:t>Shared Promotion Expenses</w:t>
            </w:r>
          </w:p>
        </w:tc>
        <w:tc>
          <w:tcPr>
            <w:tcW w:w="1860" w:type="dxa"/>
            <w:vAlign w:val="bottom"/>
          </w:tcPr>
          <w:p>
            <w:pPr>
              <w:ind w:left="700"/>
              <w:spacing w:after="0"/>
              <w:rPr>
                <w:sz w:val="20"/>
                <w:szCs w:val="20"/>
                <w:color w:val="auto"/>
              </w:rPr>
            </w:pPr>
            <w:r>
              <w:rPr>
                <w:rFonts w:ascii="Arial" w:cs="Arial" w:eastAsia="Arial" w:hAnsi="Arial"/>
                <w:sz w:val="20"/>
                <w:szCs w:val="20"/>
                <w:color w:val="auto"/>
              </w:rPr>
              <w:t>(350)</w:t>
            </w:r>
          </w:p>
        </w:tc>
        <w:tc>
          <w:tcPr>
            <w:tcW w:w="1440" w:type="dxa"/>
            <w:vAlign w:val="bottom"/>
          </w:tcPr>
          <w:p>
            <w:pPr>
              <w:ind w:left="320"/>
              <w:spacing w:after="0"/>
              <w:rPr>
                <w:sz w:val="20"/>
                <w:szCs w:val="20"/>
                <w:color w:val="auto"/>
              </w:rPr>
            </w:pPr>
            <w:r>
              <w:rPr>
                <w:rFonts w:ascii="Arial" w:cs="Arial" w:eastAsia="Arial" w:hAnsi="Arial"/>
                <w:sz w:val="20"/>
                <w:szCs w:val="20"/>
                <w:color w:val="auto"/>
              </w:rPr>
              <w:t>(300)</w:t>
            </w:r>
          </w:p>
        </w:tc>
        <w:tc>
          <w:tcPr>
            <w:tcW w:w="1520" w:type="dxa"/>
            <w:vAlign w:val="bottom"/>
          </w:tcPr>
          <w:p>
            <w:pPr>
              <w:ind w:left="360"/>
              <w:spacing w:after="0"/>
              <w:rPr>
                <w:sz w:val="20"/>
                <w:szCs w:val="20"/>
                <w:color w:val="auto"/>
              </w:rPr>
            </w:pPr>
            <w:r>
              <w:rPr>
                <w:rFonts w:ascii="Arial" w:cs="Arial" w:eastAsia="Arial" w:hAnsi="Arial"/>
                <w:sz w:val="20"/>
                <w:szCs w:val="20"/>
                <w:color w:val="auto"/>
              </w:rPr>
              <w:t>(50)</w:t>
            </w:r>
          </w:p>
        </w:tc>
        <w:tc>
          <w:tcPr>
            <w:tcW w:w="2040" w:type="dxa"/>
            <w:vAlign w:val="bottom"/>
          </w:tcPr>
          <w:p>
            <w:pPr>
              <w:spacing w:after="0"/>
              <w:rPr>
                <w:sz w:val="24"/>
                <w:szCs w:val="24"/>
                <w:color w:val="auto"/>
              </w:rPr>
            </w:pPr>
          </w:p>
        </w:tc>
      </w:tr>
      <w:tr>
        <w:trPr>
          <w:trHeight w:val="23"/>
        </w:trPr>
        <w:tc>
          <w:tcPr>
            <w:tcW w:w="2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497"/>
        </w:trPr>
        <w:tc>
          <w:tcPr>
            <w:tcW w:w="2960" w:type="dxa"/>
            <w:vAlign w:val="bottom"/>
          </w:tcPr>
          <w:p>
            <w:pPr>
              <w:ind w:left="40"/>
              <w:spacing w:after="0"/>
              <w:rPr>
                <w:sz w:val="20"/>
                <w:szCs w:val="20"/>
                <w:color w:val="auto"/>
              </w:rPr>
            </w:pPr>
            <w:r>
              <w:rPr>
                <w:rFonts w:ascii="Arial" w:cs="Arial" w:eastAsia="Arial" w:hAnsi="Arial"/>
                <w:sz w:val="20"/>
                <w:szCs w:val="20"/>
                <w:color w:val="auto"/>
              </w:rPr>
              <w:t>Territory Profits</w:t>
            </w:r>
          </w:p>
        </w:tc>
        <w:tc>
          <w:tcPr>
            <w:tcW w:w="1860" w:type="dxa"/>
            <w:vAlign w:val="bottom"/>
          </w:tcPr>
          <w:p>
            <w:pPr>
              <w:ind w:left="760"/>
              <w:spacing w:after="0"/>
              <w:rPr>
                <w:sz w:val="20"/>
                <w:szCs w:val="20"/>
                <w:color w:val="auto"/>
              </w:rPr>
            </w:pPr>
            <w:r>
              <w:rPr>
                <w:rFonts w:ascii="Arial" w:cs="Arial" w:eastAsia="Arial" w:hAnsi="Arial"/>
                <w:sz w:val="20"/>
                <w:szCs w:val="20"/>
                <w:color w:val="auto"/>
              </w:rPr>
              <w:t>600</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ind w:left="300"/>
              <w:spacing w:after="0"/>
              <w:rPr>
                <w:sz w:val="20"/>
                <w:szCs w:val="20"/>
                <w:color w:val="auto"/>
              </w:rPr>
            </w:pPr>
            <w:r>
              <w:rPr>
                <w:rFonts w:ascii="Arial" w:cs="Arial" w:eastAsia="Arial" w:hAnsi="Arial"/>
                <w:sz w:val="20"/>
                <w:szCs w:val="20"/>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II. REGENERON REIMBURSEMENT AMOUNT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Regeneron Reimbursement Amount</w:t>
      </w:r>
      <w:r>
        <w:rPr>
          <w:rFonts w:ascii="Arial" w:cs="Arial" w:eastAsia="Arial" w:hAnsi="Arial"/>
          <w:sz w:val="20"/>
          <w:szCs w:val="20"/>
          <w:color w:val="auto"/>
        </w:rPr>
        <w:t>” for a Quarter shall mean (a) Shared Promotion Expenses incurred by Regeneron in the Quarter (if any), plus (b) Commercial Supply Costs incurred by Regeneron in the Quarter (if any), plus (c) Development Costs incurred by Regeneron under the Territory Development Plan in the Quarter (if 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 example of a calculation of the Regeneron Reimbursement Amount in a Quarter would be: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ind w:left="40"/>
              <w:spacing w:after="0"/>
              <w:rPr>
                <w:sz w:val="20"/>
                <w:szCs w:val="20"/>
                <w:color w:val="auto"/>
              </w:rPr>
            </w:pPr>
            <w:r>
              <w:rPr>
                <w:rFonts w:ascii="Arial" w:cs="Arial" w:eastAsia="Arial" w:hAnsi="Arial"/>
                <w:sz w:val="20"/>
                <w:szCs w:val="20"/>
                <w:color w:val="auto"/>
              </w:rPr>
              <w:t>Regeneron Shared Promotion Expenses</w:t>
            </w:r>
          </w:p>
        </w:tc>
        <w:tc>
          <w:tcPr>
            <w:tcW w:w="2440" w:type="dxa"/>
            <w:vAlign w:val="bottom"/>
          </w:tcPr>
          <w:p>
            <w:pPr>
              <w:ind w:left="980"/>
              <w:spacing w:after="0"/>
              <w:rPr>
                <w:sz w:val="20"/>
                <w:szCs w:val="20"/>
                <w:color w:val="auto"/>
              </w:rPr>
            </w:pPr>
            <w:r>
              <w:rPr>
                <w:rFonts w:ascii="Arial" w:cs="Arial" w:eastAsia="Arial" w:hAnsi="Arial"/>
                <w:sz w:val="20"/>
                <w:szCs w:val="20"/>
                <w:color w:val="auto"/>
              </w:rPr>
              <w:t>50</w:t>
            </w:r>
          </w:p>
        </w:tc>
      </w:tr>
      <w:tr>
        <w:trPr>
          <w:trHeight w:val="284"/>
        </w:trPr>
        <w:tc>
          <w:tcPr>
            <w:tcW w:w="6260" w:type="dxa"/>
            <w:vAlign w:val="bottom"/>
          </w:tcPr>
          <w:p>
            <w:pPr>
              <w:ind w:left="40"/>
              <w:spacing w:after="0"/>
              <w:rPr>
                <w:sz w:val="20"/>
                <w:szCs w:val="20"/>
                <w:color w:val="auto"/>
              </w:rPr>
            </w:pPr>
            <w:r>
              <w:rPr>
                <w:rFonts w:ascii="Arial" w:cs="Arial" w:eastAsia="Arial" w:hAnsi="Arial"/>
                <w:sz w:val="20"/>
                <w:szCs w:val="20"/>
                <w:color w:val="auto"/>
              </w:rPr>
              <w:t>Regeneron Commercial Supply Costs</w:t>
            </w:r>
          </w:p>
        </w:tc>
        <w:tc>
          <w:tcPr>
            <w:tcW w:w="2440" w:type="dxa"/>
            <w:vAlign w:val="bottom"/>
          </w:tcPr>
          <w:p>
            <w:pPr>
              <w:ind w:left="980"/>
              <w:spacing w:after="0"/>
              <w:rPr>
                <w:sz w:val="20"/>
                <w:szCs w:val="20"/>
                <w:color w:val="auto"/>
              </w:rPr>
            </w:pPr>
            <w:r>
              <w:rPr>
                <w:rFonts w:ascii="Arial" w:cs="Arial" w:eastAsia="Arial" w:hAnsi="Arial"/>
                <w:sz w:val="20"/>
                <w:szCs w:val="20"/>
                <w:color w:val="auto"/>
              </w:rPr>
              <w:t>10</w:t>
            </w:r>
          </w:p>
        </w:tc>
      </w:tr>
      <w:tr>
        <w:trPr>
          <w:trHeight w:val="284"/>
        </w:trPr>
        <w:tc>
          <w:tcPr>
            <w:tcW w:w="6260" w:type="dxa"/>
            <w:vAlign w:val="bottom"/>
          </w:tcPr>
          <w:p>
            <w:pPr>
              <w:ind w:left="40"/>
              <w:spacing w:after="0"/>
              <w:rPr>
                <w:sz w:val="20"/>
                <w:szCs w:val="20"/>
                <w:color w:val="auto"/>
              </w:rPr>
            </w:pPr>
            <w:r>
              <w:rPr>
                <w:rFonts w:ascii="Arial" w:cs="Arial" w:eastAsia="Arial" w:hAnsi="Arial"/>
                <w:sz w:val="20"/>
                <w:szCs w:val="20"/>
                <w:color w:val="auto"/>
              </w:rPr>
              <w:t>Regeneron Development Costs under Territory Development Plan</w:t>
            </w:r>
          </w:p>
        </w:tc>
        <w:tc>
          <w:tcPr>
            <w:tcW w:w="2440" w:type="dxa"/>
            <w:vAlign w:val="bottom"/>
          </w:tcPr>
          <w:p>
            <w:pPr>
              <w:ind w:left="980"/>
              <w:spacing w:after="0"/>
              <w:rPr>
                <w:sz w:val="20"/>
                <w:szCs w:val="20"/>
                <w:color w:val="auto"/>
              </w:rPr>
            </w:pPr>
            <w:r>
              <w:rPr>
                <w:rFonts w:ascii="Arial" w:cs="Arial" w:eastAsia="Arial" w:hAnsi="Arial"/>
                <w:sz w:val="20"/>
                <w:szCs w:val="20"/>
                <w:color w:val="auto"/>
              </w:rPr>
              <w:t>5</w:t>
            </w:r>
          </w:p>
        </w:tc>
      </w:tr>
      <w:tr>
        <w:trPr>
          <w:trHeight w:val="23"/>
        </w:trPr>
        <w:tc>
          <w:tcPr>
            <w:tcW w:w="6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4"/>
        </w:trPr>
        <w:tc>
          <w:tcPr>
            <w:tcW w:w="6260" w:type="dxa"/>
            <w:vAlign w:val="bottom"/>
          </w:tcPr>
          <w:p>
            <w:pPr>
              <w:ind w:left="40"/>
              <w:spacing w:after="0"/>
              <w:rPr>
                <w:sz w:val="20"/>
                <w:szCs w:val="20"/>
                <w:color w:val="auto"/>
              </w:rPr>
            </w:pPr>
            <w:r>
              <w:rPr>
                <w:rFonts w:ascii="Arial" w:cs="Arial" w:eastAsia="Arial" w:hAnsi="Arial"/>
                <w:sz w:val="20"/>
                <w:szCs w:val="20"/>
                <w:color w:val="auto"/>
              </w:rPr>
              <w:t>Regeneron Reimbursement Amount</w:t>
            </w:r>
          </w:p>
        </w:tc>
        <w:tc>
          <w:tcPr>
            <w:tcW w:w="2440" w:type="dxa"/>
            <w:vAlign w:val="bottom"/>
          </w:tcPr>
          <w:p>
            <w:pPr>
              <w:ind w:left="980"/>
              <w:spacing w:after="0"/>
              <w:rPr>
                <w:sz w:val="20"/>
                <w:szCs w:val="20"/>
                <w:color w:val="auto"/>
              </w:rPr>
            </w:pPr>
            <w:r>
              <w:rPr>
                <w:rFonts w:ascii="Arial" w:cs="Arial" w:eastAsia="Arial" w:hAnsi="Arial"/>
                <w:sz w:val="20"/>
                <w:szCs w:val="20"/>
                <w:color w:val="auto"/>
              </w:rPr>
              <w:t>65</w:t>
            </w:r>
          </w:p>
        </w:tc>
      </w:tr>
    </w:tbl>
    <w:p>
      <w:pPr>
        <w:sectPr>
          <w:pgSz w:w="11900" w:h="16838" w:orient="portrait"/>
          <w:cols w:equalWidth="0" w:num="1">
            <w:col w:w="11420"/>
          </w:cols>
          <w:pgMar w:left="240" w:top="670"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u w:val="single" w:color="auto"/>
          <w:color w:val="auto"/>
        </w:rPr>
        <w:t>III. GLOBAL TRUE-UP</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Global True-Up</w:t>
      </w:r>
      <w:r>
        <w:rPr>
          <w:rFonts w:ascii="Arial" w:cs="Arial" w:eastAsia="Arial" w:hAnsi="Arial"/>
          <w:sz w:val="18"/>
          <w:szCs w:val="18"/>
          <w:color w:val="auto"/>
        </w:rPr>
        <w:t>” for a Quarter shall mean (a) fifty percent (50%) of the sum of (i) aggregate Development Costs incurred by both Parties under the Global Development Plan in the Quarter and (ii) aggregate Other Shared Expenses incurred by both Parties in the Quarter, minus (b) one hundred percent (100%) of the sum of (i) Development Costs incurred by Company under the Global Development Plan in the Quarter and</w:t>
      </w:r>
    </w:p>
    <w:p>
      <w:pPr>
        <w:spacing w:after="0" w:line="1" w:lineRule="exact"/>
        <w:rPr>
          <w:sz w:val="20"/>
          <w:szCs w:val="20"/>
          <w:color w:val="auto"/>
        </w:rPr>
      </w:pPr>
    </w:p>
    <w:p>
      <w:pPr>
        <w:jc w:val="both"/>
        <w:ind w:firstLine="8"/>
        <w:spacing w:after="0" w:line="241" w:lineRule="auto"/>
        <w:tabs>
          <w:tab w:leader="none" w:pos="318" w:val="left"/>
        </w:tabs>
        <w:numPr>
          <w:ilvl w:val="0"/>
          <w:numId w:val="91"/>
        </w:numPr>
        <w:rPr>
          <w:rFonts w:ascii="Arial" w:cs="Arial" w:eastAsia="Arial" w:hAnsi="Arial"/>
          <w:sz w:val="20"/>
          <w:szCs w:val="20"/>
          <w:color w:val="auto"/>
        </w:rPr>
      </w:pPr>
      <w:r>
        <w:rPr>
          <w:rFonts w:ascii="Arial" w:cs="Arial" w:eastAsia="Arial" w:hAnsi="Arial"/>
          <w:sz w:val="20"/>
          <w:szCs w:val="20"/>
          <w:color w:val="auto"/>
        </w:rPr>
        <w:t>Other Shared Expenses incurred by Company during the Quarter. If the Global True-Up is a positive number, it shall be added in the calculation of the Quarterly True-Up and, if it is a negative number, the absolute value of such amount shall be subtracted in the calculation of the Quarterly True-Up.</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An example of a calculation of the Global True-Up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266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ind w:left="300"/>
              <w:spacing w:after="0"/>
              <w:rPr>
                <w:sz w:val="20"/>
                <w:szCs w:val="20"/>
                <w:color w:val="auto"/>
              </w:rPr>
            </w:pPr>
            <w:r>
              <w:rPr>
                <w:rFonts w:ascii="Arial" w:cs="Arial" w:eastAsia="Arial" w:hAnsi="Arial"/>
                <w:sz w:val="20"/>
                <w:szCs w:val="20"/>
                <w:color w:val="auto"/>
              </w:rPr>
              <w:t>Global</w:t>
            </w:r>
          </w:p>
        </w:tc>
      </w:tr>
      <w:tr>
        <w:trPr>
          <w:trHeight w:val="250"/>
        </w:trPr>
        <w:tc>
          <w:tcPr>
            <w:tcW w:w="5040" w:type="dxa"/>
            <w:vAlign w:val="bottom"/>
          </w:tcPr>
          <w:p>
            <w:pPr>
              <w:spacing w:after="0"/>
              <w:rPr>
                <w:sz w:val="21"/>
                <w:szCs w:val="21"/>
                <w:color w:val="auto"/>
              </w:rPr>
            </w:pPr>
          </w:p>
        </w:tc>
        <w:tc>
          <w:tcPr>
            <w:tcW w:w="1980" w:type="dxa"/>
            <w:vAlign w:val="bottom"/>
          </w:tcPr>
          <w:p>
            <w:pPr>
              <w:ind w:left="840"/>
              <w:spacing w:after="0"/>
              <w:rPr>
                <w:sz w:val="20"/>
                <w:szCs w:val="20"/>
                <w:color w:val="auto"/>
              </w:rPr>
            </w:pPr>
            <w:r>
              <w:rPr>
                <w:rFonts w:ascii="Arial" w:cs="Arial" w:eastAsia="Arial" w:hAnsi="Arial"/>
                <w:sz w:val="20"/>
                <w:szCs w:val="20"/>
                <w:color w:val="auto"/>
              </w:rPr>
              <w:t>Aggregate</w:t>
            </w:r>
          </w:p>
        </w:tc>
        <w:tc>
          <w:tcPr>
            <w:tcW w:w="1440" w:type="dxa"/>
            <w:vAlign w:val="bottom"/>
          </w:tcPr>
          <w:p>
            <w:pPr>
              <w:ind w:left="320"/>
              <w:spacing w:after="0"/>
              <w:rPr>
                <w:sz w:val="20"/>
                <w:szCs w:val="20"/>
                <w:color w:val="auto"/>
              </w:rPr>
            </w:pPr>
            <w:r>
              <w:rPr>
                <w:rFonts w:ascii="Arial" w:cs="Arial" w:eastAsia="Arial" w:hAnsi="Arial"/>
                <w:sz w:val="20"/>
                <w:szCs w:val="20"/>
                <w:color w:val="auto"/>
              </w:rPr>
              <w:t>Company</w:t>
            </w:r>
          </w:p>
        </w:tc>
        <w:tc>
          <w:tcPr>
            <w:tcW w:w="1500" w:type="dxa"/>
            <w:vAlign w:val="bottom"/>
          </w:tcPr>
          <w:p>
            <w:pPr>
              <w:ind w:left="340"/>
              <w:spacing w:after="0"/>
              <w:rPr>
                <w:sz w:val="20"/>
                <w:szCs w:val="20"/>
                <w:color w:val="auto"/>
              </w:rPr>
            </w:pPr>
            <w:r>
              <w:rPr>
                <w:rFonts w:ascii="Arial" w:cs="Arial" w:eastAsia="Arial" w:hAnsi="Arial"/>
                <w:sz w:val="20"/>
                <w:szCs w:val="20"/>
                <w:color w:val="auto"/>
              </w:rPr>
              <w:t>Regeneron</w:t>
            </w:r>
          </w:p>
        </w:tc>
        <w:tc>
          <w:tcPr>
            <w:tcW w:w="1280" w:type="dxa"/>
            <w:vAlign w:val="bottom"/>
          </w:tcPr>
          <w:p>
            <w:pPr>
              <w:ind w:left="300"/>
              <w:spacing w:after="0"/>
              <w:rPr>
                <w:sz w:val="20"/>
                <w:szCs w:val="20"/>
                <w:color w:val="auto"/>
              </w:rPr>
            </w:pPr>
            <w:r>
              <w:rPr>
                <w:rFonts w:ascii="Arial" w:cs="Arial" w:eastAsia="Arial" w:hAnsi="Arial"/>
                <w:sz w:val="20"/>
                <w:szCs w:val="20"/>
                <w:color w:val="auto"/>
              </w:rPr>
              <w:t>True-Up</w:t>
            </w:r>
          </w:p>
        </w:tc>
      </w:tr>
      <w:tr>
        <w:trPr>
          <w:trHeight w:val="23"/>
        </w:trPr>
        <w:tc>
          <w:tcPr>
            <w:tcW w:w="5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89"/>
        </w:trPr>
        <w:tc>
          <w:tcPr>
            <w:tcW w:w="5040" w:type="dxa"/>
            <w:vAlign w:val="bottom"/>
          </w:tcPr>
          <w:p>
            <w:pPr>
              <w:ind w:left="40"/>
              <w:spacing w:after="0"/>
              <w:rPr>
                <w:sz w:val="20"/>
                <w:szCs w:val="20"/>
                <w:color w:val="auto"/>
              </w:rPr>
            </w:pPr>
            <w:r>
              <w:rPr>
                <w:rFonts w:ascii="Arial" w:cs="Arial" w:eastAsia="Arial" w:hAnsi="Arial"/>
                <w:sz w:val="20"/>
                <w:szCs w:val="20"/>
                <w:color w:val="auto"/>
              </w:rPr>
              <w:t>Development Costs under Global Development Plan</w:t>
            </w:r>
          </w:p>
        </w:tc>
        <w:tc>
          <w:tcPr>
            <w:tcW w:w="1980" w:type="dxa"/>
            <w:vAlign w:val="bottom"/>
          </w:tcPr>
          <w:p>
            <w:pPr>
              <w:ind w:left="840"/>
              <w:spacing w:after="0"/>
              <w:rPr>
                <w:sz w:val="20"/>
                <w:szCs w:val="20"/>
                <w:color w:val="auto"/>
              </w:rPr>
            </w:pPr>
            <w:r>
              <w:rPr>
                <w:rFonts w:ascii="Arial" w:cs="Arial" w:eastAsia="Arial" w:hAnsi="Arial"/>
                <w:sz w:val="20"/>
                <w:szCs w:val="20"/>
                <w:color w:val="auto"/>
              </w:rPr>
              <w:t>80</w:t>
            </w:r>
          </w:p>
        </w:tc>
        <w:tc>
          <w:tcPr>
            <w:tcW w:w="1440" w:type="dxa"/>
            <w:vAlign w:val="bottom"/>
          </w:tcPr>
          <w:p>
            <w:pPr>
              <w:ind w:left="320"/>
              <w:spacing w:after="0"/>
              <w:rPr>
                <w:sz w:val="20"/>
                <w:szCs w:val="20"/>
                <w:color w:val="auto"/>
              </w:rPr>
            </w:pPr>
            <w:r>
              <w:rPr>
                <w:rFonts w:ascii="Arial" w:cs="Arial" w:eastAsia="Arial" w:hAnsi="Arial"/>
                <w:sz w:val="20"/>
                <w:szCs w:val="20"/>
                <w:color w:val="auto"/>
              </w:rPr>
              <w:t>30</w:t>
            </w:r>
          </w:p>
        </w:tc>
        <w:tc>
          <w:tcPr>
            <w:tcW w:w="1500" w:type="dxa"/>
            <w:vAlign w:val="bottom"/>
          </w:tcPr>
          <w:p>
            <w:pPr>
              <w:ind w:left="340"/>
              <w:spacing w:after="0"/>
              <w:rPr>
                <w:sz w:val="20"/>
                <w:szCs w:val="20"/>
                <w:color w:val="auto"/>
              </w:rPr>
            </w:pPr>
            <w:r>
              <w:rPr>
                <w:rFonts w:ascii="Arial" w:cs="Arial" w:eastAsia="Arial" w:hAnsi="Arial"/>
                <w:sz w:val="20"/>
                <w:szCs w:val="20"/>
                <w:color w:val="auto"/>
              </w:rPr>
              <w:t>50</w:t>
            </w:r>
          </w:p>
        </w:tc>
        <w:tc>
          <w:tcPr>
            <w:tcW w:w="1280" w:type="dxa"/>
            <w:vAlign w:val="bottom"/>
          </w:tcPr>
          <w:p>
            <w:pPr>
              <w:spacing w:after="0"/>
              <w:rPr>
                <w:sz w:val="24"/>
                <w:szCs w:val="24"/>
                <w:color w:val="auto"/>
              </w:rPr>
            </w:pPr>
          </w:p>
        </w:tc>
      </w:tr>
      <w:tr>
        <w:trPr>
          <w:trHeight w:val="284"/>
        </w:trPr>
        <w:tc>
          <w:tcPr>
            <w:tcW w:w="5040" w:type="dxa"/>
            <w:vAlign w:val="bottom"/>
          </w:tcPr>
          <w:p>
            <w:pPr>
              <w:ind w:left="40"/>
              <w:spacing w:after="0"/>
              <w:rPr>
                <w:sz w:val="20"/>
                <w:szCs w:val="20"/>
                <w:color w:val="auto"/>
              </w:rPr>
            </w:pPr>
            <w:r>
              <w:rPr>
                <w:rFonts w:ascii="Arial" w:cs="Arial" w:eastAsia="Arial" w:hAnsi="Arial"/>
                <w:sz w:val="20"/>
                <w:szCs w:val="20"/>
                <w:color w:val="auto"/>
              </w:rPr>
              <w:t>Other Shared Expenses</w:t>
            </w:r>
          </w:p>
        </w:tc>
        <w:tc>
          <w:tcPr>
            <w:tcW w:w="1980" w:type="dxa"/>
            <w:vAlign w:val="bottom"/>
          </w:tcPr>
          <w:p>
            <w:pPr>
              <w:ind w:left="840"/>
              <w:spacing w:after="0"/>
              <w:rPr>
                <w:sz w:val="20"/>
                <w:szCs w:val="20"/>
                <w:color w:val="auto"/>
              </w:rPr>
            </w:pPr>
            <w:r>
              <w:rPr>
                <w:rFonts w:ascii="Arial" w:cs="Arial" w:eastAsia="Arial" w:hAnsi="Arial"/>
                <w:sz w:val="20"/>
                <w:szCs w:val="20"/>
                <w:color w:val="auto"/>
              </w:rPr>
              <w:t>40</w:t>
            </w:r>
          </w:p>
        </w:tc>
        <w:tc>
          <w:tcPr>
            <w:tcW w:w="1440" w:type="dxa"/>
            <w:vAlign w:val="bottom"/>
          </w:tcPr>
          <w:p>
            <w:pPr>
              <w:ind w:left="320"/>
              <w:spacing w:after="0"/>
              <w:rPr>
                <w:sz w:val="20"/>
                <w:szCs w:val="20"/>
                <w:color w:val="auto"/>
              </w:rPr>
            </w:pPr>
            <w:r>
              <w:rPr>
                <w:rFonts w:ascii="Arial" w:cs="Arial" w:eastAsia="Arial" w:hAnsi="Arial"/>
                <w:sz w:val="20"/>
                <w:szCs w:val="20"/>
                <w:color w:val="auto"/>
              </w:rPr>
              <w:t>35</w:t>
            </w:r>
          </w:p>
        </w:tc>
        <w:tc>
          <w:tcPr>
            <w:tcW w:w="1500" w:type="dxa"/>
            <w:vAlign w:val="bottom"/>
          </w:tcPr>
          <w:p>
            <w:pPr>
              <w:ind w:left="340"/>
              <w:spacing w:after="0"/>
              <w:rPr>
                <w:sz w:val="20"/>
                <w:szCs w:val="20"/>
                <w:color w:val="auto"/>
              </w:rPr>
            </w:pPr>
            <w:r>
              <w:rPr>
                <w:rFonts w:ascii="Arial" w:cs="Arial" w:eastAsia="Arial" w:hAnsi="Arial"/>
                <w:sz w:val="20"/>
                <w:szCs w:val="20"/>
                <w:color w:val="auto"/>
              </w:rPr>
              <w:t>5</w:t>
            </w:r>
          </w:p>
        </w:tc>
        <w:tc>
          <w:tcPr>
            <w:tcW w:w="1280" w:type="dxa"/>
            <w:vAlign w:val="bottom"/>
          </w:tcPr>
          <w:p>
            <w:pPr>
              <w:spacing w:after="0"/>
              <w:rPr>
                <w:sz w:val="24"/>
                <w:szCs w:val="24"/>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4"/>
        </w:trPr>
        <w:tc>
          <w:tcPr>
            <w:tcW w:w="5040" w:type="dxa"/>
            <w:vAlign w:val="bottom"/>
          </w:tcPr>
          <w:p>
            <w:pPr>
              <w:ind w:left="40"/>
              <w:spacing w:after="0"/>
              <w:rPr>
                <w:sz w:val="20"/>
                <w:szCs w:val="20"/>
                <w:color w:val="auto"/>
              </w:rPr>
            </w:pPr>
            <w:r>
              <w:rPr>
                <w:rFonts w:ascii="Arial" w:cs="Arial" w:eastAsia="Arial" w:hAnsi="Arial"/>
                <w:sz w:val="20"/>
                <w:szCs w:val="20"/>
                <w:color w:val="auto"/>
              </w:rPr>
              <w:t>Total</w:t>
            </w:r>
          </w:p>
        </w:tc>
        <w:tc>
          <w:tcPr>
            <w:tcW w:w="1980" w:type="dxa"/>
            <w:vAlign w:val="bottom"/>
          </w:tcPr>
          <w:p>
            <w:pPr>
              <w:ind w:left="840"/>
              <w:spacing w:after="0"/>
              <w:rPr>
                <w:sz w:val="20"/>
                <w:szCs w:val="20"/>
                <w:color w:val="auto"/>
              </w:rPr>
            </w:pPr>
            <w:r>
              <w:rPr>
                <w:rFonts w:ascii="Arial" w:cs="Arial" w:eastAsia="Arial" w:hAnsi="Arial"/>
                <w:sz w:val="20"/>
                <w:szCs w:val="20"/>
                <w:color w:val="auto"/>
              </w:rPr>
              <w:t>120</w:t>
            </w:r>
          </w:p>
        </w:tc>
        <w:tc>
          <w:tcPr>
            <w:tcW w:w="1440" w:type="dxa"/>
            <w:vAlign w:val="bottom"/>
          </w:tcPr>
          <w:p>
            <w:pPr>
              <w:ind w:left="320"/>
              <w:spacing w:after="0"/>
              <w:rPr>
                <w:sz w:val="20"/>
                <w:szCs w:val="20"/>
                <w:color w:val="auto"/>
              </w:rPr>
            </w:pPr>
            <w:r>
              <w:rPr>
                <w:rFonts w:ascii="Arial" w:cs="Arial" w:eastAsia="Arial" w:hAnsi="Arial"/>
                <w:sz w:val="20"/>
                <w:szCs w:val="20"/>
                <w:color w:val="auto"/>
              </w:rPr>
              <w:t>65</w:t>
            </w:r>
          </w:p>
        </w:tc>
        <w:tc>
          <w:tcPr>
            <w:tcW w:w="1500" w:type="dxa"/>
            <w:vAlign w:val="bottom"/>
          </w:tcPr>
          <w:p>
            <w:pPr>
              <w:ind w:left="340"/>
              <w:spacing w:after="0"/>
              <w:rPr>
                <w:sz w:val="20"/>
                <w:szCs w:val="20"/>
                <w:color w:val="auto"/>
              </w:rPr>
            </w:pPr>
            <w:r>
              <w:rPr>
                <w:rFonts w:ascii="Arial" w:cs="Arial" w:eastAsia="Arial" w:hAnsi="Arial"/>
                <w:sz w:val="20"/>
                <w:szCs w:val="20"/>
                <w:color w:val="auto"/>
              </w:rPr>
              <w:t>55</w:t>
            </w:r>
          </w:p>
        </w:tc>
        <w:tc>
          <w:tcPr>
            <w:tcW w:w="1280" w:type="dxa"/>
            <w:vAlign w:val="bottom"/>
          </w:tcPr>
          <w:p>
            <w:pPr>
              <w:ind w:left="300"/>
              <w:spacing w:after="0"/>
              <w:rPr>
                <w:sz w:val="20"/>
                <w:szCs w:val="20"/>
                <w:color w:val="auto"/>
              </w:rPr>
            </w:pPr>
            <w:r>
              <w:rPr>
                <w:rFonts w:ascii="Arial" w:cs="Arial" w:eastAsia="Arial" w:hAnsi="Arial"/>
                <w:sz w:val="20"/>
                <w:szCs w:val="20"/>
                <w:color w:val="auto"/>
              </w:rPr>
              <w:t>(5)</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IV. GLOBAL DEVELOPMENT BALANCE PAYMENT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Global Development Balance</w:t>
      </w:r>
      <w:r>
        <w:rPr>
          <w:rFonts w:ascii="Arial" w:cs="Arial" w:eastAsia="Arial" w:hAnsi="Arial"/>
          <w:sz w:val="19"/>
          <w:szCs w:val="19"/>
          <w:color w:val="auto"/>
        </w:rPr>
        <w:t>” for a Quarter shall mean (a) twenty-five percent (25%) of the aggregate amount of Development Costs incurred by both Parties under the Global Development Plan from January 1, 2007 through the close of such Quarter ([***]), plus (b) fifty percent (50%) of the aggregate amount of Development Costs incurred by both Parties under the Territory Development Plan from the Effective Date through the close of such Quarter (excluding Development Overruns in connection with the Territory Development Plan that were not approved by both Parties’ representatives on the JSC), less (c) the aggregate amount of Global Development Balance Payments included in the calculation of the Quarterly True-Up in all prior Quarters.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Global Development Balance Payment</w:t>
      </w:r>
      <w:r>
        <w:rPr>
          <w:rFonts w:ascii="Arial" w:cs="Arial" w:eastAsia="Arial" w:hAnsi="Arial"/>
          <w:sz w:val="20"/>
          <w:szCs w:val="20"/>
          <w:color w:val="auto"/>
        </w:rPr>
        <w:t>” shall mean [***].</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 example of a calculation of the Global Development Balance Payment in a Quarter would be: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0" w:type="dxa"/>
            <w:vAlign w:val="bottom"/>
          </w:tcPr>
          <w:p>
            <w:pPr>
              <w:ind w:left="40"/>
              <w:spacing w:after="0"/>
              <w:rPr>
                <w:sz w:val="20"/>
                <w:szCs w:val="20"/>
                <w:color w:val="auto"/>
              </w:rPr>
            </w:pPr>
            <w:r>
              <w:rPr>
                <w:rFonts w:ascii="Arial" w:cs="Arial" w:eastAsia="Arial" w:hAnsi="Arial"/>
                <w:sz w:val="20"/>
                <w:szCs w:val="20"/>
                <w:color w:val="auto"/>
              </w:rPr>
              <w:t>Territory Profit Split</w:t>
            </w:r>
          </w:p>
        </w:tc>
        <w:tc>
          <w:tcPr>
            <w:tcW w:w="3520" w:type="dxa"/>
            <w:vAlign w:val="bottom"/>
          </w:tcPr>
          <w:p>
            <w:pPr>
              <w:ind w:left="2080"/>
              <w:spacing w:after="0"/>
              <w:rPr>
                <w:sz w:val="20"/>
                <w:szCs w:val="20"/>
                <w:color w:val="auto"/>
              </w:rPr>
            </w:pPr>
            <w:r>
              <w:rPr>
                <w:rFonts w:ascii="Arial" w:cs="Arial" w:eastAsia="Arial" w:hAnsi="Arial"/>
                <w:sz w:val="20"/>
                <w:szCs w:val="20"/>
                <w:color w:val="auto"/>
              </w:rPr>
              <w:t>300</w:t>
            </w:r>
          </w:p>
        </w:tc>
      </w:tr>
      <w:tr>
        <w:trPr>
          <w:trHeight w:val="284"/>
        </w:trPr>
        <w:tc>
          <w:tcPr>
            <w:tcW w:w="5200" w:type="dxa"/>
            <w:vAlign w:val="bottom"/>
          </w:tcPr>
          <w:p>
            <w:pPr>
              <w:ind w:left="40"/>
              <w:spacing w:after="0"/>
              <w:rPr>
                <w:sz w:val="20"/>
                <w:szCs w:val="20"/>
                <w:color w:val="auto"/>
              </w:rPr>
            </w:pPr>
            <w:r>
              <w:rPr>
                <w:rFonts w:ascii="Arial" w:cs="Arial" w:eastAsia="Arial" w:hAnsi="Arial"/>
                <w:sz w:val="20"/>
                <w:szCs w:val="20"/>
                <w:color w:val="auto"/>
              </w:rPr>
              <w:t>Global Development Balance</w:t>
            </w:r>
          </w:p>
        </w:tc>
        <w:tc>
          <w:tcPr>
            <w:tcW w:w="3520" w:type="dxa"/>
            <w:vAlign w:val="bottom"/>
          </w:tcPr>
          <w:p>
            <w:pPr>
              <w:ind w:left="2080"/>
              <w:spacing w:after="0"/>
              <w:rPr>
                <w:sz w:val="20"/>
                <w:szCs w:val="20"/>
                <w:color w:val="auto"/>
              </w:rPr>
            </w:pPr>
            <w:r>
              <w:rPr>
                <w:rFonts w:ascii="Arial" w:cs="Arial" w:eastAsia="Arial" w:hAnsi="Arial"/>
                <w:sz w:val="20"/>
                <w:szCs w:val="20"/>
                <w:color w:val="auto"/>
              </w:rPr>
              <w:t>200</w:t>
            </w:r>
          </w:p>
        </w:tc>
      </w:tr>
      <w:tr>
        <w:trPr>
          <w:trHeight w:val="284"/>
        </w:trPr>
        <w:tc>
          <w:tcPr>
            <w:tcW w:w="5200" w:type="dxa"/>
            <w:vAlign w:val="bottom"/>
          </w:tcPr>
          <w:p>
            <w:pPr>
              <w:ind w:left="40"/>
              <w:spacing w:after="0"/>
              <w:rPr>
                <w:sz w:val="20"/>
                <w:szCs w:val="20"/>
                <w:color w:val="auto"/>
              </w:rPr>
            </w:pPr>
            <w:r>
              <w:rPr>
                <w:rFonts w:ascii="Arial" w:cs="Arial" w:eastAsia="Arial" w:hAnsi="Arial"/>
                <w:sz w:val="20"/>
                <w:szCs w:val="20"/>
                <w:color w:val="auto"/>
              </w:rPr>
              <w:t>[***]</w:t>
            </w:r>
          </w:p>
        </w:tc>
        <w:tc>
          <w:tcPr>
            <w:tcW w:w="3520" w:type="dxa"/>
            <w:vAlign w:val="bottom"/>
          </w:tcPr>
          <w:p>
            <w:pPr>
              <w:ind w:left="2080"/>
              <w:spacing w:after="0"/>
              <w:rPr>
                <w:sz w:val="20"/>
                <w:szCs w:val="20"/>
                <w:color w:val="auto"/>
              </w:rPr>
            </w:pPr>
            <w:r>
              <w:rPr>
                <w:rFonts w:ascii="Arial" w:cs="Arial" w:eastAsia="Arial" w:hAnsi="Arial"/>
                <w:sz w:val="20"/>
                <w:szCs w:val="20"/>
                <w:color w:val="auto"/>
              </w:rPr>
              <w:t>[***]</w:t>
            </w:r>
          </w:p>
        </w:tc>
      </w:tr>
      <w:tr>
        <w:trPr>
          <w:trHeight w:val="253"/>
        </w:trPr>
        <w:tc>
          <w:tcPr>
            <w:tcW w:w="520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r>
      <w:tr>
        <w:trPr>
          <w:trHeight w:val="254"/>
        </w:trPr>
        <w:tc>
          <w:tcPr>
            <w:tcW w:w="5200" w:type="dxa"/>
            <w:vAlign w:val="bottom"/>
          </w:tcPr>
          <w:p>
            <w:pPr>
              <w:ind w:left="40"/>
              <w:spacing w:after="0"/>
              <w:rPr>
                <w:sz w:val="20"/>
                <w:szCs w:val="20"/>
                <w:color w:val="auto"/>
              </w:rPr>
            </w:pPr>
            <w:r>
              <w:rPr>
                <w:rFonts w:ascii="Arial" w:cs="Arial" w:eastAsia="Arial" w:hAnsi="Arial"/>
                <w:sz w:val="20"/>
                <w:szCs w:val="20"/>
                <w:color w:val="auto"/>
              </w:rPr>
              <w:t>Global Development Balance Payment</w:t>
            </w:r>
          </w:p>
        </w:tc>
        <w:tc>
          <w:tcPr>
            <w:tcW w:w="3520" w:type="dxa"/>
            <w:vAlign w:val="bottom"/>
          </w:tcPr>
          <w:p>
            <w:pPr>
              <w:ind w:left="2080"/>
              <w:spacing w:after="0"/>
              <w:rPr>
                <w:sz w:val="20"/>
                <w:szCs w:val="20"/>
                <w:color w:val="auto"/>
              </w:rPr>
            </w:pPr>
            <w:r>
              <w:rPr>
                <w:rFonts w:ascii="Arial" w:cs="Arial" w:eastAsia="Arial" w:hAnsi="Arial"/>
                <w:sz w:val="20"/>
                <w:szCs w:val="20"/>
                <w:color w:val="auto"/>
              </w:rPr>
              <w:t>10</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V. EXAMPLE OF QUARTERLY TRUE-UP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60" w:type="dxa"/>
            <w:vAlign w:val="bottom"/>
          </w:tcPr>
          <w:p>
            <w:pPr>
              <w:spacing w:after="0"/>
              <w:rPr>
                <w:sz w:val="20"/>
                <w:szCs w:val="20"/>
                <w:color w:val="auto"/>
              </w:rPr>
            </w:pPr>
            <w:r>
              <w:rPr>
                <w:rFonts w:ascii="Arial" w:cs="Arial" w:eastAsia="Arial" w:hAnsi="Arial"/>
                <w:sz w:val="20"/>
                <w:szCs w:val="20"/>
                <w:color w:val="auto"/>
                <w:w w:val="99"/>
              </w:rPr>
              <w:t>An example of a calculation of the Quarterly True-up in a Quarter would be:</w:t>
            </w:r>
          </w:p>
        </w:tc>
        <w:tc>
          <w:tcPr>
            <w:tcW w:w="2060" w:type="dxa"/>
            <w:vAlign w:val="bottom"/>
          </w:tcPr>
          <w:p>
            <w:pPr>
              <w:spacing w:after="0"/>
              <w:rPr>
                <w:sz w:val="21"/>
                <w:szCs w:val="21"/>
                <w:color w:val="auto"/>
              </w:rPr>
            </w:pPr>
          </w:p>
        </w:tc>
      </w:tr>
      <w:tr>
        <w:trPr>
          <w:trHeight w:val="392"/>
        </w:trPr>
        <w:tc>
          <w:tcPr>
            <w:tcW w:w="6660" w:type="dxa"/>
            <w:vAlign w:val="bottom"/>
          </w:tcPr>
          <w:p>
            <w:pPr>
              <w:ind w:left="40"/>
              <w:spacing w:after="0"/>
              <w:rPr>
                <w:sz w:val="20"/>
                <w:szCs w:val="20"/>
                <w:color w:val="auto"/>
              </w:rPr>
            </w:pPr>
            <w:r>
              <w:rPr>
                <w:rFonts w:ascii="Arial" w:cs="Arial" w:eastAsia="Arial" w:hAnsi="Arial"/>
                <w:sz w:val="20"/>
                <w:szCs w:val="20"/>
                <w:color w:val="auto"/>
              </w:rPr>
              <w:t>Territory Profit Split</w:t>
            </w:r>
          </w:p>
        </w:tc>
        <w:tc>
          <w:tcPr>
            <w:tcW w:w="2060" w:type="dxa"/>
            <w:vAlign w:val="bottom"/>
          </w:tcPr>
          <w:p>
            <w:pPr>
              <w:ind w:left="620"/>
              <w:spacing w:after="0"/>
              <w:rPr>
                <w:sz w:val="20"/>
                <w:szCs w:val="20"/>
                <w:color w:val="auto"/>
              </w:rPr>
            </w:pPr>
            <w:r>
              <w:rPr>
                <w:rFonts w:ascii="Arial" w:cs="Arial" w:eastAsia="Arial" w:hAnsi="Arial"/>
                <w:sz w:val="20"/>
                <w:szCs w:val="20"/>
                <w:color w:val="auto"/>
              </w:rPr>
              <w:t>300</w:t>
            </w:r>
          </w:p>
        </w:tc>
      </w:tr>
      <w:tr>
        <w:trPr>
          <w:trHeight w:val="284"/>
        </w:trPr>
        <w:tc>
          <w:tcPr>
            <w:tcW w:w="6660" w:type="dxa"/>
            <w:vAlign w:val="bottom"/>
          </w:tcPr>
          <w:p>
            <w:pPr>
              <w:ind w:left="40"/>
              <w:spacing w:after="0"/>
              <w:rPr>
                <w:sz w:val="20"/>
                <w:szCs w:val="20"/>
                <w:color w:val="auto"/>
              </w:rPr>
            </w:pPr>
            <w:r>
              <w:rPr>
                <w:rFonts w:ascii="Arial" w:cs="Arial" w:eastAsia="Arial" w:hAnsi="Arial"/>
                <w:sz w:val="20"/>
                <w:szCs w:val="20"/>
                <w:color w:val="auto"/>
              </w:rPr>
              <w:t>Regeneron Reimbursement Amount</w:t>
            </w:r>
          </w:p>
        </w:tc>
        <w:tc>
          <w:tcPr>
            <w:tcW w:w="2060" w:type="dxa"/>
            <w:vAlign w:val="bottom"/>
          </w:tcPr>
          <w:p>
            <w:pPr>
              <w:ind w:left="620"/>
              <w:spacing w:after="0"/>
              <w:rPr>
                <w:sz w:val="20"/>
                <w:szCs w:val="20"/>
                <w:color w:val="auto"/>
              </w:rPr>
            </w:pPr>
            <w:r>
              <w:rPr>
                <w:rFonts w:ascii="Arial" w:cs="Arial" w:eastAsia="Arial" w:hAnsi="Arial"/>
                <w:sz w:val="20"/>
                <w:szCs w:val="20"/>
                <w:color w:val="auto"/>
              </w:rPr>
              <w:t>200</w:t>
            </w:r>
          </w:p>
        </w:tc>
      </w:tr>
      <w:tr>
        <w:trPr>
          <w:trHeight w:val="284"/>
        </w:trPr>
        <w:tc>
          <w:tcPr>
            <w:tcW w:w="6660" w:type="dxa"/>
            <w:vAlign w:val="bottom"/>
          </w:tcPr>
          <w:p>
            <w:pPr>
              <w:ind w:left="40"/>
              <w:spacing w:after="0"/>
              <w:rPr>
                <w:sz w:val="20"/>
                <w:szCs w:val="20"/>
                <w:color w:val="auto"/>
              </w:rPr>
            </w:pPr>
            <w:r>
              <w:rPr>
                <w:rFonts w:ascii="Arial" w:cs="Arial" w:eastAsia="Arial" w:hAnsi="Arial"/>
                <w:sz w:val="20"/>
                <w:szCs w:val="20"/>
                <w:color w:val="auto"/>
              </w:rPr>
              <w:t>Global True-Up</w:t>
            </w:r>
          </w:p>
        </w:tc>
        <w:tc>
          <w:tcPr>
            <w:tcW w:w="2060" w:type="dxa"/>
            <w:vAlign w:val="bottom"/>
          </w:tcPr>
          <w:p>
            <w:pPr>
              <w:ind w:left="620"/>
              <w:spacing w:after="0"/>
              <w:rPr>
                <w:sz w:val="20"/>
                <w:szCs w:val="20"/>
                <w:color w:val="auto"/>
              </w:rPr>
            </w:pPr>
            <w:r>
              <w:rPr>
                <w:rFonts w:ascii="Arial" w:cs="Arial" w:eastAsia="Arial" w:hAnsi="Arial"/>
                <w:sz w:val="20"/>
                <w:szCs w:val="20"/>
                <w:color w:val="auto"/>
              </w:rPr>
              <w:t>(5)</w:t>
            </w:r>
          </w:p>
        </w:tc>
      </w:tr>
      <w:tr>
        <w:trPr>
          <w:trHeight w:val="284"/>
        </w:trPr>
        <w:tc>
          <w:tcPr>
            <w:tcW w:w="6660" w:type="dxa"/>
            <w:vAlign w:val="bottom"/>
          </w:tcPr>
          <w:p>
            <w:pPr>
              <w:ind w:left="40"/>
              <w:spacing w:after="0"/>
              <w:rPr>
                <w:sz w:val="20"/>
                <w:szCs w:val="20"/>
                <w:color w:val="auto"/>
              </w:rPr>
            </w:pPr>
            <w:r>
              <w:rPr>
                <w:rFonts w:ascii="Arial" w:cs="Arial" w:eastAsia="Arial" w:hAnsi="Arial"/>
                <w:sz w:val="20"/>
                <w:szCs w:val="20"/>
                <w:color w:val="auto"/>
              </w:rPr>
              <w:t>[***]</w:t>
            </w:r>
          </w:p>
        </w:tc>
        <w:tc>
          <w:tcPr>
            <w:tcW w:w="2060" w:type="dxa"/>
            <w:vAlign w:val="bottom"/>
          </w:tcPr>
          <w:p>
            <w:pPr>
              <w:ind w:left="620"/>
              <w:spacing w:after="0"/>
              <w:rPr>
                <w:sz w:val="20"/>
                <w:szCs w:val="20"/>
                <w:color w:val="auto"/>
              </w:rPr>
            </w:pPr>
            <w:r>
              <w:rPr>
                <w:rFonts w:ascii="Arial" w:cs="Arial" w:eastAsia="Arial" w:hAnsi="Arial"/>
                <w:sz w:val="20"/>
                <w:szCs w:val="20"/>
                <w:color w:val="auto"/>
              </w:rPr>
              <w:t>[***]</w:t>
            </w:r>
          </w:p>
        </w:tc>
      </w:tr>
      <w:tr>
        <w:trPr>
          <w:trHeight w:val="253"/>
        </w:trPr>
        <w:tc>
          <w:tcPr>
            <w:tcW w:w="66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r>
      <w:tr>
        <w:trPr>
          <w:trHeight w:val="254"/>
        </w:trPr>
        <w:tc>
          <w:tcPr>
            <w:tcW w:w="6660" w:type="dxa"/>
            <w:vAlign w:val="bottom"/>
          </w:tcPr>
          <w:p>
            <w:pPr>
              <w:ind w:left="40"/>
              <w:spacing w:after="0"/>
              <w:rPr>
                <w:sz w:val="20"/>
                <w:szCs w:val="20"/>
                <w:color w:val="auto"/>
              </w:rPr>
            </w:pPr>
            <w:r>
              <w:rPr>
                <w:rFonts w:ascii="Arial" w:cs="Arial" w:eastAsia="Arial" w:hAnsi="Arial"/>
                <w:sz w:val="20"/>
                <w:szCs w:val="20"/>
                <w:color w:val="auto"/>
              </w:rPr>
              <w:t>Quarterly True-up</w:t>
            </w:r>
          </w:p>
        </w:tc>
        <w:tc>
          <w:tcPr>
            <w:tcW w:w="2060" w:type="dxa"/>
            <w:vAlign w:val="bottom"/>
          </w:tcPr>
          <w:p>
            <w:pPr>
              <w:ind w:left="620"/>
              <w:spacing w:after="0"/>
              <w:rPr>
                <w:sz w:val="20"/>
                <w:szCs w:val="20"/>
                <w:color w:val="auto"/>
              </w:rPr>
            </w:pPr>
            <w:r>
              <w:rPr>
                <w:rFonts w:ascii="Arial" w:cs="Arial" w:eastAsia="Arial" w:hAnsi="Arial"/>
                <w:sz w:val="20"/>
                <w:szCs w:val="20"/>
                <w:color w:val="auto"/>
              </w:rPr>
              <w:t>[***]</w:t>
            </w:r>
          </w:p>
        </w:tc>
      </w:tr>
    </w:tbl>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In this example, Company would pay Regeneron [***] in accordance with the terms set forth in Article 9.</w:t>
      </w:r>
    </w:p>
    <w:p>
      <w:pPr>
        <w:sectPr>
          <w:pgSz w:w="11900" w:h="16838" w:orient="portrait"/>
          <w:cols w:equalWidth="0" w:num="1">
            <w:col w:w="11420"/>
          </w:cols>
          <w:pgMar w:left="240" w:top="55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 of Subsidiary*</w:t>
            </w:r>
          </w:p>
        </w:tc>
        <w:tc>
          <w:tcPr>
            <w:tcW w:w="2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0"/>
        </w:trPr>
        <w:tc>
          <w:tcPr>
            <w:tcW w:w="1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91"/>
        </w:trPr>
        <w:tc>
          <w:tcPr>
            <w:tcW w:w="514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Belgium BVBA</w:t>
            </w:r>
          </w:p>
        </w:tc>
        <w:tc>
          <w:tcPr>
            <w:tcW w:w="23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Holdings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_____________</w:t>
            </w:r>
          </w:p>
        </w:tc>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3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S-3 (No. 333-228352) and S</w:t>
      </w:r>
      <w:r>
        <w:rPr>
          <w:rFonts w:ascii="MS PGothic" w:cs="MS PGothic" w:eastAsia="MS PGothic" w:hAnsi="MS PGothic"/>
          <w:sz w:val="16"/>
          <w:szCs w:val="16"/>
          <w:color w:val="auto"/>
        </w:rPr>
        <w:t>‑</w:t>
      </w:r>
      <w:r>
        <w:rPr>
          <w:rFonts w:ascii="Arial" w:cs="Arial" w:eastAsia="Arial" w:hAnsi="Arial"/>
          <w:sz w:val="16"/>
          <w:szCs w:val="16"/>
          <w:color w:val="auto"/>
        </w:rPr>
        <w:t>8 (Nos. 333-61132, 333-97375, 333-119257, 333-151941, 333-169569, 333-174863, 333-196799, 333-198794, and 333-218669) of Regeneron Pharmaceuticals, Inc., of our report dated February 7, 2020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2020</w:t>
      </w:r>
    </w:p>
    <w:p>
      <w:pPr>
        <w:sectPr>
          <w:pgSz w:w="11900" w:h="16838" w:orient="portrait"/>
          <w:cols w:equalWidth="0" w:num="1">
            <w:col w:w="11420"/>
          </w:cols>
          <w:pgMar w:left="240" w:top="55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2019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2020</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lowerRoman"/>
      <w:start w:val="4"/>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32"/>
    </w:lvl>
  </w:abstractNum>
  <w:abstractNum w:abstractNumId="36">
    <w:nsid w:val="25A70BF7"/>
    <w:multiLevelType w:val="hybridMultilevel"/>
    <w:lvl w:ilvl="0">
      <w:lvlJc w:val="left"/>
      <w:lvlText w:val="%1"/>
      <w:numFmt w:val="decimal"/>
      <w:start w:val="101"/>
    </w:lvl>
    <w:lvl w:ilvl="1">
      <w:lvlJc w:val="left"/>
      <w:lvlText w:val="(%2)"/>
      <w:numFmt w:val="lowerRoman"/>
      <w:start w:val="2"/>
    </w:lvl>
  </w:abstractNum>
  <w:abstractNum w:abstractNumId="37">
    <w:nsid w:val="1DBABF00"/>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38">
    <w:nsid w:val="4AD084E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9">
    <w:nsid w:val="1F48EAA1"/>
    <w:multiLevelType w:val="hybridMultilevel"/>
    <w:lvl w:ilvl="0">
      <w:lvlJc w:val="left"/>
      <w:lvlText w:val="(%1)"/>
      <w:numFmt w:val="lowerRoman"/>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lowerLetter"/>
      <w:start w:val="2"/>
    </w:lvl>
  </w:abstractNum>
  <w:abstractNum w:abstractNumId="48">
    <w:nsid w:val="6B94764"/>
    <w:multiLevelType w:val="hybridMultilevel"/>
    <w:lvl w:ilvl="0">
      <w:lvlJc w:val="left"/>
      <w:lvlText w:val="%1"/>
      <w:numFmt w:val="decimal"/>
      <w:start w:val="1"/>
    </w:lvl>
    <w:lvl w:ilvl="1">
      <w:lvlJc w:val="left"/>
      <w:lvlText w:val="(%2)"/>
      <w:numFmt w:val="lowerLetter"/>
      <w:start w:val="3"/>
    </w:lvl>
  </w:abstractNum>
  <w:abstractNum w:abstractNumId="49">
    <w:nsid w:val="42C296BD"/>
    <w:multiLevelType w:val="hybridMultilevel"/>
    <w:lvl w:ilvl="0">
      <w:lvlJc w:val="left"/>
      <w:lvlText w:val="%1."/>
      <w:numFmt w:val="decimal"/>
      <w:start w:val="3"/>
    </w:lvl>
    <w:lvl w:ilvl="1">
      <w:lvlJc w:val="left"/>
      <w:lvlText w:val="%2"/>
      <w:numFmt w:val="lowerLetter"/>
      <w:start w:val="1"/>
    </w:lvl>
  </w:abstractNum>
  <w:abstractNum w:abstractNumId="50">
    <w:nsid w:val="168E121F"/>
    <w:multiLevelType w:val="hybridMultilevel"/>
    <w:lvl w:ilvl="0">
      <w:lvlJc w:val="left"/>
      <w:lvlText w:val="%1"/>
      <w:numFmt w:val="upperLetter"/>
      <w:start w:val="1"/>
    </w:lvl>
    <w:lvl w:ilvl="1">
      <w:lvlJc w:val="left"/>
      <w:lvlText w:val="(%2)"/>
      <w:numFmt w:val="lowerLetter"/>
      <w:start w:val="2"/>
    </w:lvl>
  </w:abstractNum>
  <w:abstractNum w:abstractNumId="51">
    <w:nsid w:val="1EBA5D23"/>
    <w:multiLevelType w:val="hybridMultilevel"/>
    <w:lvl w:ilvl="0">
      <w:lvlJc w:val="left"/>
      <w:lvlText w:val="(%1)"/>
      <w:numFmt w:val="upperLetter"/>
      <w:start w:val="1"/>
    </w:lvl>
    <w:lvl w:ilvl="1">
      <w:lvlJc w:val="left"/>
      <w:lvlText w:val="%2"/>
      <w:numFmt w:val="lowerLetter"/>
      <w:start w:val="1"/>
    </w:lvl>
  </w:abstractNum>
  <w:abstractNum w:abstractNumId="52">
    <w:nsid w:val="661E3F1E"/>
    <w:multiLevelType w:val="hybridMultilevel"/>
    <w:lvl w:ilvl="0">
      <w:lvlJc w:val="left"/>
      <w:lvlText w:val="(%1)"/>
      <w:numFmt w:val="lowerLetter"/>
      <w:start w:val="3"/>
    </w:lvl>
  </w:abstractNum>
  <w:abstractNum w:abstractNumId="53">
    <w:nsid w:val="5DC79EA8"/>
    <w:multiLevelType w:val="hybridMultilevel"/>
    <w:lvl w:ilvl="0">
      <w:lvlJc w:val="left"/>
      <w:lvlText w:val="%1."/>
      <w:numFmt w:val="decimal"/>
      <w:start w:val="4"/>
    </w:lvl>
  </w:abstractNum>
  <w:abstractNum w:abstractNumId="54">
    <w:nsid w:val="540A471C"/>
    <w:multiLevelType w:val="hybridMultilevel"/>
    <w:lvl w:ilvl="0">
      <w:lvlJc w:val="left"/>
      <w:lvlText w:val="%1."/>
      <w:numFmt w:val="decimal"/>
      <w:start w:val="7"/>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1)"/>
      <w:numFmt w:val="lowerLetter"/>
      <w:start w:val="2"/>
    </w:lvl>
  </w:abstractNum>
  <w:abstractNum w:abstractNumId="59">
    <w:nsid w:val="11447B73"/>
    <w:multiLevelType w:val="hybridMultilevel"/>
    <w:lvl w:ilvl="0">
      <w:lvlJc w:val="left"/>
      <w:lvlText w:val="%1"/>
      <w:numFmt w:val="decimal"/>
      <w:start w:val="1"/>
    </w:lvl>
    <w:lvl w:ilvl="1">
      <w:lvlJc w:val="left"/>
      <w:lvlText w:val="(%2)"/>
      <w:numFmt w:val="lowerLetter"/>
      <w:start w:val="3"/>
    </w:lvl>
  </w:abstractNum>
  <w:abstractNum w:abstractNumId="60">
    <w:nsid w:val="42963E5A"/>
    <w:multiLevelType w:val="hybridMultilevel"/>
    <w:lvl w:ilvl="0">
      <w:lvlJc w:val="left"/>
      <w:lvlText w:val="%1."/>
      <w:numFmt w:val="decimal"/>
      <w:start w:val="3"/>
    </w:lvl>
    <w:lvl w:ilvl="1">
      <w:lvlJc w:val="left"/>
      <w:lvlText w:val="%2"/>
      <w:numFmt w:val="lowerLetter"/>
      <w:start w:val="1"/>
    </w:lvl>
  </w:abstractNum>
  <w:abstractNum w:abstractNumId="61">
    <w:nsid w:val="A0382C5"/>
    <w:multiLevelType w:val="hybridMultilevel"/>
    <w:lvl w:ilvl="0">
      <w:lvlJc w:val="left"/>
      <w:lvlText w:val="(%1)"/>
      <w:numFmt w:val="lowerLetter"/>
      <w:start w:val="2"/>
    </w:lvl>
  </w:abstractNum>
  <w:abstractNum w:abstractNumId="62">
    <w:nsid w:val="8F2B15E"/>
    <w:multiLevelType w:val="hybridMultilevel"/>
    <w:lvl w:ilvl="0">
      <w:lvlJc w:val="left"/>
      <w:lvlText w:val="%1."/>
      <w:numFmt w:val="decimal"/>
      <w:start w:val="4"/>
    </w:lvl>
  </w:abstractNum>
  <w:abstractNum w:abstractNumId="63">
    <w:nsid w:val="1A32234B"/>
    <w:multiLevelType w:val="hybridMultilevel"/>
    <w:lvl w:ilvl="0">
      <w:lvlJc w:val="left"/>
      <w:lvlText w:val="%1."/>
      <w:numFmt w:val="decimal"/>
      <w:start w:val="5"/>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decimal"/>
      <w:start w:val="3"/>
    </w:lvl>
  </w:abstractNum>
  <w:abstractNum w:abstractNumId="68">
    <w:nsid w:val="6A5EE64"/>
    <w:multiLevelType w:val="hybridMultilevel"/>
    <w:lvl w:ilvl="0">
      <w:lvlJc w:val="left"/>
      <w:lvlText w:val="%1."/>
      <w:numFmt w:val="decimal"/>
      <w:start w:val="7"/>
    </w:lvl>
  </w:abstractNum>
  <w:abstractNum w:abstractNumId="69">
    <w:nsid w:val="14330624"/>
    <w:multiLevelType w:val="hybridMultilevel"/>
    <w:lvl w:ilvl="0">
      <w:lvlJc w:val="left"/>
      <w:lvlText w:val="%1."/>
      <w:numFmt w:val="decimal"/>
      <w:start w:val="8"/>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1."/>
      <w:numFmt w:val="decimal"/>
      <w:start w:val="1"/>
    </w:lvl>
    <w:lvl w:ilvl="1">
      <w:lvlJc w:val="left"/>
      <w:lvlText w:val="(%2)"/>
      <w:numFmt w:val="lowerLetter"/>
      <w:start w:val="2"/>
    </w:lvl>
  </w:abstractNum>
  <w:abstractNum w:abstractNumId="72">
    <w:nsid w:val="71EA1109"/>
    <w:multiLevelType w:val="hybridMultilevel"/>
    <w:lvl w:ilvl="0">
      <w:lvlJc w:val="left"/>
      <w:lvlText w:val="(%1)"/>
      <w:numFmt w:val="lowerRoman"/>
      <w:start w:val="2"/>
    </w:lvl>
    <w:lvl w:ilvl="1">
      <w:lvlJc w:val="left"/>
      <w:lvlText w:val="%2."/>
      <w:numFmt w:val="decimal"/>
      <w:start w:val="3"/>
    </w:lvl>
  </w:abstractNum>
  <w:abstractNum w:abstractNumId="73">
    <w:nsid w:val="100F59DC"/>
    <w:multiLevelType w:val="hybridMultilevel"/>
    <w:lvl w:ilvl="0">
      <w:lvlJc w:val="left"/>
      <w:lvlText w:val="%1."/>
      <w:numFmt w:val="decimal"/>
      <w:start w:val="7"/>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1"/>
      <w:numFmt w:val="lowerLetter"/>
      <w:start w:val="1"/>
    </w:lvl>
    <w:lvl w:ilvl="1">
      <w:lvlJc w:val="left"/>
      <w:lvlText w:val="%2."/>
      <w:numFmt w:val="decimal"/>
      <w:start w:val="1"/>
    </w:lvl>
  </w:abstractNum>
  <w:abstractNum w:abstractNumId="76">
    <w:nsid w:val="6F6DD9AC"/>
    <w:multiLevelType w:val="hybridMultilevel"/>
    <w:lvl w:ilvl="0">
      <w:lvlJc w:val="left"/>
      <w:lvlText w:val="(%1)"/>
      <w:numFmt w:val="lowerLetter"/>
      <w:start w:val="2"/>
    </w:lvl>
    <w:lvl w:ilvl="1">
      <w:lvlJc w:val="left"/>
      <w:lvlText w:val="%2"/>
      <w:numFmt w:val="decimal"/>
      <w:start w:val="1"/>
    </w:lvl>
  </w:abstractNum>
  <w:abstractNum w:abstractNumId="77">
    <w:nsid w:val="94211F2"/>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8">
    <w:nsid w:val="885E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79">
    <w:nsid w:val="76272110"/>
    <w:multiLevelType w:val="hybridMultilevel"/>
    <w:lvl w:ilvl="0">
      <w:lvlJc w:val="left"/>
      <w:lvlText w:val="%1."/>
      <w:numFmt w:val="decimal"/>
      <w:start w:val="1"/>
    </w:lvl>
    <w:lvl w:ilvl="1">
      <w:lvlJc w:val="left"/>
      <w:lvlText w:val="%2"/>
      <w:numFmt w:val="upperLetter"/>
      <w:start w:val="1"/>
    </w:lvl>
  </w:abstractNum>
  <w:abstractNum w:abstractNumId="80">
    <w:nsid w:val="4C04A8AF"/>
    <w:multiLevelType w:val="hybridMultilevel"/>
    <w:lvl w:ilvl="0">
      <w:lvlJc w:val="left"/>
      <w:lvlText w:val="1"/>
      <w:numFmt w:val="bullet"/>
      <w:start w:val="1"/>
    </w:lvl>
  </w:abstractNum>
  <w:abstractNum w:abstractNumId="81">
    <w:nsid w:val="1716703B"/>
    <w:multiLevelType w:val="hybridMultilevel"/>
    <w:lvl w:ilvl="0">
      <w:lvlJc w:val="left"/>
      <w:lvlText w:val="2"/>
      <w:numFmt w:val="bullet"/>
      <w:start w:val="1"/>
    </w:lvl>
  </w:abstractNum>
  <w:abstractNum w:abstractNumId="82">
    <w:nsid w:val="14E17E33"/>
    <w:multiLevelType w:val="hybridMultilevel"/>
    <w:lvl w:ilvl="0">
      <w:lvlJc w:val="left"/>
      <w:lvlText w:val="4"/>
      <w:numFmt w:val="bullet"/>
      <w:start w:val="1"/>
    </w:lvl>
  </w:abstractNum>
  <w:abstractNum w:abstractNumId="83">
    <w:nsid w:val="3222E7CD"/>
    <w:multiLevelType w:val="hybridMultilevel"/>
    <w:lvl w:ilvl="0">
      <w:lvlJc w:val="left"/>
      <w:lvlText w:val="%1"/>
      <w:numFmt w:val="lowerLetter"/>
      <w:start w:val="1"/>
    </w:lvl>
    <w:lvl w:ilvl="1">
      <w:lvlJc w:val="left"/>
      <w:lvlText w:val="%2."/>
      <w:numFmt w:val="decimal"/>
      <w:start w:val="1"/>
    </w:lvl>
  </w:abstractNum>
  <w:abstractNum w:abstractNumId="84">
    <w:nsid w:val="74DE0EE3"/>
    <w:multiLevelType w:val="hybridMultilevel"/>
    <w:lvl w:ilvl="0">
      <w:lvlJc w:val="left"/>
      <w:lvlText w:val="(%1)"/>
      <w:numFmt w:val="lowerLetter"/>
      <w:start w:val="2"/>
    </w:lvl>
    <w:lvl w:ilvl="1">
      <w:lvlJc w:val="left"/>
      <w:lvlText w:val="%2."/>
      <w:numFmt w:val="decimal"/>
      <w:start w:val="3"/>
    </w:lvl>
  </w:abstractNum>
  <w:abstractNum w:abstractNumId="85">
    <w:nsid w:val="68EBC550"/>
    <w:multiLevelType w:val="hybridMultilevel"/>
    <w:lvl w:ilvl="0">
      <w:lvlJc w:val="left"/>
      <w:lvlText w:val="%1."/>
      <w:numFmt w:val="decimal"/>
      <w:start w:val="4"/>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decimal"/>
      <w:start w:val="3"/>
    </w:lvl>
    <w:lvl w:ilvl="1">
      <w:lvlJc w:val="left"/>
      <w:lvlText w:val="(%2)"/>
      <w:numFmt w:val="lowerLetter"/>
      <w:start w:val="1"/>
    </w:lvl>
  </w:abstractNum>
  <w:abstractNum w:abstractNumId="88">
    <w:nsid w:val="4A2AC315"/>
    <w:multiLevelType w:val="hybridMultilevel"/>
    <w:lvl w:ilvl="0">
      <w:lvlJc w:val="left"/>
      <w:lvlText w:val="%1."/>
      <w:numFmt w:val="decimal"/>
      <w:start w:val="7"/>
    </w:lvl>
  </w:abstractNum>
  <w:abstractNum w:abstractNumId="89">
    <w:nsid w:val="39EE015C"/>
    <w:multiLevelType w:val="hybridMultilevel"/>
    <w:lvl w:ilvl="0">
      <w:lvlJc w:val="left"/>
      <w:lvlText w:val="%1."/>
      <w:numFmt w:val="decimal"/>
      <w:start w:val="12"/>
    </w:lvl>
  </w:abstractNum>
  <w:abstractNum w:abstractNumId="90">
    <w:nsid w:val="57FC4FBB"/>
    <w:multiLevelType w:val="hybridMultilevel"/>
    <w:lvl w:ilvl="0">
      <w:lvlJc w:val="left"/>
      <w:lvlText w:val="(%1)"/>
      <w:numFmt w:val="lowerRoman"/>
      <w:start w:val="2"/>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25" Type="http://schemas.openxmlformats.org/officeDocument/2006/relationships/image" Target="media/image12.png"/><Relationship Id="rId27" Type="http://schemas.openxmlformats.org/officeDocument/2006/relationships/image" Target="media/image13.png"/><Relationship Id="rId30" Type="http://schemas.openxmlformats.org/officeDocument/2006/relationships/image" Target="media/image14.png"/><Relationship Id="rId33" Type="http://schemas.openxmlformats.org/officeDocument/2006/relationships/image" Target="media/image15.png"/><Relationship Id="rId36" Type="http://schemas.openxmlformats.org/officeDocument/2006/relationships/image" Target="media/image16.png"/><Relationship Id="rId39" Type="http://schemas.openxmlformats.org/officeDocument/2006/relationships/image" Target="media/image17.png"/><Relationship Id="rId42" Type="http://schemas.openxmlformats.org/officeDocument/2006/relationships/image" Target="media/image18.png"/><Relationship Id="rId45" Type="http://schemas.openxmlformats.org/officeDocument/2006/relationships/image" Target="media/image19.png"/><Relationship Id="rId48" Type="http://schemas.openxmlformats.org/officeDocument/2006/relationships/image" Target="media/image20.png"/><Relationship Id="rId51" Type="http://schemas.openxmlformats.org/officeDocument/2006/relationships/image" Target="media/image21.png"/><Relationship Id="rId90" Type="http://schemas.openxmlformats.org/officeDocument/2006/relationships/image" Target="media/image22.png"/><Relationship Id="rId91" Type="http://schemas.openxmlformats.org/officeDocument/2006/relationships/image" Target="media/image23.png"/><Relationship Id="rId92" Type="http://schemas.openxmlformats.org/officeDocument/2006/relationships/image" Target="media/image24.png"/><Relationship Id="rId93" Type="http://schemas.openxmlformats.org/officeDocument/2006/relationships/image" Target="media/image25.png"/><Relationship Id="rId94" Type="http://schemas.openxmlformats.org/officeDocument/2006/relationships/image" Target="media/image26.png"/><Relationship Id="rId95" Type="http://schemas.openxmlformats.org/officeDocument/2006/relationships/image" Target="media/image27.png"/><Relationship Id="rId96" Type="http://schemas.openxmlformats.org/officeDocument/2006/relationships/image" Target="media/image28.png"/><Relationship Id="rId97" Type="http://schemas.openxmlformats.org/officeDocument/2006/relationships/image" Target="media/image29.png"/><Relationship Id="rId98" Type="http://schemas.openxmlformats.org/officeDocument/2006/relationships/image" Target="media/image30.png"/><Relationship Id="rId99" Type="http://schemas.openxmlformats.org/officeDocument/2006/relationships/image" Target="media/image31.png"/><Relationship Id="rId100" Type="http://schemas.openxmlformats.org/officeDocument/2006/relationships/image" Target="media/image32.png"/><Relationship Id="rId101" Type="http://schemas.openxmlformats.org/officeDocument/2006/relationships/image" Target="media/image33.png"/><Relationship Id="rId102" Type="http://schemas.openxmlformats.org/officeDocument/2006/relationships/image" Target="media/image34.png"/><Relationship Id="rId103" Type="http://schemas.openxmlformats.org/officeDocument/2006/relationships/image" Target="media/image35.png"/><Relationship Id="rId104" Type="http://schemas.openxmlformats.org/officeDocument/2006/relationships/image" Target="media/image36.png"/><Relationship Id="rId105" Type="http://schemas.openxmlformats.org/officeDocument/2006/relationships/image" Target="media/image37.png"/><Relationship Id="rId106" Type="http://schemas.openxmlformats.org/officeDocument/2006/relationships/image" Target="media/image38.png"/><Relationship Id="rId107" Type="http://schemas.openxmlformats.org/officeDocument/2006/relationships/image" Target="media/image39.png"/><Relationship Id="rId108" Type="http://schemas.openxmlformats.org/officeDocument/2006/relationships/image" Target="media/image40.png"/><Relationship Id="rId109" Type="http://schemas.openxmlformats.org/officeDocument/2006/relationships/image" Target="media/image41.png"/><Relationship Id="rId110" Type="http://schemas.openxmlformats.org/officeDocument/2006/relationships/image" Target="media/image42.png"/><Relationship Id="rId111" Type="http://schemas.openxmlformats.org/officeDocument/2006/relationships/image" Target="media/image43.png"/><Relationship Id="rId112" Type="http://schemas.openxmlformats.org/officeDocument/2006/relationships/image" Target="media/image44.png"/><Relationship Id="rId113" Type="http://schemas.openxmlformats.org/officeDocument/2006/relationships/image" Target="media/image45.png"/><Relationship Id="rId114" Type="http://schemas.openxmlformats.org/officeDocument/2006/relationships/image" Target="media/image46.png"/><Relationship Id="rId115" Type="http://schemas.openxmlformats.org/officeDocument/2006/relationships/image" Target="media/image47.png"/><Relationship Id="rId116" Type="http://schemas.openxmlformats.org/officeDocument/2006/relationships/image" Target="media/image48.png"/><Relationship Id="rId117" Type="http://schemas.openxmlformats.org/officeDocument/2006/relationships/image" Target="media/image49.png"/><Relationship Id="rId118" Type="http://schemas.openxmlformats.org/officeDocument/2006/relationships/image" Target="media/image50.png"/><Relationship Id="rId119" Type="http://schemas.openxmlformats.org/officeDocument/2006/relationships/image" Target="media/image51.png"/><Relationship Id="rId120" Type="http://schemas.openxmlformats.org/officeDocument/2006/relationships/image" Target="media/image52.png"/><Relationship Id="rId121" Type="http://schemas.openxmlformats.org/officeDocument/2006/relationships/image" Target="media/image53.png"/><Relationship Id="rId122" Type="http://schemas.openxmlformats.org/officeDocument/2006/relationships/image" Target="media/image54.png"/><Relationship Id="rId123" Type="http://schemas.openxmlformats.org/officeDocument/2006/relationships/image" Target="media/image55.png"/><Relationship Id="rId124" Type="http://schemas.openxmlformats.org/officeDocument/2006/relationships/image" Target="media/image56.png"/><Relationship Id="rId19" Type="http://schemas.openxmlformats.org/officeDocument/2006/relationships/hyperlink" Target="http://www.sec.gov/Archives/edgar/data/872589/000153217615000029/regn-ex_31x06302015x10q.htm" TargetMode="External"/><Relationship Id="rId20" Type="http://schemas.openxmlformats.org/officeDocument/2006/relationships/hyperlink" Target="http://www.sec.gov/Archives/edgar/data/872589/000110465916163216/a16-23471_1ex3d2.htm" TargetMode="External"/><Relationship Id="rId21" Type="http://schemas.openxmlformats.org/officeDocument/2006/relationships/hyperlink" Target="http://www.sec.gov/Archives/edgar/data/872589/000120677411001374/exhibit99-1.htm" TargetMode="External"/><Relationship Id="rId22" Type="http://schemas.openxmlformats.org/officeDocument/2006/relationships/hyperlink" Target="http://www.sec.gov/Archives/edgar/data/872589/000095012305014882/y15671exv10w01.htm" TargetMode="External"/><Relationship Id="rId23" Type="http://schemas.openxmlformats.org/officeDocument/2006/relationships/hyperlink" Target="http://www.sec.gov/Archives/edgar/data/872589/000095012305014882/y15671exv10w02.htm" TargetMode="External"/><Relationship Id="rId24" Type="http://schemas.openxmlformats.org/officeDocument/2006/relationships/hyperlink" Target="http://www.sec.gov/Archives/edgar/data/872589/000095012304014716/y69569exv10w03.htm" TargetMode="External"/><Relationship Id="rId26" Type="http://schemas.openxmlformats.org/officeDocument/2006/relationships/hyperlink" Target="http://www.sec.gov/Archives/edgar/data/872589/000120677409000907/exhibit10-1.htm" TargetMode="External"/><Relationship Id="rId28" Type="http://schemas.openxmlformats.org/officeDocument/2006/relationships/hyperlink" Target="http://www.sec.gov/Archives/edgar/data/872589/000120677409000907/exhibit10-2.htm" TargetMode="External"/><Relationship Id="rId29" Type="http://schemas.openxmlformats.org/officeDocument/2006/relationships/hyperlink" Target="http://www.sec.gov/Archives/edgar/data/872589/000120677411000263/exhibit10_1-7.htm" TargetMode="External"/><Relationship Id="rId31" Type="http://schemas.openxmlformats.org/officeDocument/2006/relationships/hyperlink" Target="http://www.sec.gov/Archives/edgar/data/872589/000120677411000263/exhibit10_1-8.htm" TargetMode="External"/><Relationship Id="rId32" Type="http://schemas.openxmlformats.org/officeDocument/2006/relationships/hyperlink" Target="http://www.sec.gov/Archives/edgar/data/872589/000120677412000709/exhibit10-1_9.htm" TargetMode="External"/><Relationship Id="rId34" Type="http://schemas.openxmlformats.org/officeDocument/2006/relationships/hyperlink" Target="http://www.sec.gov/Archives/edgar/data/872589/000153217614000008/exhibit10110.htm" TargetMode="External"/><Relationship Id="rId35" Type="http://schemas.openxmlformats.org/officeDocument/2006/relationships/hyperlink" Target="http://www.sec.gov/Archives/edgar/data/872589/000110465917038718/a17-14867_1ex99d1.htm" TargetMode="External"/><Relationship Id="rId37" Type="http://schemas.openxmlformats.org/officeDocument/2006/relationships/hyperlink" Target="http://www.sec.gov/Archives/edgar/data/872589/000119312514240075/d741250dex101.htm" TargetMode="External"/><Relationship Id="rId38" Type="http://schemas.openxmlformats.org/officeDocument/2006/relationships/hyperlink" Target="http://www.sec.gov/Archives/edgar/data/872589/000119312514240075/d741250dex103.htm" TargetMode="External"/><Relationship Id="rId40" Type="http://schemas.openxmlformats.org/officeDocument/2006/relationships/hyperlink" Target="http://www.sec.gov/Archives/edgar/data/872589/000119312514240075/d741250dex104.htm" TargetMode="External"/><Relationship Id="rId41" Type="http://schemas.openxmlformats.org/officeDocument/2006/relationships/hyperlink" Target="http://www.sec.gov/Archives/edgar/data/872589/000153217616000045/regn-ex_1025x12312015x10k.htm" TargetMode="External"/><Relationship Id="rId43" Type="http://schemas.openxmlformats.org/officeDocument/2006/relationships/hyperlink" Target="http://www.sec.gov/Archives/edgar/data/872589/000110465915080234/a15-23696_1ex10d1.htm" TargetMode="External"/><Relationship Id="rId44" Type="http://schemas.openxmlformats.org/officeDocument/2006/relationships/hyperlink" Target="http://www.sec.gov/Archives/edgar/data/872589/000110465915080234/a15-23696_1ex10d3.htm" TargetMode="External"/><Relationship Id="rId46" Type="http://schemas.openxmlformats.org/officeDocument/2006/relationships/hyperlink" Target="http://www.sec.gov/Archives/edgar/data/872589/000153217616000045/regn-ex_10210x12312015x10k.htm" TargetMode="External"/><Relationship Id="rId47" Type="http://schemas.openxmlformats.org/officeDocument/2006/relationships/hyperlink" Target="http://www.sec.gov/Archives/edgar/data/872589/000153217618000013/regn-ex_10211xar2014ltipnq.htm" TargetMode="External"/><Relationship Id="rId49" Type="http://schemas.openxmlformats.org/officeDocument/2006/relationships/hyperlink" Target="http://www.sec.gov/Archives/edgar/data/872589/000153217618000013/regn-ex_10213xar2014ltipnq.htm" TargetMode="External"/><Relationship Id="rId50" Type="http://schemas.openxmlformats.org/officeDocument/2006/relationships/hyperlink" Target="http://www.sec.gov/Archives/edgar/data/872589/000153217618000013/regn-ex_10215xar2014ltiprs.htm" TargetMode="External"/><Relationship Id="rId52" Type="http://schemas.openxmlformats.org/officeDocument/2006/relationships/hyperlink" Target="http://www.sec.gov/Archives/edgar/data/872589/000153217618000013/regn-ex_10216xar2014ltipnq.htm" TargetMode="External"/><Relationship Id="rId53" Type="http://schemas.openxmlformats.org/officeDocument/2006/relationships/hyperlink" Target="http://www.sec.gov/Archives/edgar/data/872589/000153217619000009/regn-ex_10217xstockoptiona.htm" TargetMode="External"/><Relationship Id="rId54" Type="http://schemas.openxmlformats.org/officeDocument/2006/relationships/hyperlink" Target="http://www.sec.gov/Archives/edgar/data/872589/000153217619000009/regn-ex_10218xstockoptiona.htm" TargetMode="External"/><Relationship Id="rId55" Type="http://schemas.openxmlformats.org/officeDocument/2006/relationships/hyperlink" Target="http://www.sec.gov/Archives/edgar/data/872589/000153217619000009/regn-ex_10219xar2014ltiprs.htm" TargetMode="External"/><Relationship Id="rId56" Type="http://schemas.openxmlformats.org/officeDocument/2006/relationships/hyperlink" Target="http://www.sec.gov/Archives/edgar/data/872589/000153217619000009/regn-ex_10221xar2014ltiprs.htm" TargetMode="External"/><Relationship Id="rId57" Type="http://schemas.openxmlformats.org/officeDocument/2006/relationships/hyperlink" Target="http://www.sec.gov/Archives/edgar/data/872589/000120677409000338/exhibit10-3.htm" TargetMode="External"/><Relationship Id="rId58" Type="http://schemas.openxmlformats.org/officeDocument/2006/relationships/hyperlink" Target="http://www.sec.gov/Archives/edgar/data/872589/000095012305002979/y06183exv10w7.txt" TargetMode="External"/><Relationship Id="rId59" Type="http://schemas.openxmlformats.org/officeDocument/2006/relationships/hyperlink" Target="http://www.sec.gov/Archives/edgar/data/872589/000119312513365438/d596986dex101.htm" TargetMode="External"/><Relationship Id="rId60" Type="http://schemas.openxmlformats.org/officeDocument/2006/relationships/hyperlink" Target="http://www.sec.gov/Archives/edgar/data/872589/000120677409000338/exhibit10-5.htm" TargetMode="External"/><Relationship Id="rId61" Type="http://schemas.openxmlformats.org/officeDocument/2006/relationships/hyperlink" Target="http://www.sec.gov/Archives/edgar/data/872589/000110465915045962/a15-14252_1ex10d1.htm" TargetMode="External"/><Relationship Id="rId62" Type="http://schemas.openxmlformats.org/officeDocument/2006/relationships/hyperlink" Target="http://www.sec.gov/Archives/edgar/data/872589/000120677409001498/exhibit10-1.htm" TargetMode="External"/><Relationship Id="rId63" Type="http://schemas.openxmlformats.org/officeDocument/2006/relationships/hyperlink" Target="http://www.sec.gov/Archives/edgar/data/872589/000153217615000020/regn-ex_101x03312015x10q.htm" TargetMode="External"/><Relationship Id="rId64" Type="http://schemas.openxmlformats.org/officeDocument/2006/relationships/hyperlink" Target="http://www.sec.gov/Archives/edgar/data/872589/000095012306013527/y26593exv10w1.htm" TargetMode="External"/><Relationship Id="rId65" Type="http://schemas.openxmlformats.org/officeDocument/2006/relationships/hyperlink" Target="http://www.sec.gov/Archives/edgar/data/872589/000153217615000008/regn-ex_10101x12312014x10k.htm" TargetMode="External"/><Relationship Id="rId66" Type="http://schemas.openxmlformats.org/officeDocument/2006/relationships/hyperlink" Target="http://www.sec.gov/Archives/edgar/data/872589/000153217614000022/regn-ex_102x03312014x10q.htm" TargetMode="External"/><Relationship Id="rId67" Type="http://schemas.openxmlformats.org/officeDocument/2006/relationships/hyperlink" Target="http://www.sec.gov/Archives/edgar/data/872589/000120677410001385/exhibit10-14.htm" TargetMode="External"/><Relationship Id="rId68" Type="http://schemas.openxmlformats.org/officeDocument/2006/relationships/hyperlink" Target="http://www.sec.gov/Archives/edgar/data/872589/000153217615000037/regn-ex_103x09302015x10q.htm" TargetMode="External"/><Relationship Id="rId69" Type="http://schemas.openxmlformats.org/officeDocument/2006/relationships/hyperlink" Target="http://www.sec.gov/Archives/edgar/data/872589/000120677410001385/exhibit10-15.htm" TargetMode="External"/><Relationship Id="rId70" Type="http://schemas.openxmlformats.org/officeDocument/2006/relationships/hyperlink" Target="http://www.sec.gov/Archives/edgar/data/872589/000153217613000022/regn-ex_105x6302013x10q.htm" TargetMode="External"/><Relationship Id="rId71" Type="http://schemas.openxmlformats.org/officeDocument/2006/relationships/hyperlink" Target="http://www.sec.gov/Archives/edgar/data/872589/000153217615000037/regn-ex_104x09302015x10q.htm" TargetMode="External"/><Relationship Id="rId72" Type="http://schemas.openxmlformats.org/officeDocument/2006/relationships/hyperlink" Target="http://www.sec.gov/Archives/edgar/data/872589/000119312514008775/d659864dex101.htm" TargetMode="External"/><Relationship Id="rId73" Type="http://schemas.openxmlformats.org/officeDocument/2006/relationships/hyperlink" Target="http://www.sec.gov/Archives/edgar/data/872589/000153217613000022/regn-ex_106x6302013x10q.htm" TargetMode="External"/><Relationship Id="rId74" Type="http://schemas.openxmlformats.org/officeDocument/2006/relationships/hyperlink" Target="http://www.sec.gov/Archives/edgar/data/872589/000110465918073328/a18-41689_1ex10d1.htm" TargetMode="External"/><Relationship Id="rId75" Type="http://schemas.openxmlformats.org/officeDocument/2006/relationships/hyperlink" Target="http://www.sec.gov/Archives/edgar/data/872589/000153217619000009/regn-ex_1017xamendedio.htm" TargetMode="External"/><Relationship Id="rId76" Type="http://schemas.openxmlformats.org/officeDocument/2006/relationships/hyperlink" Target="http://www.sec.gov/Archives/edgar/data/872589/000153217615000037/regn-ex_102x09302015x10q.htm" TargetMode="External"/><Relationship Id="rId77" Type="http://schemas.openxmlformats.org/officeDocument/2006/relationships/hyperlink" Target="http://www.sec.gov/Archives/edgar/data/872589/000153217615000037/regn-ex_107x09302015x10q.htm" TargetMode="External"/><Relationship Id="rId78" Type="http://schemas.openxmlformats.org/officeDocument/2006/relationships/hyperlink" Target="http://www.sec.gov/Archives/edgar/data/872589/000153217616000055/regn-ex_102x03312016x10q.htm" TargetMode="External"/><Relationship Id="rId79" Type="http://schemas.openxmlformats.org/officeDocument/2006/relationships/hyperlink" Target="http://www.sec.gov/Archives/edgar/data/872589/000153217616000082/regn-ex_101xteva.htm" TargetMode="External"/><Relationship Id="rId80" Type="http://schemas.openxmlformats.org/officeDocument/2006/relationships/hyperlink" Target="http://www.sec.gov/Archives/edgar/data/872589/000153217617000008/regn-ex_1035xlandmarkpsaex.htm" TargetMode="External"/><Relationship Id="rId81" Type="http://schemas.openxmlformats.org/officeDocument/2006/relationships/hyperlink" Target="http://www.sec.gov/Archives/edgar/data/872589/000093041319001557/c93557_ex10-1.htm" TargetMode="External"/><Relationship Id="rId82" Type="http://schemas.openxmlformats.org/officeDocument/2006/relationships/hyperlink" Target="http://www.sec.gov/Archives/edgar/data/872589/000093041319001557/c93557_ex10-2.htm" TargetMode="External"/><Relationship Id="rId83" Type="http://schemas.openxmlformats.org/officeDocument/2006/relationships/hyperlink" Target="http://www.sec.gov/Archives/edgar/data/872589/000093041319001557/c93557_ex10-3.htm" TargetMode="External"/><Relationship Id="rId84" Type="http://schemas.openxmlformats.org/officeDocument/2006/relationships/hyperlink" Target="http://www.sec.gov/Archives/edgar/data/872589/000153217618000020/regn-ex_102xletteragreemen.htm" TargetMode="External"/><Relationship Id="rId85" Type="http://schemas.openxmlformats.org/officeDocument/2006/relationships/hyperlink" Target="http://www.sec.gov/Archives/edgar/data/872589/000153217619000026/regn-ex104.htm" TargetMode="External"/><Relationship Id="rId86" Type="http://schemas.openxmlformats.org/officeDocument/2006/relationships/hyperlink" Target="http://www.sec.gov/Archives/edgar/data/872589/000153217619000026/regn-ex1041.htm" TargetMode="External"/><Relationship Id="rId87" Type="http://schemas.openxmlformats.org/officeDocument/2006/relationships/hyperlink" Target="http://www.sec.gov/Archives/edgar/data/872589/000153217619000026/regn-ex1042.htm" TargetMode="External"/><Relationship Id="rId88" Type="http://schemas.openxmlformats.org/officeDocument/2006/relationships/hyperlink" Target="http://www.sec.gov/Archives/edgar/data/872589/000153217619000026/regn-ex105.htm" TargetMode="External"/><Relationship Id="rId89" Type="http://schemas.openxmlformats.org/officeDocument/2006/relationships/hyperlink" Target="http://www.sec.gov/Archives/edgar/data/872589/000153217619000026/regn-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2020-02-17T21:27:35Z</dcterms:created>
  <dcterms:modified xsi:type="dcterms:W3CDTF">2020-02-17T21:27:35Z</dcterms:modified>
</cp:coreProperties>
</file>