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2017</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180"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0-19034</w:t>
            </w:r>
          </w:p>
        </w:tc>
      </w:tr>
    </w:tbl>
    <w:p>
      <w:pPr>
        <w:spacing w:after="0" w:line="3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2940" w:type="dxa"/>
            <w:vAlign w:val="bottom"/>
            <w:gridSpan w:val="3"/>
          </w:tcPr>
          <w:p>
            <w:pPr>
              <w:jc w:val="center"/>
              <w:ind w:right="2220"/>
              <w:spacing w:after="0"/>
              <w:rPr>
                <w:sz w:val="20"/>
                <w:szCs w:val="20"/>
                <w:color w:val="auto"/>
              </w:rPr>
            </w:pPr>
            <w:r>
              <w:rPr>
                <w:rFonts w:ascii="Arial" w:cs="Arial" w:eastAsia="Arial" w:hAnsi="Arial"/>
                <w:sz w:val="18"/>
                <w:szCs w:val="18"/>
                <w:color w:val="auto"/>
                <w:w w:val="92"/>
              </w:rPr>
              <w:t>New York</w:t>
            </w:r>
          </w:p>
        </w:tc>
        <w:tc>
          <w:tcPr>
            <w:tcW w:w="4980" w:type="dxa"/>
            <w:vAlign w:val="bottom"/>
            <w:gridSpan w:val="4"/>
          </w:tcPr>
          <w:p>
            <w:pPr>
              <w:jc w:val="center"/>
              <w:ind w:left="231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4500" w:type="dxa"/>
            <w:vAlign w:val="bottom"/>
            <w:gridSpan w:val="4"/>
          </w:tcPr>
          <w:p>
            <w:pPr>
              <w:jc w:val="center"/>
              <w:ind w:right="660"/>
              <w:spacing w:after="0"/>
              <w:rPr>
                <w:sz w:val="20"/>
                <w:szCs w:val="20"/>
                <w:color w:val="auto"/>
              </w:rPr>
            </w:pPr>
            <w:r>
              <w:rPr>
                <w:rFonts w:ascii="Arial" w:cs="Arial" w:eastAsia="Arial" w:hAnsi="Arial"/>
                <w:sz w:val="18"/>
                <w:szCs w:val="18"/>
                <w:i w:val="1"/>
                <w:iCs w:val="1"/>
                <w:color w:val="auto"/>
                <w:w w:val="94"/>
              </w:rPr>
              <w:t>(State or other jurisdiction of</w:t>
            </w:r>
          </w:p>
        </w:tc>
        <w:tc>
          <w:tcPr>
            <w:tcW w:w="1120" w:type="dxa"/>
            <w:vAlign w:val="bottom"/>
          </w:tcPr>
          <w:p>
            <w:pPr>
              <w:spacing w:after="0"/>
              <w:rPr>
                <w:sz w:val="24"/>
                <w:szCs w:val="24"/>
                <w:color w:val="auto"/>
              </w:rPr>
            </w:pPr>
          </w:p>
        </w:tc>
        <w:tc>
          <w:tcPr>
            <w:tcW w:w="3860" w:type="dxa"/>
            <w:vAlign w:val="bottom"/>
            <w:gridSpan w:val="3"/>
          </w:tcPr>
          <w:p>
            <w:pPr>
              <w:jc w:val="center"/>
              <w:ind w:left="11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70"/>
        </w:trPr>
        <w:tc>
          <w:tcPr>
            <w:tcW w:w="4500" w:type="dxa"/>
            <w:vAlign w:val="bottom"/>
            <w:gridSpan w:val="4"/>
          </w:tcPr>
          <w:p>
            <w:pPr>
              <w:jc w:val="center"/>
              <w:ind w:right="660"/>
              <w:spacing w:after="0"/>
              <w:rPr>
                <w:sz w:val="20"/>
                <w:szCs w:val="20"/>
                <w:color w:val="auto"/>
              </w:rPr>
            </w:pPr>
            <w:r>
              <w:rPr>
                <w:rFonts w:ascii="Arial" w:cs="Arial" w:eastAsia="Arial" w:hAnsi="Arial"/>
                <w:sz w:val="18"/>
                <w:szCs w:val="18"/>
                <w:i w:val="1"/>
                <w:iCs w:val="1"/>
                <w:color w:val="auto"/>
                <w:w w:val="95"/>
              </w:rPr>
              <w:t>incorporation or organization)</w:t>
            </w:r>
          </w:p>
        </w:tc>
        <w:tc>
          <w:tcPr>
            <w:tcW w:w="1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660" w:type="dxa"/>
            <w:vAlign w:val="bottom"/>
          </w:tcPr>
          <w:p>
            <w:pPr>
              <w:spacing w:after="0"/>
              <w:rPr>
                <w:sz w:val="24"/>
                <w:szCs w:val="24"/>
                <w:color w:val="auto"/>
              </w:rPr>
            </w:pPr>
          </w:p>
        </w:tc>
        <w:tc>
          <w:tcPr>
            <w:tcW w:w="4980" w:type="dxa"/>
            <w:vAlign w:val="bottom"/>
            <w:gridSpan w:val="4"/>
          </w:tcPr>
          <w:p>
            <w:pPr>
              <w:jc w:val="center"/>
              <w:ind w:left="231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(Zip Code)</w:t>
            </w:r>
          </w:p>
        </w:tc>
        <w:tc>
          <w:tcPr>
            <w:tcW w:w="86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(914) 847-7000</w:t>
            </w:r>
          </w:p>
        </w:tc>
        <w:tc>
          <w:tcPr>
            <w:tcW w:w="2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Emerging growth company</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17145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-162560</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-342265</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9" w:lineRule="exact"/>
        <w:rPr>
          <w:sz w:val="24"/>
          <w:szCs w:val="24"/>
          <w:color w:val="auto"/>
        </w:rPr>
      </w:pPr>
    </w:p>
    <w:p>
      <w:pPr>
        <w:ind w:left="40" w:right="13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-1905</wp:posOffset>
            </wp:positionV>
            <wp:extent cx="411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July 20, 2017:</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1,911,456</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070"/>
              <w:spacing w:after="0"/>
              <w:rPr>
                <w:sz w:val="20"/>
                <w:szCs w:val="20"/>
                <w:color w:val="auto"/>
              </w:rPr>
            </w:pPr>
            <w:r>
              <w:rPr>
                <w:rFonts w:ascii="Arial" w:cs="Arial" w:eastAsia="Arial" w:hAnsi="Arial"/>
                <w:sz w:val="18"/>
                <w:szCs w:val="18"/>
                <w:color w:val="auto"/>
              </w:rPr>
              <w:t>105,240,767</w:t>
            </w:r>
          </w:p>
        </w:tc>
      </w:tr>
    </w:tbl>
    <w:p>
      <w:pPr>
        <w:sectPr>
          <w:pgSz w:w="11900" w:h="16838" w:orient="portrait"/>
          <w:cols w:equalWidth="0" w:num="1">
            <w:col w:w="11420"/>
          </w:cols>
          <w:pgMar w:left="240" w:top="47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620" w:type="dxa"/>
            <w:vAlign w:val="bottom"/>
            <w:gridSpan w:val="18"/>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2017 and December 31, 2016</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7"/>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Six Months Ended June 30, 2017 and 2016</w:t>
              </w:r>
            </w:hyperlink>
          </w:p>
        </w:tc>
        <w:tc>
          <w:tcPr>
            <w:tcW w:w="9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June 30, 2017</w:t>
              </w:r>
            </w:hyperlink>
          </w:p>
        </w:tc>
        <w:tc>
          <w:tcPr>
            <w:tcW w:w="9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8"/>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2016</w:t>
              </w:r>
            </w:hyperlink>
          </w:p>
        </w:tc>
        <w:tc>
          <w:tcPr>
            <w:tcW w:w="660" w:type="dxa"/>
            <w:vAlign w:val="bottom"/>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w:t>
              </w:r>
            </w:hyperlink>
          </w:p>
        </w:tc>
        <w:tc>
          <w:tcPr>
            <w:tcW w:w="7620" w:type="dxa"/>
            <w:vAlign w:val="bottom"/>
            <w:gridSpan w:val="18"/>
            <w:shd w:val="clear" w:color="auto" w:fill="CCEEFF"/>
          </w:tcPr>
          <w:p>
            <w:pPr>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Item 2.</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Unregistered Sales of Equity Securities and Use of Proceeds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Item 5.</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Item 6.</w:t>
              </w:r>
            </w:hyperlink>
          </w:p>
        </w:tc>
        <w:tc>
          <w:tcPr>
            <w:tcW w:w="7620" w:type="dxa"/>
            <w:vAlign w:val="bottom"/>
            <w:gridSpan w:val="18"/>
            <w:shd w:val="clear" w:color="auto" w:fill="CCEEFF"/>
          </w:tcPr>
          <w:p>
            <w:pPr>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4"/>
            <w:shd w:val="clear" w:color="auto" w:fill="CCEEFF"/>
          </w:tcPr>
          <w:p>
            <w:pPr>
              <w:ind w:left="20"/>
              <w:spacing w:after="0" w:line="202"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80</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40"/>
          </w:cols>
          <w:pgMar w:left="280" w:top="364"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535,203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523,537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503,481</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1,343,368</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Sanofi</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92,989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175,263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554,320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399,356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130,528</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3,860,051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3,180,188</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2"/>
        </w:trPr>
        <w:tc>
          <w:tcPr>
            <w:tcW w:w="8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1,064,677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864,260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2,083,421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882,980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825,303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20,294</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8,106,373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6,973,466</w:t>
            </w:r>
          </w:p>
        </w:tc>
      </w:tr>
      <w:tr>
        <w:trPr>
          <w:trHeight w:val="67"/>
        </w:trPr>
        <w:tc>
          <w:tcPr>
            <w:tcW w:w="8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102"/>
        </w:trPr>
        <w:tc>
          <w:tcPr>
            <w:tcW w:w="8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r>
      <w:tr>
        <w:trPr>
          <w:trHeight w:val="243"/>
        </w:trPr>
        <w:tc>
          <w:tcPr>
            <w:tcW w:w="8100" w:type="dxa"/>
            <w:vAlign w:val="bottom"/>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716,364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879,096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and facility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129,557</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184,452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115,267</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116,397</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1,241,495</w:t>
            </w:r>
          </w:p>
        </w:tc>
      </w:tr>
      <w:tr>
        <w:trPr>
          <w:trHeight w:val="122"/>
        </w:trPr>
        <w:tc>
          <w:tcPr>
            <w:tcW w:w="8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and facility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351,569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from Sanofi</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503,474</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 other</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327,298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115,920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100,385</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2,585,635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2,524,221</w:t>
            </w:r>
          </w:p>
        </w:tc>
      </w:tr>
      <w:tr>
        <w:trPr>
          <w:trHeight w:val="277"/>
        </w:trPr>
        <w:tc>
          <w:tcPr>
            <w:tcW w:w="8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1,911,456 in 2017 and 2016</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- 108,974,612 in 2017 and</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107,860,567 in 2016</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3,029,993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2,384,897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1,748,222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Treasury Stock, at cost; 3,763,868 shares in 2017 and 2016</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(316,240)</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5,520,738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4,449,245</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8,106,373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6,973,466</w:t>
            </w:r>
          </w:p>
        </w:tc>
      </w:tr>
      <w:tr>
        <w:trPr>
          <w:trHeight w:val="27"/>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732"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73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12"/>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gridSpan w:val="7"/>
          </w:tcPr>
          <w:p>
            <w:pPr>
              <w:jc w:val="center"/>
              <w:ind w:right="56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924,133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1,782,378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1,618,401</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222,128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163,414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432,495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383,108</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404,294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371,488</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113,500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169,940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40,481</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1,470,116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1,212,629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2,789,107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2,413,478</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509,975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559,930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1,017,410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1,030,042</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603,754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581,715</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42,133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41,247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103,386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120,189</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2"/>
              </w:rPr>
              <w:t>Cost of collaboration and contract manufacturing</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83,703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60,596</w:t>
            </w: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919,804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921,001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1,808,253</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1,792,542</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550,312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291,628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980,854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620,936</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5,362</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(3,891)</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525,850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292,256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958,139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622,407</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(321,464)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(244,804)</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387,744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196,218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636,675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377,603</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106,034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104,633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105,804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104,462</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115,607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116,617</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387,744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196,218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636,675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377,603</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w w:val="95"/>
              </w:rPr>
              <w:t>Unrealized gain (loss) on marketable securities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15,160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(3,368)</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on cash flow hedges</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395,976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197,058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651,863</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374,235</w:t>
            </w: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7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636,675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377,603</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73,241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48,006</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273,941</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37,631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7,795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(162,652)</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(284,178)</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(151,544)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(72,888)</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57,086</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65,850</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(147,232)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133,925</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(311,344)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66,885</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325,331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444,488</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(477,408)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(228,942)</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102,177</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(105,310)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(242,930)</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(310,552)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(369,695)</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in connection with capital and facility lease obligations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capital and facility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(12,650)</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(242,117)</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188,693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63,606</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(45,013)</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194,331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(237,387)</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209,110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(162,594)</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535,203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809,102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744,313</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646,508</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18" w:right="29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 are not necessarily indicative of the results for the full year. The December 31, 2016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2016.</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During the second quarter of 2017, the Company recorded an out-of-period adjustment to reflect a correction in the Company's accounting for its lease of its Tarrytown, New York facility (see Note 10). The adjustment, which was related to the March 3, 2017 lease transaction, resulted in the recognition of a $30.1 million loss on extinguishment of debt within other expenses and a corresponding decrease to property, plant, and equipment. These were non-cash adjustments, and therefore had no impact on the Company's previously reported operating, investing, financing, or total cash flows in its Statements of Cash Flows. The Company evaluated the impact of these items on prior periods, assessing materiality quantitatively and qualitatively, and concluded that the amounts were not considered to be material to any previously-issued quarterly or annual financial statements, and that the impact of correcting the error in the three and six months ended June 30, 2017 was not material to these financial statements, nor is the adjustment expected to be material to the financial statements for the year ending December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00" w:lineRule="exact"/>
        <w:rPr>
          <w:sz w:val="20"/>
          <w:szCs w:val="20"/>
          <w:color w:val="auto"/>
        </w:rPr>
      </w:pPr>
    </w:p>
    <w:p>
      <w:pPr>
        <w:spacing w:after="0" w:line="24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4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240" w:type="dxa"/>
            <w:vAlign w:val="bottom"/>
          </w:tcPr>
          <w:p>
            <w:pPr>
              <w:spacing w:after="0"/>
              <w:rPr>
                <w:sz w:val="17"/>
                <w:szCs w:val="17"/>
                <w:color w:val="auto"/>
              </w:rPr>
            </w:pPr>
          </w:p>
        </w:tc>
        <w:tc>
          <w:tcPr>
            <w:tcW w:w="88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20" w:type="dxa"/>
            <w:vAlign w:val="bottom"/>
            <w:tcBorders>
              <w:bottom w:val="single" w:sz="8" w:color="CCEEFF"/>
            </w:tcBorders>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64"/>
        </w:trPr>
        <w:tc>
          <w:tcPr>
            <w:tcW w:w="20" w:type="dxa"/>
            <w:vAlign w:val="bottom"/>
            <w:shd w:val="clear" w:color="auto" w:fill="CCEEFF"/>
          </w:tcPr>
          <w:p>
            <w:pPr>
              <w:spacing w:after="0"/>
              <w:rPr>
                <w:sz w:val="22"/>
                <w:szCs w:val="22"/>
                <w:color w:val="auto"/>
              </w:rPr>
            </w:pPr>
          </w:p>
        </w:tc>
        <w:tc>
          <w:tcPr>
            <w:tcW w:w="444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919,466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830,936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1,773,853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1,611,781</w:t>
            </w:r>
          </w:p>
        </w:tc>
      </w:tr>
      <w:tr>
        <w:trPr>
          <w:trHeight w:val="270"/>
        </w:trPr>
        <w:tc>
          <w:tcPr>
            <w:tcW w:w="20" w:type="dxa"/>
            <w:vAlign w:val="bottom"/>
            <w:tcBorders>
              <w:bottom w:val="single" w:sz="8" w:color="CCEEFF"/>
            </w:tcBorders>
          </w:tcPr>
          <w:p>
            <w:pPr>
              <w:spacing w:after="0"/>
              <w:rPr>
                <w:sz w:val="23"/>
                <w:szCs w:val="23"/>
                <w:color w:val="auto"/>
              </w:rPr>
            </w:pPr>
          </w:p>
        </w:tc>
        <w:tc>
          <w:tcPr>
            <w:tcW w:w="444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6,620</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834,219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1,782,378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1,618,401</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each of the three and six months ended June 30, 2017 and 2016. Sales to each of these customers as a percentage of the Company's total gross product revenue are as follows:</w:t>
      </w:r>
    </w:p>
    <w:p>
      <w:pPr>
        <w:spacing w:after="0" w:line="33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040" w:type="dxa"/>
            <w:vAlign w:val="bottom"/>
            <w:gridSpan w:val="4"/>
          </w:tcPr>
          <w:p>
            <w:pPr>
              <w:ind w:left="400"/>
              <w:spacing w:after="0"/>
              <w:rPr>
                <w:sz w:val="20"/>
                <w:szCs w:val="20"/>
                <w:color w:val="auto"/>
              </w:rPr>
            </w:pPr>
            <w:r>
              <w:rPr>
                <w:rFonts w:ascii="Arial" w:cs="Arial" w:eastAsia="Arial" w:hAnsi="Arial"/>
                <w:sz w:val="18"/>
                <w:szCs w:val="18"/>
                <w:b w:val="1"/>
                <w:bCs w:val="1"/>
                <w:color w:val="auto"/>
                <w:w w:val="90"/>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080" w:type="dxa"/>
            <w:vAlign w:val="bottom"/>
            <w:gridSpan w:val="2"/>
          </w:tcPr>
          <w:p>
            <w:pPr>
              <w:ind w:left="4700"/>
              <w:spacing w:after="0"/>
              <w:rPr>
                <w:sz w:val="20"/>
                <w:szCs w:val="20"/>
                <w:color w:val="auto"/>
              </w:rPr>
            </w:pPr>
            <w:r>
              <w:rPr>
                <w:rFonts w:ascii="Arial" w:cs="Arial" w:eastAsia="Arial" w:hAnsi="Arial"/>
                <w:sz w:val="18"/>
                <w:szCs w:val="18"/>
                <w:b w:val="1"/>
                <w:bCs w:val="1"/>
                <w:color w:val="auto"/>
                <w:w w:val="89"/>
              </w:rPr>
              <w:t>2017</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4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Besse Medical, a subsidiary of AmerisourceBergen</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3"/>
              </w:rPr>
              <w:t>28%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Curascript SD Specialty Distribution, a subsidiary of</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Express Scripts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594"/>
        </w:trPr>
        <w:tc>
          <w:tcPr>
            <w:tcW w:w="5080" w:type="dxa"/>
            <w:vAlign w:val="bottom"/>
            <w:gridSpan w:val="2"/>
          </w:tcPr>
          <w:p>
            <w:pPr>
              <w:ind w:left="458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these sales-related deductions during the six months ended June 30, 2017 and 2016.</w:t>
      </w:r>
    </w:p>
    <w:p>
      <w:pPr>
        <w:spacing w:after="0" w:line="25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45,851</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20,531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188,858</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(179,681)</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June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23,112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55,028</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48,313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55,249</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127,956</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(142,359)</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40,846</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collaboration revenue the Company earned from Sanofi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6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2016</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137,272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144,232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292,517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337,834</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Reimbursement of Regeneron commercialization-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149,539</w:t>
            </w: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(230,683)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(221,529)</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15,639</w:t>
            </w:r>
          </w:p>
        </w:tc>
      </w:tr>
      <w:tr>
        <w:trPr>
          <w:trHeight w:val="237"/>
        </w:trPr>
        <w:tc>
          <w:tcPr>
            <w:tcW w:w="2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133,299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264,987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281,483</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68,080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32,350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126,759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61,625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37"/>
        </w:trPr>
        <w:tc>
          <w:tcPr>
            <w:tcW w:w="2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52,350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167,508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101,625</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432,495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Antibody Collaboration is governed by the companies' Discovery and Preclinical Development Agreement ("Antibody Discovery Agreement") and a License and Collaboration Agreement (each as amended). Pursuant to the Antibody Discovery Agreement, Sanofi agreed to fund up to $130.0 million of the Company's research activities in 2017. The Company's Antibody Discovery Agreement with Sanofi will end on December 31, 2017 without any extension and, therefore, funding from Sanofi under the Antibody Discovery Agreement will cease after 2017.</w:t>
      </w:r>
    </w:p>
    <w:p>
      <w:pPr>
        <w:spacing w:after="0" w:line="24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Consequently, during the three months ended June 30, 2017 and 2016, the Company recognized as research and development expense $20.6 million and $30.6 million, respectively, and during the six months ended June 30, 2017 and 2016, the Company recognized as research and development expense $45.6 million and $52.3 million, respectively, of antibody development expenses that the Company was obligated to reimburse to Sanofi related to Praluent</w:t>
      </w:r>
      <w:r>
        <w:rPr>
          <w:rFonts w:ascii="Arial" w:cs="Arial" w:eastAsia="Arial" w:hAnsi="Arial"/>
          <w:sz w:val="22"/>
          <w:szCs w:val="22"/>
          <w:color w:val="auto"/>
          <w:vertAlign w:val="superscript"/>
        </w:rPr>
        <w:t>®</w:t>
      </w:r>
      <w:r>
        <w:rPr>
          <w:rFonts w:ascii="Arial" w:cs="Arial" w:eastAsia="Arial" w:hAnsi="Arial"/>
          <w:sz w:val="16"/>
          <w:szCs w:val="16"/>
          <w:color w:val="auto"/>
        </w:rPr>
        <w:t>, Kevzara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(sarilumab), and Dupixent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(dupilumab).</w:t>
      </w:r>
    </w:p>
    <w:p>
      <w:pPr>
        <w:spacing w:after="0" w:line="11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"Reimbursement of Regeneron commercialization-related expenses" in the table above represents reimbursement of internal and external costs in connection with preparing to commercialize or commercializing, as applicable, Praluent, Kevzara, and Dupixent. During the same periods that the Company recorded reimbursements from Sanofi related to the Company's commercialization expenses, the Company also recorded its share of losses in connection with the companies preparing to commercialize or commercializing, as applicable, Praluent, Kevzara, and Dupixent within Sanofi collaboration revenue.</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March 2017, the U.S. Food and Drug Administration ("FDA") approved Dupixent for the treatment of adult patients with moderate-to-severe atopic dermatitis. In May 2017, the FDA approved Kevzara for the treatment of adult patients with moderately to severely active rheumatoid arthritis and in June 2017, the European Commission granted marketing authorization for Kevzara for the treatment of rheumatoid arthritis in adult patients. Therefore, commencing in 2017, the Company's share of losses in connection with commercialization of antibodies also included the Company's share of revenue in connection with Sanofi's sales of Kevzara and Dupixent.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Pursuant to the IO Discovery Agreement, Sanofi will reimburse the Company for up to $200.0 million in 2017 to identify and validate potential immuno-oncology targets and develop therapeutic antibodies against such targets through clinical proof-of-concept. Under the terms of the IO License and Collaboration Agreement, the parties are co-developing the Company's antibody product candidate targeting the receptor known as programmed cell death protein 1, or PD-1 ("REGN2810"). The parties share equally, on an ongoing basis, development expenses for REGN2810.</w:t>
      </w:r>
    </w:p>
    <w:p>
      <w:pPr>
        <w:spacing w:after="0" w:line="23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$640.0 million in aggregate up-front payments made by Sanofi during 2015 in connection with the execution of the IO Collaboration has been recorded by the Company as deferred revenue, and is being recognized ratably as revenue over the related performance period.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19"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Collaboration Revenue</w:t>
            </w: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w w:val="99"/>
              </w:rPr>
              <w:t>2016</w:t>
            </w: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commercialization of EYLEA outside the United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190,883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167,492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365,759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313,327</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Reimbursement of Regeneron EYLEA</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39,847</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358,141</w:t>
            </w:r>
          </w:p>
        </w:tc>
      </w:tr>
      <w:tr>
        <w:trPr>
          <w:trHeight w:val="237"/>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PDGFR-beta antibody:</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Reimbursement of rinucumab/aflibercept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(REGN2176-3) development 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5,233</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PDGFR-beta antibody</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9,891</w:t>
            </w:r>
          </w:p>
        </w:tc>
      </w:tr>
      <w:tr>
        <w:trPr>
          <w:trHeight w:val="237"/>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Ang2 antibody:</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Reimbursement of nesvacumab/aflibercept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(REGN910-3) development 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 antibody</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210,355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191,896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404,294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371,488</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all agreed-upon EYLEA development costs incurred by the Company and Bayer are shared equally.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2014, the Company entered into a license and collaboration agreement with Bayer governing the joint development and commercialization outside the United States of an antibody product candidate to Platelet Derived Growth Factor Receptor Beta (PDGFR-beta), including REGN2176-3, a combination product candidate comprised of an antibody to PDGFR-beta co-formulated with aflibercept. The agreement provided that the Company would conduct the initial development of the PDGFR-beta antibody through completion of the first proof-of-concept study, upon which Bayer would have a right to opt-in to license and collaborate on further development and commercialization outside the United States. Effective in the first quarter of 2017, the Company discontinued clinical development of REGN2176-3, and on July 31, 2017, the Company and Bayer agreed to terminate the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19"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outside the United States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March 2016, the Company entered into an agreement with Bayer governing the joint development and commercialization outside the United States of an antibody product candidate to angiopoietin-2 (Ang2), including in combination with aflibercept, for the treatment of ocular diseases or disorders. In connection with the agreement, Bayer made a $50.0 million non-refundable up-front payment to the Company and is obligated to pay 25% of global development costs and 50% of development costs exclusively for the territory outside the United States. The $50.0 million up-front payment was initially recorded as deferred revenue, and is being recognized ratably as revenue over the related performance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Mitsubishi Tanabe Pharma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2015, the Company and Mitsubishi Tanabe Pharma Corporation ("MTPC") entered into a collaboration agreement providing MTPC with development and commercial rights to fasinumab, the Company's nerve growth factor antibody in late-stage clinical development, in certain Asian countries. In connection with the agreement, MTPC made a $10.0 million non-refundable up-front payment. In the first quarter of 2016, MTPC made additional payments of $45.0 million and $15.0 million to the Company, which were recorded as deferred revenue and are being recognized ratably as revenue over the same performance period as the up-front payment.</w:t>
      </w:r>
    </w:p>
    <w:p>
      <w:pPr>
        <w:spacing w:after="0" w:line="24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second quarter of 2017, the Company earned, and recognized as a substantive milestone, a $30.0 million development milestone from MTPC upon initiation of a Phase 3 trial.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Teva</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September 2016, the Company and Teva entered into a collaboration agreement (the "Teva Collaboration Agreement") to develop and commercialize fasinumab globally, excluding certain Asian countries that are subject to the Company's collaboration agreement with MTPC (as described above). In connection with the Teva Collaboration Agreement, Teva made a $250.0 million non-refundable up-front payment in September 2016. The Company leads global development activities, and the parties share development costs equally on an ongoing basis. The $250.0 million up-front payment was initially recorded as deferred revenue, and is being recognized ratably as revenue over the related performance period.</w:t>
      </w:r>
    </w:p>
    <w:p>
      <w:pPr>
        <w:spacing w:after="0" w:line="2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$67.7 million and $100.8 million of revenue for the three and six months ended June 30, 2017, respectively, in connection with the Teva Collaboration Agreement. In the second quarter of 2017, the Company earned, and recognized as a substantive milestone, a $25.0 million development milestone from Teva upon initiation of a Phase 3 trial.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Intellia Therapeutics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April 2016, the Company entered into a license and collaboration agreement with Intellia Therapeutics, Inc. to advance CRISPR/Cas gene-editing technology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development. The Company collaborates with Intellia to conduct research for the discovery, development, and commercialization of new therapies, in addition to the research and technology development of the CRISPR/Cas platform. In connection with the execution of the agreement, the Company made a $75.0 million up-front payment, which was recorded as research and development expense in the second quarter of 2016. In May 2016, Intellia completed an initial public offering ("IPO") of its common stock; as part of the concurrent private placement, the Company purchased $50.0 million of Intellia common stock.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19"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1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377,603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senior notes - interest expense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discount and note issuance costs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387,744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196,218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636,675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377,976</w:t>
            </w:r>
          </w:p>
        </w:tc>
      </w:tr>
      <w:tr>
        <w:trPr>
          <w:trHeight w:val="311"/>
        </w:trPr>
        <w:tc>
          <w:tcPr>
            <w:tcW w:w="4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104,462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10,433</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potential shares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12,155</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116,137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116,231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115,607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116,617</w:t>
            </w:r>
          </w:p>
        </w:tc>
      </w:tr>
      <w:tr>
        <w:trPr>
          <w:trHeight w:val="203"/>
        </w:trPr>
        <w:tc>
          <w:tcPr>
            <w:tcW w:w="4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4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3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080" w:type="dxa"/>
            <w:vAlign w:val="bottom"/>
          </w:tcPr>
          <w:p>
            <w:pPr>
              <w:spacing w:after="0"/>
              <w:rPr>
                <w:sz w:val="20"/>
                <w:szCs w:val="20"/>
                <w:color w:val="auto"/>
              </w:rPr>
            </w:pPr>
          </w:p>
        </w:tc>
        <w:tc>
          <w:tcPr>
            <w:tcW w:w="14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3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4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94"/>
        </w:trPr>
        <w:tc>
          <w:tcPr>
            <w:tcW w:w="308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Marketable securities as of June 30, 2017 and December 31, 2016 consist of both debt securities of investment grade issuers as well as equity securities.</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June 30, 2017</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1,349,987</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147,563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147,063</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4,616</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13,614</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60,369</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1,585,849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1,588,214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2016</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1,076,964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1,072,851</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132,340</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7,644</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42,612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42,612</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49,219</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1,380,487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1,367,741</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 classifies its debt security investments based on their contractual maturity dates. The debt securities listed as of June 30, 2017 mature at various dates through May 2022. The fair values of debt security investments by contractual maturity consist of the following:</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523,537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503,481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1,004,308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815,041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1,527,845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1,318,522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19"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2017</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120,102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48,967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(6,279)</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817,983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2016</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759,222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36,407</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795,629</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(4,743)</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883,950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920,357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(18,987)</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There were no realized losses on sales of marketable securities, and realized gains were not material, for the three and six months ended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on sales of marketable securities were not material for the three and six months ended June 30, 2016.</w:t>
      </w:r>
    </w:p>
    <w:p>
      <w:pPr>
        <w:spacing w:after="0" w:line="26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it relates to marketable securities, for the three and six months ended June 30, 2017 and 2016, amounts reclassified from accumulated other comprehensive income (loss) into other (expense) income, net were related to realized gains and losses on sales.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19"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2017</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1,349,987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1,349,987</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147,063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4,616</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12,565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1,588,214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1,527,845</w:t>
            </w:r>
          </w:p>
        </w:tc>
      </w:tr>
      <w:tr>
        <w:trPr>
          <w:trHeight w:val="67"/>
        </w:trPr>
        <w:tc>
          <w:tcPr>
            <w:tcW w:w="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2016</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1,072,851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1,072,851</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132,340</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7,644</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63,075</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42,612</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1,367,741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1,318,522</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six months ended June 30, 2017 and 2016.</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were no purchases, sales, or maturities of Level 3 marketable securities and no unrealized gains or losses related to Level 3 marketable securities for the three and six months ended June 30, 2017 and 2016. There were no transfers of marketable securities between Levels 1, 2, or 3 classifications during the six months ended June 30, 2017 and 2016.</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fair value of interest rate swap and interest rate cap contracts, which were recorded within other assets (non-current), was not material as of June 30, 2017 (see Note 11). The fair value of these contracts was determined based on Level 2 inputs, using significant inputs that are observable either directly or indirectly, including London Interbank Offered Rate ("LIBOR") and interest rate swap rates.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19"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92,287</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202,301</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13,334</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91,434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554,320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399,356</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months ended June 30, 2017 and 2016, cost of goods sold included inventory write-offs and reserves totaling $2.7 million and $2.0 million, respectively. For the six months ended June 30, 2017 and 2016, cost of goods sold included inventory write-offs and reserves totaling $9.1 million and $6.3 million,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134,984</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153,086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91,753</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214,374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159,985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235,776</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103,512</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6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716,364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879,096</w:t>
            </w:r>
          </w:p>
        </w:tc>
      </w:tr>
      <w:tr>
        <w:trPr>
          <w:trHeight w:val="20"/>
        </w:trPr>
        <w:tc>
          <w:tcPr>
            <w:tcW w:w="246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first half of 2016, the Company settled conversion obligations for $12.7 million principal amount of the Company's Notes that was previously surrendered for conversion. Consequently, in the first half of 2016, the Company paid $12.7 million in cash and issued 118,822 shares of Common Stock. In addition, the Company allocated $47.1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 conversion during the first half of 2016 was not material. As a result of these Note conversions, in the first half of 2016, the Company also exercised a proportionate amount of its convertible note hedges, for which the Company received 118,808 shares of Common Stock, which was approximately equal to the number of shares the Company was required to issue to settle the non-cash portion of the related Note conversions. The Company recorded the cost of the shares received, or $10.0 million, as Treasury Stock during the first half of 2016.</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 Transactions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November 2015, the Company entered into an amendment agreement with a warrant holder whereby the parties agreed to reduce a portion of the number of warrants held by the warrant holder. The reduction in the number of warrants was determined</w:t>
      </w:r>
    </w:p>
    <w:p>
      <w:pPr>
        <w:sectPr>
          <w:pgSz w:w="11900" w:h="16838" w:orient="portrait"/>
          <w:cols w:equalWidth="0" w:num="1">
            <w:col w:w="11420"/>
          </w:cols>
          <w:pgMar w:left="240" w:top="31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19"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number of warrants with respect to which the warrant holder closed out its hedge position, provided that the warrant holder did not effect any purchases at a price per share exceeding $535.00 per share, during the period starting on November 16, 2015 and ending no later than February 9, 2016. The Company was able to settle, at its option, any payments due under the amendment agreement in cash or by delivering shares of Common Stock. As a result of the warrant holder closing out a portion of its hedge position in the first half of 2016, the Company paid a total of $135.2 million to reduce the number of warrants held by such warrant holder by 360,406.</w:t>
      </w:r>
    </w:p>
    <w:p>
      <w:pPr>
        <w:spacing w:after="0" w:line="24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February 2016,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 holder did not effect any purchases at a price per share exceeding $375.00 per share, during the period starting on February 22, 2016 and ending no later than May 5, 2016. The Company was able to settle, at its option, any payments due under the amendment agreement in cash or by delivering shares of Common Stock. As a result of the warrant holder closing out a portion of its hedge position during the first half of 2016, the Company paid a total of $106.9 million to reduce the number of warrants held by such warrant holder by 403,665.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2015, the Company entered into an agreement with a syndicate of lenders which provides for a $750.0 million senior unsecured five-year revolving credit facility. As of June 30, 2017, the Company had no borrowings outstanding under the credit facility and was in compliance with all credit facility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leases laboratory and office facilities in Tarrytown, New York (the "Tarrytown Leases"). Prior to December 30, 2016, certain of the premises under the Tarrytown Leases had been accounted for as operating leases, while for certain other buildings the Company leased, the Company was deemed, in substance, to be the owner of the landlord's buildings (collectively, the "Build-to-Suit Buildings") in accordance with the application of FASB authoritative guidance. On December 30, 2016, the Company entered into a Purchase Agreement with BMR-Landmark at Eastview LLC and BMR-Landmark at Eastview IV LLC (collectively, "BMR"), pursuant to which the Company agreed to purchase BMR's Tarrytown, New York facilities (the "Facility") for a purchase price of $720.0 million. The Company occupies a significant portion of the Facility, with the remaining rentable area under leases to third-party tenants. In accordance with the terms of the Purchase Agreement, the Company paid $57.0 million toward the purchase price to BMR in December 2016.</w:t>
      </w:r>
    </w:p>
    <w:p>
      <w:pPr>
        <w:spacing w:after="0" w:line="2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Upon entering into the December 30, 2016 Purchase Agreement with BMR, the premises under the Company's Tarrytown Leases that were historically accounted for as operating leases were deemed to be modified, as the Company now had the option to purchase the Facility under terms that made it reasonably assured to be exercised. Consequently, the leases for such premises were re-classified as a capital lease upon execution of the Purchase Agreement, and a proportionate amount of the $57.0 million payment was recorded as reduction of the initial capital lease liability. The execution of the Purchase Agreement did not impact the balance sheet classification for the Build-to-Suit Buildings; however, a proportionate amount of the $57.0 million payment was recorded as a reduction to the related facility lease obligation.</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3, 2017, the Company entered into a Participation Agreement with Banc of America Leasing &amp; Capital LLC ("BAL"), as lessor, and a syndicate of lenders (collectively, the "Participants"). The Participation Agreement provided for lease financing in connection with the acquisition by BAL of the Facility and the Company's lease of the Facility from BAL. On March 3, 2017, the right to take title to the Facility under the Purchase Agreement was assigned by the Company to BAL, and the Participants advanced $720.0 million, which was used by BAL to finance the purchase price for the Facility and to reimburse the Company for the $57.0 million payment made to BMR in December 2016. The $57.0 million reimbursement was recorded by the Company in March 2017 as an increase to capital and facility lease obligations in amounts equal to those initially recorded upon making such payment to BMR in December 2016.</w:t>
      </w:r>
    </w:p>
    <w:p>
      <w:pPr>
        <w:spacing w:after="0" w:line="24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March 3, 2017, the Company entered into a lease agreement (the "Lease") with BAL, pursuant to which the Company has leased the Facility from BAL for a five-year term. As a result of entering into the lease agreement, certain parts of the Facility became subleased from the Company by existing third-party tenants. The Lease requires the Company to pay all maintenance, insurance, taxes, and other costs arising out of the use of the Facility. The Company is also required to make monthly payments of basic rent during the term of the Lease in an amount equal to a variable rate per annum based on the one-month LIBOR, plus an applicable margin that varies with the Company’s debt rating and total leverage ratio.</w:t>
      </w:r>
    </w:p>
    <w:p>
      <w:pPr>
        <w:sectPr>
          <w:pgSz w:w="11900" w:h="16838" w:orient="portrait"/>
          <w:cols w:equalWidth="0" w:num="1">
            <w:col w:w="11420"/>
          </w:cols>
          <w:pgMar w:left="240" w:top="319"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19"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Participation Agreement and the Lease include an option for the Company to elect to extend the maturity date of the Participation Agreement and the term of the Lease for an additional five-year period, subject to the consent of all the Participants and certain other conditions. The Company also has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1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a result of entering into the lease agreement with BAL, the premises that were classified as a capital lease as of December 31, 2016 were reassessed. As described above, the Company has the option to purchase the Facility, and as a result, the Company is deemed to have continuing involvement in such premises. Accordingly, these premises continue to be classified as a capital lease, with the related property, plant, and equipment and capital lease liability remaining on the Company's Condensed Consolidated Balance Sheet. In addition, as described above, upon entering into the lease agreement, the Company began to lease space occupied by third-party tenants. The lease of such premises is also classified as a capital lease. The execution of the March 2017 lease agreement did not impact the balance sheet classification for the Build-to-Suit Buildings. However, during the second quarter of 2017, the Company recorded an out-of-period adjustment primarily resulting in the recognition of a $30.1 million loss on extinguishment of debt associated with the Build-to-Suit Buildings, and a corresponding decrease to property, plant and equipment (see Note 1). In the aggregate, the Company recorded $720.0 million of capital and facility lease obligations upon execution of the lease agreement for the Facility.</w:t>
      </w:r>
    </w:p>
    <w:p>
      <w:pPr>
        <w:spacing w:after="0" w:line="236"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 Participation Agreement and the Lease contain financial and operating covenants, which are substantially similar to the covenants set forth in the Company's credit facility (see Note 9). The Company was in compliance with all covenants of the Participation Agreement and the Lease as of June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is exposed to market fluctuations in interest rates, including those in connection with its March 2017 lease agreement (see Note 10). During the three months ended June 30, 2017, the Company entered into interest rate swap and interest rate cap agreements to manage a portion of such interest rate risk. All of the Company’s derivative instruments are utilized for risk management purposes, and are not used for trading or speculative purposes.</w:t>
      </w:r>
    </w:p>
    <w:p>
      <w:pPr>
        <w:spacing w:after="0" w:line="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derivative instruments are designated as cash flow hedges for accounting purposes. Since the specific terms of the derivative instruments match those of the item being hedged, the derivative instruments are deemed to be highly effective in offsetting the changes in cash flows of the hedged item. As such, changes in the fair value of these derivatives are recorded in accumulated other comprehensive income (loss) until the underlying transaction affects earnings, and are then reclassified to earnings in the same account as the hedged transaction. The Company would record any gain or loss related to the ineffectiveness directly to earnings.</w:t>
      </w:r>
    </w:p>
    <w:p>
      <w:pPr>
        <w:spacing w:after="0" w:line="13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assesses, both at inception and on an ongoing basis, whether derivatives used continue to be highly effective in offsetting changes in cash flows of the hedged items. The Company does not exclude any portion of the cash flow hedge contracts from the assessment of hedge effectiveness. If and when a derivative is no longer expected to be highly effective, hedge accounting is discontinued.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the notional amounts of the Company's outstanding interest rate swap and cap agreements as of June 30, 2017:</w:t>
      </w:r>
    </w:p>
    <w:p>
      <w:pPr>
        <w:spacing w:after="0" w:line="200" w:lineRule="exact"/>
        <w:rPr>
          <w:sz w:val="20"/>
          <w:szCs w:val="20"/>
          <w:color w:val="auto"/>
        </w:rPr>
      </w:pPr>
    </w:p>
    <w:p>
      <w:pPr>
        <w:spacing w:after="0" w:line="249"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Notional Amount</w:t>
            </w:r>
          </w:p>
        </w:tc>
      </w:tr>
      <w:tr>
        <w:trPr>
          <w:trHeight w:val="27"/>
        </w:trPr>
        <w:tc>
          <w:tcPr>
            <w:tcW w:w="2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20,000</w:t>
            </w:r>
          </w:p>
        </w:tc>
      </w:tr>
    </w:tbl>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it relates to cash flow hedges, for the three months ended June 30, 2017, amounts of gains and losses recognized in other comprehensive income (loss), and amounts reclassified from accumulated other comprehensive income (loss) into interest expense, net were not material. As of June 30, 2017, the amounts expected to be reclassified out of accumulated other comprehensive income into interest expense over the next 12 months is not expected to be material. For the three months ended June 30, 2017, there were no gains or losses recorded related to the ineffective portion of the derivative instruments.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19"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8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is subject to U.S. federal, state, and foreign income taxes. The Company recorded an income tax provision in its Statement of Operations of $138.1 million and $96.0 million for the three months ended June 30, 2017 and 2016, respectively, and $321.5 million and $244.8 million for the six months ended June 30, 2017 and 2016, respectively. The Company's effective tax rate was 26.3% and 32.9% for the three months ended June 30, 2017 and 2016, respectively, and 33.6% and 39.3% for the six months ended June 30, 2017 and 2016, respectively. The Company's effective tax rate for the three and six months ended June 30, 2017 was positively impacted, compared to the U.S. federal statutory rate, by the tax benefit associated with stock-based compensation, the domestic manufacturing deduction, and the federal tax credit for research activities, partly offset by losses incurred in foreign jurisdictions with rates lower than the U.S. federal statutory rate and the non-tax deductible Branded Prescription Drug Fee.</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Company's effective tax rate for the three and six months ended June 30, 2016 was positively impacted, compared to the U.S. federal statutory rate, by the tax benefit associated with stock-based compensation, the domestic manufacturing deduction, and the federal tax credit for increased research activities, partly offset by the negative impact of losses incurred in foreign jurisdictions with rates lower than the U.S. federal statutory rate and the non-tax deductible Branded Prescription Drug Fee.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also recorded an income tax benefit of $1.6 million for the six months ended June 30, 2016 in connection with unrealized gains (losses) on available-for-sale marketable securities. Income tax provisions recorded in the Company's Statement of Comprehensive Income for the three months ended June 30, 2016, and three and six months ended June 30, 2017 were not material.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Statement of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June 30, 2017 and December 31, 2016 were $30.9 million and $28.2 million, respectively, of accrued capital expenditures. Included in accounts payable and accrued expenses as of June 30, 2016 and December 31, 2015 were $39.3 million and $50.7 million, respectively, of accrued capital expenditures.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an additional capital lease obligation of $201.2 million in connection with the Company's lease of additional premises at its Tarrytown, New York facility during the six months ended June 30, 2017 (see Note 10). No such amount was recognized during the six months ended June 30, 2016.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Matters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If the Company were unable to prevail in any such proceedings, its consolidated financial position, results of operations, and future cash flows may be materially impacted.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 At this time, the Company is not able to predict the outcome of, or estimate possible gain or a range of possible loss, if any, related to, these proceedings.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19"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In the United States, Amgen has asserted a number of U.S. patents, which were subsequently narrowed to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from March 8 to March 16, 2016. During the course of the trial, the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court issued a final opinion and judgment, denying the Company and the Sanofi defendants' motions for new trial and judgment as a matter of law. The court also denied as moot Amgen's motion to strike the Company and the Sanofi defendants' request to obtain a judgment as a matter of law, which allows the United States Court of Appeals for the Federal Circuit to address the Company and the Sanofi defendants' patent invalidity arguments on appeal. On January 12, 2017, the Company and the Sanofi defendants filed a notice of appeal with the United States Court of Appeals for the Federal Circuit. On January 18, 2017, the United States Court of Appeals for the Federal Circuit ordered an expedited briefing schedule of the appeal on the merits. On April 19, 2017, the United States District Court for the District of Delaware granted Amgen's motion to amend the judgment on an accounting of supplemental damages and enhancement of such damages if deemed appropriate, but deferred the order until after the United States Court of Appeals for the Federal Circuit issues a decision on the appeal. The briefing relating to the appeal to the United States Court of Appeals for the Federal Circuit was completed on March 31, 2017, and oral argument on the appeal was held on June 6, 2017.</w:t>
      </w:r>
    </w:p>
    <w:p>
      <w:pPr>
        <w:spacing w:after="0" w:line="22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On March 23 and March 24, 2016, the United States District Court for the District of Delaware held a permanent injunction hearing to determine whether Regeneron and the Sanofi defendants should be prohibited from Commercializing Praluent in the United States. On January 5, 2017, the court granted the permanent injunction but delayed its imposition for 30 days (subsequently extended to 45 days) from the date of grant (i.e., until February 21, 2017). On January 13, 2017, the Company and the Sanofi defendants filed an emergency motion for stay of the permanent injunction pending appeal with the United States Court of Appeals for the Federal Circuit; and, on February 8, 2017, the court granted the stay pending appeal.</w:t>
      </w:r>
    </w:p>
    <w:p>
      <w:pPr>
        <w:spacing w:after="0" w:line="22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4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seeking a permanent injunction, an accounting of marketing activities, a recall of Praluent and its removal from distribution channels, and damages. Oral hearing on this infringement lawsuit is currently scheduled for October 19, 2017.</w:t>
      </w:r>
    </w:p>
    <w:p>
      <w:pPr>
        <w:spacing w:after="0" w:line="24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Sanofi Winthrop Industrie,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is currently scheduled for June 29, 2018.</w:t>
      </w:r>
    </w:p>
    <w:p>
      <w:pPr>
        <w:sectPr>
          <w:pgSz w:w="11900" w:h="16838" w:orient="portrait"/>
          <w:cols w:equalWidth="0" w:num="1">
            <w:col w:w="11420"/>
          </w:cols>
          <w:pgMar w:left="240" w:top="319"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19"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'124 Patent is also subject to opposition proceedings in the European Patent Office seeking to invalidate certain of its claims, which were initiated by the Company on November 24, 2016.</w:t>
      </w:r>
    </w:p>
    <w:p>
      <w:pPr>
        <w:spacing w:after="0" w:line="2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May 19, 2017, Amgen filed a lawsuit for infringement of Amgen's Japanese Patent Nos. 5,906,333 (the "'333 Patent") and 5,705,288 (the "'288 Patent") in the Tokyo District Court Civil Division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complaint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On March 23, 2017, the Company,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United States Patent and Trademark Office ("USPTO") seeking a declaration of invalidity of the '487 Patent. On July 28 and 31, 2017, the same parties initiated two additional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reviews in the USPTO seeking declarations of invalidity of the '487 Patent based on different grounds.</w:t>
      </w:r>
    </w:p>
    <w:p>
      <w:pPr>
        <w:spacing w:after="0" w:line="235"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On April 5, 2017, Immunex Corporation filed a complaint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and Immunex and Amgen filed an answer on July 28, 2017.</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then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Regeneron Pharmaceuticals, Inc.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June 28, 2017, the court dismissed the plaintiff's claims with respect to certain compensation awarded in 2013 but denied the defendants' motion to dismiss the other claims set forth in the complaint.</w:t>
      </w:r>
    </w:p>
    <w:p>
      <w:pPr>
        <w:spacing w:after="0" w:line="22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or about December 15, 2015, the Company received a shareholder litigation demand upon the Company's board of directors made by a purported Regeneron shareholder. The demand asserts that the then current and certain former non-employee members of the board of directors and the Chairman of the board of directors excessively compensated themselves in 2013 and 2014. The demand requests that the board of directors investigate and bring legal action against these directors for breach of fiduciary duty, unjust enrichment, and corporate waste, and implement internal controls and systems designed to prohibit and prevent similar</w:t>
      </w:r>
    </w:p>
    <w:p>
      <w:pPr>
        <w:sectPr>
          <w:pgSz w:w="11900" w:h="16838" w:orient="portrait"/>
          <w:cols w:equalWidth="0" w:num="1">
            <w:col w:w="11420"/>
          </w:cols>
          <w:pgMar w:left="240" w:top="319"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19"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actions in the future. The Company's board of directors is evaluating the impact of the court's decision pertaining to the motion to dismiss discussed above on the board's response to this demand.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relating to these matters.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Arial" w:cs="Arial" w:eastAsia="Arial" w:hAnsi="Arial"/>
          <w:sz w:val="22"/>
          <w:szCs w:val="22"/>
          <w:color w:val="auto"/>
          <w:vertAlign w:val="superscript"/>
        </w:rPr>
        <w:t>®</w:t>
      </w:r>
      <w:r>
        <w:rPr>
          <w:rFonts w:ascii="Arial" w:cs="Arial" w:eastAsia="Arial" w:hAnsi="Arial"/>
          <w:sz w:val="16"/>
          <w:szCs w:val="16"/>
          <w:color w:val="auto"/>
        </w:rPr>
        <w:t>); and certain other related documents and communications. The Company is cooperating with this investigation. The Company cannot predict the outcome or duration of this investigation or any other legal proceedings or any enforcement actions or other remedies that may be imposed on the Company arising out of this investigation.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Recently Issued Accounting Standards</w:t>
      </w:r>
    </w:p>
    <w:p>
      <w:pPr>
        <w:spacing w:after="0" w:line="28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 xml:space="preserve">In May 2014, the FASB issued Accounting Standards Update 2014-09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along with subsequent amendments to ASU 2014-09 issued by the FASB,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annual and interim reporting periods beginning after December 15, 2017. Early adoption is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substantially completed its impact assessment, and does not currently expect the new standard to have a material impact on total revenues. However, substantive development milestones, which were previously recognized in the period when the milestone was achieved, will be recognized over the remaining performance period under the new standard. In connection with adopting the new standard, the Company does not anticipate implementing changes to its systems or internal controls. The Company continues to evaluate its planned method of transition and the impact of the new guidance on its financial statement disclosures.</w:t>
      </w:r>
    </w:p>
    <w:p>
      <w:pPr>
        <w:spacing w:after="0" w:line="22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In January 2016, the FASB issued Accounting Standards Update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The amendments require equity investments (except those accounted for under the equity method of accounting or those that result in consolidation of the investee) to be measured at fair value with changes in fair value recognized in net income. The amendments are effective for fiscal years, and interim periods within those fiscal years, beginning after December 15, 2017. The implementation of the amendments is expected to increase the volatility of the Company's net income, as the Company holds publicly traded equity investments; however, the Company is not able to estimate the impact of adopting these amendments, as the significance of the impact will depend on the Company's equity investment balance upon adoption.</w:t>
      </w:r>
    </w:p>
    <w:p>
      <w:pPr>
        <w:spacing w:after="0" w:line="21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requires a lessee to recognize in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Early adoption is permitted. The Company is currently evaluating the impact that this guidance will have on the Company's financial statements, including related disclosures. The Company expects the new standard will have a significant impact on its controls, systems,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19"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b w:val="1"/>
          <w:bCs w:val="1"/>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(dupilumab) Injection, Praluent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(sarilumab) Injection, REGN2810, fasinumab, and suptavumab;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suptavumab, REGN2810, and fasinumab; ongoing regulatory obligations and oversight impacting our marketed products (such as EYLEA, Dupixent, Praluent, and Kevzara),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Dupixent and Praluent described further in Part II, Item 1. "Legal Proceedings" of this report.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 heart disease, allergic and inflammatory diseases, pain, cancer, and infectious and rare diseases.</w:t>
      </w:r>
    </w:p>
    <w:p>
      <w:pPr>
        <w:spacing w:after="0" w:line="2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total revenues were $1,470.1 million in the second quarter and $2,789.1 million in the first half of 2017, compared to $1,212.6 million in the second quarter and $2,413.5 million in the first half of 2016. Our net income was $387.7 million, or $3.34 per diluted share, in the second quarter and $636.7 million, or $5.51 per diluted share, in the first half of 2017, compared to net income of $196.2 million, or $1.69 per diluted share, in the second quarter and $377.6 million, or $3.24 per diluted share, in the first half of 2016. Refer to the "Results of Operations" section below for further details of our financial results.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six products that have received marketing approval:</w:t>
      </w:r>
    </w:p>
    <w:p>
      <w:pPr>
        <w:spacing w:after="0" w:line="275" w:lineRule="exact"/>
        <w:rPr>
          <w:sz w:val="20"/>
          <w:szCs w:val="20"/>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EYLEA (aflibercept) Injection</w:t>
      </w:r>
      <w:r>
        <w:rPr>
          <w:rFonts w:ascii="Arial" w:cs="Arial" w:eastAsia="Arial" w:hAnsi="Arial"/>
          <w:sz w:val="17"/>
          <w:szCs w:val="17"/>
          <w:color w:val="auto"/>
        </w:rPr>
        <w:t>, known in the scientific literature as VEGF Trap-Eye, which is available in the United States, European Union</w:t>
      </w:r>
      <w:r>
        <w:rPr>
          <w:rFonts w:ascii="Arial" w:cs="Arial" w:eastAsia="Arial" w:hAnsi="Arial"/>
          <w:sz w:val="17"/>
          <w:szCs w:val="17"/>
          <w:b w:val="1"/>
          <w:bCs w:val="1"/>
          <w:color w:val="auto"/>
        </w:rPr>
        <w:t xml:space="preserve"> </w:t>
      </w:r>
      <w:r>
        <w:rPr>
          <w:rFonts w:ascii="Arial" w:cs="Arial" w:eastAsia="Arial" w:hAnsi="Arial"/>
          <w:sz w:val="17"/>
          <w:szCs w:val="17"/>
          <w:color w:val="auto"/>
        </w:rPr>
        <w:t>(EU), Japan, and certain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 Bayer has additional regulatory applications for EYLEA for various indications pending in other countries, including EYLEA for the treatment of wet AMD in China.</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are collaborating with Bayer on the global development and commercialization of EYLEA outside the United States. Bayer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37" w:lineRule="exact"/>
        <w:rPr>
          <w:sz w:val="20"/>
          <w:szCs w:val="20"/>
          <w:color w:val="auto"/>
        </w:rPr>
      </w:pPr>
    </w:p>
    <w:p>
      <w:pPr>
        <w:jc w:val="both"/>
        <w:ind w:left="660" w:hanging="328"/>
        <w:spacing w:after="0" w:line="23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53"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Praluent (alirocumab) Injection</w:t>
      </w:r>
      <w:r>
        <w:rPr>
          <w:rFonts w:ascii="Arial" w:cs="Arial" w:eastAsia="Arial" w:hAnsi="Arial"/>
          <w:sz w:val="16"/>
          <w:szCs w:val="16"/>
          <w:color w:val="auto"/>
        </w:rPr>
        <w:t>, which is available in the United States where it is indicated as an adjunct to diet and maximally tolerated statin</w:t>
      </w:r>
      <w:r>
        <w:rPr>
          <w:rFonts w:ascii="Arial" w:cs="Arial" w:eastAsia="Arial" w:hAnsi="Arial"/>
          <w:sz w:val="16"/>
          <w:szCs w:val="16"/>
          <w:b w:val="1"/>
          <w:bCs w:val="1"/>
          <w:color w:val="auto"/>
        </w:rPr>
        <w:t xml:space="preserve"> </w:t>
      </w:r>
      <w:r>
        <w:rPr>
          <w:rFonts w:ascii="Arial" w:cs="Arial" w:eastAsia="Arial" w:hAnsi="Arial"/>
          <w:sz w:val="16"/>
          <w:szCs w:val="16"/>
          <w:color w:val="auto"/>
        </w:rPr>
        <w:t>therapy for the treatment of adults with heterozygous familial hypercholesterolemia or clinical atherosclerotic cardiovascular disease (ASCVD), who require additional lowering of LDL cholesterol. Praluent is also available in certain countries in Europe for the treatment of adult patients with primary hypercholesterolemia (heterozygous familial hypercholesterolemia (HeFH) and non-familial) or mixed dyslipidemia as an adjunct to diet:</w:t>
      </w:r>
    </w:p>
    <w:p>
      <w:pPr>
        <w:spacing w:after="0" w:line="2" w:lineRule="exact"/>
        <w:rPr>
          <w:rFonts w:ascii="Arial" w:cs="Arial" w:eastAsia="Arial" w:hAnsi="Arial"/>
          <w:sz w:val="16"/>
          <w:szCs w:val="16"/>
          <w:color w:val="auto"/>
        </w:rPr>
      </w:pPr>
    </w:p>
    <w:p>
      <w:pPr>
        <w:jc w:val="both"/>
        <w:ind w:left="660" w:hanging="4"/>
        <w:spacing w:after="0" w:line="252" w:lineRule="auto"/>
        <w:tabs>
          <w:tab w:leader="none" w:pos="937"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and in Japan for the treatment of uncontrolled LDL cholesterol, in certain adult patients with hypercholesterolemia at high cardiovascular risk. In April 2017, the FDA approved the supplemental Biologics License Application (sBLA) for a once-monthly (every four weeks), 300 mg dose of Praluent. The effect of Praluent on cardiovascular morbidity and mortality has not been determined. We are collaborating with Sanofi on the global development and commercialization of Praluent. See Part II, Item 1. "Legal Proceedings" for information regarding the patent infringement proceedings relating to Praluent, which may impact Praluent's commercial availability in the United States and other jurisdictions.</w:t>
      </w:r>
    </w:p>
    <w:p>
      <w:pPr>
        <w:spacing w:after="0" w:line="24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Under our antibody collaboration agreement, Sanofi records product sales for commercialized products, and Regeneron has the right to co-promote such products. We have exercised our option to co-promote Praluent in the United States and thus far have not exercised our option to co-promote Praluent outside the United States. We and Sanofi share profits and losses from sales of Praluent.</w:t>
      </w:r>
    </w:p>
    <w:p>
      <w:pPr>
        <w:spacing w:after="0" w:line="231" w:lineRule="exact"/>
        <w:rPr>
          <w:sz w:val="20"/>
          <w:szCs w:val="20"/>
          <w:color w:val="auto"/>
        </w:rPr>
      </w:pPr>
    </w:p>
    <w:p>
      <w:pPr>
        <w:jc w:val="both"/>
        <w:ind w:left="660" w:hanging="328"/>
        <w:spacing w:after="0" w:line="277"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Dupixent (dupilumab) Injection. </w:t>
      </w:r>
      <w:r>
        <w:rPr>
          <w:rFonts w:ascii="Arial" w:cs="Arial" w:eastAsia="Arial" w:hAnsi="Arial"/>
          <w:sz w:val="17"/>
          <w:szCs w:val="17"/>
          <w:color w:val="auto"/>
        </w:rPr>
        <w:t>On March 28, 2017, the U.S. Food and Drug Administration (FDA) approved Dupixent for the treatment of adult</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moderate-to-severe atopic dermatitis whose disease is not adequately controlled with topical prescription therapies or when those therapies are not advisable. The launch of Dupixent commenced in March following the FDA approval. Sanofi records product sales for Dupixent, and we and Sanofi share profits and losses from sales of Dupixent. We have exercised our option to co-promote Dupixent in the United States and thus far have not exercised our option to co-promote Dupixent outside the United States.</w:t>
      </w:r>
    </w:p>
    <w:p>
      <w:pPr>
        <w:spacing w:after="0" w:line="172" w:lineRule="exact"/>
        <w:rPr>
          <w:rFonts w:ascii="Arial" w:cs="Arial" w:eastAsia="Arial" w:hAnsi="Arial"/>
          <w:sz w:val="17"/>
          <w:szCs w:val="17"/>
          <w:b w:val="1"/>
          <w:bCs w:val="1"/>
          <w:color w:val="auto"/>
        </w:rPr>
      </w:pPr>
    </w:p>
    <w:p>
      <w:pPr>
        <w:jc w:val="both"/>
        <w:ind w:left="66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The United Kingdom (UK) Medicines &amp; Healthcare products Regulatory Agency (MHRA) granted Promising Innovative Medicine (PIM) Designation to Dupixent in the short-term treatment of adult patients with severe atopic dermatitis. PIM Designation is the first step in a 2-step Early Access to Medicines Scheme process that allows patients to be treated with Dupixent in advance of formal regulatory approval. In July 2017, the European Medicine Agency's Committee for Medicinal Products for Human Use (CHMP) adopted a positive opinion for the marketing authorization of Dupixent, recommending its approval for use in adults with moderate-to-severe atopic dermatitis who are candidates for systemic therapy. In addition, in the first quarter of 2017, an application for marketing approval for Dupixent was submitted in Japan. Sanofi has additional regulatory applications for Dupixent for use in adult patients with atopic dermatitis pending in other countries.</w:t>
      </w:r>
    </w:p>
    <w:p>
      <w:pPr>
        <w:spacing w:after="0" w:line="173" w:lineRule="exact"/>
        <w:rPr>
          <w:rFonts w:ascii="Arial" w:cs="Arial" w:eastAsia="Arial" w:hAnsi="Arial"/>
          <w:sz w:val="17"/>
          <w:szCs w:val="17"/>
          <w:b w:val="1"/>
          <w:bCs w:val="1"/>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Kevzara (sarilumab) Solution for Subcutaneous Injection</w:t>
      </w:r>
      <w:r>
        <w:rPr>
          <w:rFonts w:ascii="Arial" w:cs="Arial" w:eastAsia="Arial" w:hAnsi="Arial"/>
          <w:sz w:val="18"/>
          <w:szCs w:val="18"/>
          <w:color w:val="auto"/>
        </w:rPr>
        <w:t>. In January 2017, Health Canada approved Kevzara for the treatment of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moderately to severely active rheumatoid arthritis who have an inadequate response to or intolerance to one or more biologic or non-biologic disease modifying anti-rheumatic drugs (DMARDs). This was the first approval of Kevzara worldwide. On May 22, 2017, the FDA approved Kevzara for the treatment of adult patients with moderately to severely active rheumatoid arthritis who have an inadequate response or intolerance to one or more DMARDs. In June 2017, the European Commission granted marketing authorization for Kevzara in combination with methotrexate (MTX) for the treatment of moderately to severely active rheumatoid arthritis in adult patients who have responded inadequately to, or who are intolerant to one or more DMARDs; Kevzara may be used as monotherapy in case of intolerance to MTX or when treatment with MTX is inappropriate.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Sanofi records product sales for Kevzara, and we and Sanofi share profits and losses from sales of Kevzara. We have exercised our option to co-promote Kevzara in the United States and thus far have not exercised our option to co-promote Kevzara outside the United States. In October 2016, an application for marketing approval for Kevzara was submitted in Japan, and Sanofi has additional regulatory applications for Kevzara for RA pending in other countries.</w:t>
      </w:r>
    </w:p>
    <w:p>
      <w:pPr>
        <w:spacing w:after="0" w:line="237" w:lineRule="exact"/>
        <w:rPr>
          <w:sz w:val="20"/>
          <w:szCs w:val="20"/>
          <w:color w:val="auto"/>
        </w:rPr>
      </w:pPr>
    </w:p>
    <w:p>
      <w:pPr>
        <w:jc w:val="both"/>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ZALTRAP</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(ziv-aflibercept) Injection for Intravenous Infusion</w:t>
      </w:r>
      <w:r>
        <w:rPr>
          <w:rFonts w:ascii="Arial" w:cs="Arial" w:eastAsia="Arial" w:hAnsi="Arial"/>
          <w:sz w:val="18"/>
          <w:szCs w:val="18"/>
          <w:color w:val="auto"/>
        </w:rPr>
        <w:t>, known in the scientific literature as VEGF Trap, which is available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EU, and certain other countries for treatment, in combination with 5-fluorouracil, leucovorin, irinotecan (FOLFIRI), of patients with metastatic colorectal cancer (mCRC) that is resistant to or has progressed following an oxaliplatin-containing regimen. Pursuant to a 2015 amended and restated ZALTRAP agreement, Sanofi is solely responsible for the development and commercialization of ZALTRAP, and Sanofi pays us a percentage of aggregate net sales of ZALTRAP.</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00" w:lineRule="exact"/>
        <w:rPr>
          <w:sz w:val="20"/>
          <w:szCs w:val="20"/>
          <w:color w:val="auto"/>
        </w:rPr>
      </w:pPr>
    </w:p>
    <w:p>
      <w:pPr>
        <w:spacing w:after="0" w:line="228"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80" w:type="dxa"/>
            <w:vAlign w:val="bottom"/>
            <w:gridSpan w:val="4"/>
          </w:tcPr>
          <w:p>
            <w:pPr>
              <w:spacing w:after="0"/>
              <w:rPr>
                <w:sz w:val="20"/>
                <w:szCs w:val="20"/>
                <w:color w:val="auto"/>
              </w:rPr>
            </w:pPr>
            <w:r>
              <w:rPr>
                <w:rFonts w:ascii="Arial" w:cs="Arial" w:eastAsia="Arial" w:hAnsi="Arial"/>
                <w:sz w:val="18"/>
                <w:szCs w:val="18"/>
                <w:b w:val="1"/>
                <w:bCs w:val="1"/>
                <w:color w:val="auto"/>
              </w:rPr>
              <w:t>Net Product Sales of Regeneron- Discovered</w:t>
            </w:r>
          </w:p>
        </w:tc>
        <w:tc>
          <w:tcPr>
            <w:tcW w:w="120" w:type="dxa"/>
            <w:vAlign w:val="bottom"/>
          </w:tcPr>
          <w:p>
            <w:pPr>
              <w:spacing w:after="0"/>
              <w:rPr>
                <w:sz w:val="17"/>
                <w:szCs w:val="17"/>
                <w:color w:val="auto"/>
              </w:rPr>
            </w:pPr>
          </w:p>
        </w:tc>
        <w:tc>
          <w:tcPr>
            <w:tcW w:w="22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vMerge w:val="restart"/>
          </w:tcPr>
          <w:p>
            <w:pPr>
              <w:spacing w:after="0" w:line="196" w:lineRule="exact"/>
              <w:rPr>
                <w:sz w:val="20"/>
                <w:szCs w:val="20"/>
                <w:color w:val="auto"/>
              </w:rPr>
            </w:pPr>
            <w:r>
              <w:rPr>
                <w:rFonts w:ascii="Arial" w:cs="Arial" w:eastAsia="Arial" w:hAnsi="Arial"/>
                <w:sz w:val="18"/>
                <w:szCs w:val="18"/>
                <w:b w:val="1"/>
                <w:bCs w:val="1"/>
                <w:color w:val="auto"/>
                <w:w w:val="84"/>
              </w:rPr>
              <w:t>Products</w:t>
            </w:r>
          </w:p>
        </w:tc>
        <w:tc>
          <w:tcPr>
            <w:tcW w:w="1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7"/>
              </w:rPr>
              <w:t>(1)</w:t>
            </w:r>
          </w:p>
        </w:tc>
        <w:tc>
          <w:tcPr>
            <w:tcW w:w="2540" w:type="dxa"/>
            <w:vAlign w:val="bottom"/>
            <w:tcBorders>
              <w:top w:val="single" w:sz="8" w:color="auto"/>
              <w:bottom w:val="single" w:sz="8" w:color="auto"/>
            </w:tcBorders>
            <w:vMerge w:val="restart"/>
          </w:tcPr>
          <w:p>
            <w:pPr>
              <w:spacing w:after="0"/>
              <w:rPr>
                <w:sz w:val="12"/>
                <w:szCs w:val="12"/>
                <w:color w:val="auto"/>
              </w:rPr>
            </w:pPr>
          </w:p>
        </w:tc>
        <w:tc>
          <w:tcPr>
            <w:tcW w:w="9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gridSpan w:val="3"/>
            <w:vMerge w:val="restart"/>
          </w:tcPr>
          <w:p>
            <w:pPr>
              <w:jc w:val="right"/>
              <w:ind w:right="160"/>
              <w:spacing w:after="0" w:line="196" w:lineRule="exact"/>
              <w:rPr>
                <w:sz w:val="20"/>
                <w:szCs w:val="20"/>
                <w:color w:val="auto"/>
              </w:rPr>
            </w:pPr>
            <w:r>
              <w:rPr>
                <w:rFonts w:ascii="Arial" w:cs="Arial" w:eastAsia="Arial" w:hAnsi="Arial"/>
                <w:sz w:val="18"/>
                <w:szCs w:val="18"/>
                <w:b w:val="1"/>
                <w:bCs w:val="1"/>
                <w:color w:val="auto"/>
                <w:w w:val="95"/>
              </w:rPr>
              <w:t>30,</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jc w:val="right"/>
              <w:spacing w:after="0" w:line="196" w:lineRule="exact"/>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EYLEA in the 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ARCALYST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Net product sales recorded by Regeneron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8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color w:val="auto"/>
              </w:rPr>
              <w:t>EYLEA outside of the United States</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EYLEA global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1,461.9</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2,800.2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8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Praluent in the 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Praluent outside of the United States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Praluent global</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Dupixent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Net product sales recorded by Sanofi</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80" w:right="1420"/>
        <w:spacing w:after="0" w:line="285" w:lineRule="auto"/>
        <w:tabs>
          <w:tab w:leader="none" w:pos="1658"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 described in the "Overview" section above, Bayer records net product sales of EYLEA outside the United States and Sanofi records global net product sales of Praluent, Dupixent, Kevzara, and ZALTRAP.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7"/>
          <w:szCs w:val="17"/>
          <w:color w:val="auto"/>
        </w:rPr>
        <w:t xml:space="preserve">We have 17 product candidates in clinical development, all of which were discovered in our research laboratories. These consist of a Trap-based clinical program and fully human monoclonal antibody product candidates, as summarized below. In addition to the product candidates in clinical development described below, we have ongoing studies for our marketed products. Each of the antibodies in the table below was generated using our </w:t>
      </w:r>
      <w:r>
        <w:rPr>
          <w:rFonts w:ascii="Arial" w:cs="Arial" w:eastAsia="Arial" w:hAnsi="Arial"/>
          <w:sz w:val="17"/>
          <w:szCs w:val="17"/>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technology. 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Part II, Item 1A, "Risk Factors" for a description of these and other risks and uncertainties that may affect our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253365</wp:posOffset>
            </wp:positionV>
            <wp:extent cx="71437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Trap-based 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spacing w:after="0" w:line="43" w:lineRule="exact"/>
        <w:rPr>
          <w:sz w:val="20"/>
          <w:szCs w:val="20"/>
          <w:color w:val="auto"/>
        </w:rPr>
      </w:pPr>
    </w:p>
    <w:p>
      <w:pPr>
        <w:ind w:left="120" w:right="420"/>
        <w:spacing w:after="0" w:line="264" w:lineRule="auto"/>
        <w:rPr>
          <w:sz w:val="20"/>
          <w:szCs w:val="20"/>
          <w:color w:val="auto"/>
        </w:rPr>
      </w:pPr>
      <w:r>
        <w:rPr>
          <w:rFonts w:ascii="Arial" w:cs="Arial" w:eastAsia="Arial" w:hAnsi="Arial"/>
          <w:sz w:val="18"/>
          <w:szCs w:val="18"/>
          <w:color w:val="auto"/>
        </w:rPr>
        <w:t>Phase 3 study for the treatment of Neovascular Glaucoma (NVG) (in Japan) was completed in 2016 (in collaboration with Bayer). In Phase 3 clinical development for the treatment of non-proliferative diabetic retinopathy (NPDR) in patients without DME. As described below, aflibercept is also being studied in combination with nesvacumab, an antibody to angiopoietin-2 (Ang2).</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455295</wp:posOffset>
            </wp:positionV>
            <wp:extent cx="71437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Dupixent (dupilumab)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582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582930"/>
                    </a:xfrm>
                    <a:prstGeom prst="rect">
                      <a:avLst/>
                    </a:prstGeom>
                    <a:noFill/>
                  </pic:spPr>
                </pic:pic>
              </a:graphicData>
            </a:graphic>
          </wp:anchor>
        </w:drawing>
      </w:r>
    </w:p>
    <w:p>
      <w:pPr>
        <w:spacing w:after="0" w:line="43"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Antibody to the interleukin-4 receptor (IL-4R) alpha subunit. In clinical development in atopic dermatitis in pediatric patients ages 6 to 11 (Phase 2), asthma in adults and adolescents (Phase 3), nasal polyps (Phase 3), and eosinophilic esophagitis (EoE) (Phase 2). Phase 3 study in atopic dermatitis in adolescents (12-17 years of age) initiated in the first quarter of 2017. Phase 3 study in asthma in pediatrics (6-11 years of age) initiated in the second quarter of 2017.</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Praluent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spacing w:after="0" w:line="4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Antibody to PCSK9. In Phase 3 clinical development for LDL cholesterol reduction and for the prevention of cardiovascular events. In the second quarter of 2017, the FDA granted orphan drug designation for the treatment of homozygous familial hypercholesterolemia (HoFH).</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Kevzara (sarilumab)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Antibody to the interleukin-6 receptor (IL-6R). In clinical development in Polyarticular-course Juvenile Idiopathic Arthritis (pcJIA) (Phase 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REGN2810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582930"/>
                    </a:xfrm>
                    <a:prstGeom prst="rect">
                      <a:avLst/>
                    </a:prstGeom>
                    <a:noFill/>
                  </pic:spPr>
                </pic:pic>
              </a:graphicData>
            </a:graphic>
          </wp:anchor>
        </w:drawing>
      </w:r>
    </w:p>
    <w:p>
      <w:pPr>
        <w:spacing w:after="0" w:line="43"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Antibody to programmed cell death protein 1 (PD-1). In clinical development in solid tumors and advanced hematologic malignancies (Phase 1) and advanced cutaneous squamous cell carcinoma (CSCC) (pivotal Phase 2). Phase 3 study in first-line treatment for non-small cell lung cancer (NSCLC) and potentially pivotal Phase 2 study in basal cell carcinoma (BCC) initiated in the second quarter of 2017. REGN2810 is also being studied in combination with other antibodies and treatments.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Antibody to interleukin-33 (IL-33) being developed for inflammatory diseases. Phase 1 studies in patients with asthma initiated in the first half of 2017.</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spacing w:after="0" w:line="4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Antibody to Lymphocyte Activation Gene 3 (LAG-3) protein. In Phase 1 clinical development (administered alone or in combination with REGN2810) in advanced malignancies.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Antibody-based Clinical Program in Collaboration with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Nesvacumab/aflibercept (REGN910-3)</w:t>
      </w:r>
      <w:r>
        <w:rPr>
          <w:rFonts w:ascii="Arial" w:cs="Arial" w:eastAsia="Arial" w:hAnsi="Arial"/>
          <w:sz w:val="25"/>
          <w:szCs w:val="25"/>
          <w:b w:val="1"/>
          <w:bCs w:val="1"/>
          <w:i w:val="1"/>
          <w:iCs w:val="1"/>
          <w:color w:val="auto"/>
          <w:vertAlign w:val="superscript"/>
        </w:rPr>
        <w:t>**</w:t>
      </w:r>
    </w:p>
    <w:p>
      <w:pPr>
        <w:ind w:left="120" w:right="40"/>
        <w:spacing w:after="0" w:line="254" w:lineRule="auto"/>
        <w:rPr>
          <w:sz w:val="20"/>
          <w:szCs w:val="20"/>
          <w:color w:val="auto"/>
        </w:rPr>
      </w:pPr>
      <w:r>
        <w:rPr>
          <w:rFonts w:ascii="Arial" w:cs="Arial" w:eastAsia="Arial" w:hAnsi="Arial"/>
          <w:sz w:val="18"/>
          <w:szCs w:val="18"/>
          <w:color w:val="auto"/>
        </w:rPr>
        <w:t>Combination product comprised of an antibody to Ang2 co-formulated with aflibercept for intravitreal injection for use in ophthalmology. In Phase 2 clinical development for the treatment of wet AMD and DME. Fast Track designation received from the FDA for the treatment of patients with wet AMD, DME, and diabetic retinopathy.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10160</wp:posOffset>
            </wp:positionV>
            <wp:extent cx="71437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Antibody-based Clinical Program in Collaboration with Teva and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4375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ind w:left="120" w:right="400"/>
        <w:spacing w:after="0" w:line="259" w:lineRule="auto"/>
        <w:rPr>
          <w:sz w:val="20"/>
          <w:szCs w:val="20"/>
          <w:color w:val="auto"/>
        </w:rPr>
      </w:pPr>
      <w:r>
        <w:rPr>
          <w:rFonts w:ascii="Arial" w:cs="Arial" w:eastAsia="Arial" w:hAnsi="Arial"/>
          <w:sz w:val="18"/>
          <w:szCs w:val="18"/>
          <w:color w:val="auto"/>
        </w:rPr>
        <w:t>Antibody to Nerve Growth Factor (NGF). In Phase 3 clinical development in osteoarthritis of knee and hip. Phase 2b study for chronic low back pain initiated in the first quarter of 2016, and placed on clinical hold by the FDA in October 2016.</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Suptavumab (REGN2222)</w:t>
      </w:r>
      <w:r>
        <w:rPr>
          <w:rFonts w:ascii="Arial" w:cs="Arial" w:eastAsia="Arial" w:hAnsi="Arial"/>
          <w:sz w:val="25"/>
          <w:szCs w:val="25"/>
          <w:b w:val="1"/>
          <w:bCs w:val="1"/>
          <w:i w:val="1"/>
          <w:iCs w:val="1"/>
          <w:color w:val="auto"/>
          <w:vertAlign w:val="superscript"/>
        </w:rPr>
        <w:t>*</w:t>
      </w:r>
    </w:p>
    <w:p>
      <w:pPr>
        <w:ind w:left="120"/>
        <w:spacing w:after="0"/>
        <w:rPr>
          <w:sz w:val="20"/>
          <w:szCs w:val="20"/>
          <w:color w:val="auto"/>
        </w:rPr>
      </w:pPr>
      <w:r>
        <w:rPr>
          <w:rFonts w:ascii="Arial" w:cs="Arial" w:eastAsia="Arial" w:hAnsi="Arial"/>
          <w:sz w:val="18"/>
          <w:szCs w:val="18"/>
          <w:color w:val="auto"/>
        </w:rPr>
        <w:t>Antibody to the Respiratory Syncytial Virus-F (RSV-F) protein. In Phase 3 clinical development for prevention of RSV infection in infants.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21590</wp:posOffset>
            </wp:positionV>
            <wp:extent cx="71437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Evinacumab (REGN1500)</w:t>
      </w:r>
      <w:r>
        <w:rPr>
          <w:rFonts w:ascii="Arial" w:cs="Arial" w:eastAsia="Arial" w:hAnsi="Arial"/>
          <w:sz w:val="25"/>
          <w:szCs w:val="25"/>
          <w:b w:val="1"/>
          <w:bCs w:val="1"/>
          <w:i w:val="1"/>
          <w:iCs w:val="1"/>
          <w:color w:val="auto"/>
          <w:vertAlign w:val="superscript"/>
        </w:rPr>
        <w:t>*</w:t>
      </w:r>
    </w:p>
    <w:p>
      <w:pPr>
        <w:ind w:left="120" w:right="720"/>
        <w:spacing w:after="0" w:line="254" w:lineRule="auto"/>
        <w:rPr>
          <w:sz w:val="20"/>
          <w:szCs w:val="20"/>
          <w:color w:val="auto"/>
        </w:rPr>
      </w:pPr>
      <w:r>
        <w:rPr>
          <w:rFonts w:ascii="Arial" w:cs="Arial" w:eastAsia="Arial" w:hAnsi="Arial"/>
          <w:sz w:val="18"/>
          <w:szCs w:val="18"/>
          <w:color w:val="auto"/>
        </w:rPr>
        <w:t>Antibody to Angptl-3. In Phase 2 clinical development for the treatment of HoFH and severe forms of hyperlipidemia. FDA granted orphan drug designation for the treatment of HoFH. In the first quarter of 2017, the FDA granted Breakthrough Therapy designation for the treatment of hypercholesterolemia in patients with HoFH.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10160</wp:posOffset>
            </wp:positionV>
            <wp:extent cx="7143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Trevogrumab (REGN1033)</w:t>
      </w:r>
      <w:r>
        <w:rPr>
          <w:rFonts w:ascii="Arial" w:cs="Arial" w:eastAsia="Arial" w:hAnsi="Arial"/>
          <w:sz w:val="25"/>
          <w:szCs w:val="25"/>
          <w:b w:val="1"/>
          <w:bCs w:val="1"/>
          <w:i w:val="1"/>
          <w:iCs w:val="1"/>
          <w:color w:val="auto"/>
          <w:vertAlign w:val="superscript"/>
        </w:rPr>
        <w:t>*</w:t>
      </w:r>
    </w:p>
    <w:p>
      <w:pPr>
        <w:ind w:left="120"/>
        <w:spacing w:after="0" w:line="259" w:lineRule="auto"/>
        <w:rPr>
          <w:sz w:val="20"/>
          <w:szCs w:val="20"/>
          <w:color w:val="auto"/>
        </w:rPr>
      </w:pPr>
      <w:r>
        <w:rPr>
          <w:rFonts w:ascii="Arial" w:cs="Arial" w:eastAsia="Arial" w:hAnsi="Arial"/>
          <w:sz w:val="18"/>
          <w:szCs w:val="18"/>
          <w:color w:val="auto"/>
        </w:rPr>
        <w:t>Antibody to myostatin (GDF8). Phase 2 monotherapy study in patients with sarcopenia completed. In Phase 1 in combination with REGN2477 for muscle-wasting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6985</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Antibody to Feld1. In Phase 1 clinical development for the treatment of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29210</wp:posOffset>
            </wp:positionV>
            <wp:extent cx="71437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REGN1979</w:t>
      </w:r>
    </w:p>
    <w:p>
      <w:pPr>
        <w:spacing w:after="0" w:line="63" w:lineRule="exact"/>
        <w:rPr>
          <w:sz w:val="20"/>
          <w:szCs w:val="20"/>
          <w:color w:val="auto"/>
        </w:rPr>
      </w:pPr>
    </w:p>
    <w:p>
      <w:pPr>
        <w:ind w:left="120" w:right="560"/>
        <w:spacing w:after="0" w:line="300" w:lineRule="auto"/>
        <w:rPr>
          <w:sz w:val="20"/>
          <w:szCs w:val="20"/>
          <w:color w:val="auto"/>
        </w:rPr>
      </w:pPr>
      <w:r>
        <w:rPr>
          <w:rFonts w:ascii="Arial" w:cs="Arial" w:eastAsia="Arial" w:hAnsi="Arial"/>
          <w:sz w:val="17"/>
          <w:szCs w:val="17"/>
          <w:color w:val="auto"/>
        </w:rPr>
        <w:t>Bispecific antibody against CD20 and CD3. In Phase 1 clinical development as monotherapy and in combination with REGN2810 in certain B-cell malignancies. In the second quarter of 2017, the FDA granted orphan drug designation in diffuse large B-cell lymphoma</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71437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REGN3470-3471-3479</w:t>
      </w:r>
      <w:r>
        <w:rPr>
          <w:rFonts w:ascii="Arial" w:cs="Arial" w:eastAsia="Arial" w:hAnsi="Arial"/>
          <w:sz w:val="25"/>
          <w:szCs w:val="25"/>
          <w:b w:val="1"/>
          <w:bCs w:val="1"/>
          <w:i w:val="1"/>
          <w:iCs w:val="1"/>
          <w:color w:val="auto"/>
          <w:vertAlign w:val="superscript"/>
        </w:rPr>
        <w:t>***</w:t>
      </w:r>
    </w:p>
    <w:p>
      <w:pPr>
        <w:ind w:left="120"/>
        <w:spacing w:after="0"/>
        <w:rPr>
          <w:sz w:val="20"/>
          <w:szCs w:val="20"/>
          <w:color w:val="auto"/>
        </w:rPr>
      </w:pPr>
      <w:r>
        <w:rPr>
          <w:rFonts w:ascii="Arial" w:cs="Arial" w:eastAsia="Arial" w:hAnsi="Arial"/>
          <w:sz w:val="16"/>
          <w:szCs w:val="16"/>
          <w:color w:val="auto"/>
        </w:rPr>
        <w:t>Multi-antibody therapy to Ebola virus. In Phase 1 clinical development. FDA granted orphan drug designation for the treatment of Ebola virus infection.</w:t>
      </w:r>
    </w:p>
    <w:p>
      <w:pPr>
        <w:sectPr>
          <w:pgSz w:w="11900" w:h="16838" w:orient="portrait"/>
          <w:cols w:equalWidth="0" w:num="1">
            <w:col w:w="11280"/>
          </w:cols>
          <w:pgMar w:left="24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80"/>
          </w:cols>
          <w:pgMar w:left="240" w:top="130" w:right="37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455295</wp:posOffset>
            </wp:positionV>
            <wp:extent cx="71437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Antibody-based Clinical Programs Developing Independently </w:t>
      </w:r>
      <w:r>
        <w:rPr>
          <w:rFonts w:ascii="Arial" w:cs="Arial" w:eastAsia="Arial" w:hAnsi="Arial"/>
          <w:sz w:val="18"/>
          <w:szCs w:val="18"/>
          <w:b w:val="1"/>
          <w:bCs w:val="1"/>
          <w:i w:val="1"/>
          <w:iCs w:val="1"/>
          <w:color w:val="auto"/>
        </w:rPr>
        <w:t>(continued)</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REGN2477</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43750" cy="480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480060"/>
                    </a:xfrm>
                    <a:prstGeom prst="rect">
                      <a:avLst/>
                    </a:prstGeom>
                    <a:noFill/>
                  </pic:spPr>
                </pic:pic>
              </a:graphicData>
            </a:graphic>
          </wp:anchor>
        </w:drawing>
      </w:r>
    </w:p>
    <w:p>
      <w:pPr>
        <w:ind w:left="120" w:right="120"/>
        <w:spacing w:after="0" w:line="254" w:lineRule="auto"/>
        <w:rPr>
          <w:sz w:val="20"/>
          <w:szCs w:val="20"/>
          <w:color w:val="auto"/>
        </w:rPr>
      </w:pPr>
      <w:r>
        <w:rPr>
          <w:rFonts w:ascii="Arial" w:cs="Arial" w:eastAsia="Arial" w:hAnsi="Arial"/>
          <w:sz w:val="18"/>
          <w:szCs w:val="18"/>
          <w:color w:val="auto"/>
        </w:rPr>
        <w:t>Antibody to Activin A being developed for Fibrodysplasia Ossificans Progressiva (FOP). FDA granted orphan drug designation for the treatment of FOP. In addition, in Phase 1 clinical development in combination with trevogrumab for muscle-wasting diseases. In the second quarter of 2017, the FDA granted Fast Track designation for the prevention and treatment of heterotopic ossification in patients with FOP.</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REGN3918</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43750"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ind w:left="120" w:right="480"/>
        <w:spacing w:after="0" w:line="259" w:lineRule="auto"/>
        <w:rPr>
          <w:sz w:val="20"/>
          <w:szCs w:val="20"/>
          <w:color w:val="auto"/>
        </w:rPr>
      </w:pPr>
      <w:r>
        <w:rPr>
          <w:rFonts w:ascii="Arial" w:cs="Arial" w:eastAsia="Arial" w:hAnsi="Arial"/>
          <w:sz w:val="18"/>
          <w:szCs w:val="18"/>
          <w:color w:val="auto"/>
        </w:rPr>
        <w:t>Antibody to complement 5 (C5) being developed for paroxysmal nocturnal hemoglobinuria (PNH). Phase 1 study in healthy volunteers initiated in the second quarter of 2017.</w:t>
      </w:r>
    </w:p>
    <w:p>
      <w:pPr>
        <w:spacing w:after="0" w:line="200" w:lineRule="exact"/>
        <w:rPr>
          <w:sz w:val="20"/>
          <w:szCs w:val="20"/>
          <w:color w:val="auto"/>
        </w:rPr>
      </w:pPr>
    </w:p>
    <w:p>
      <w:pPr>
        <w:spacing w:after="0" w:line="278" w:lineRule="exact"/>
        <w:rPr>
          <w:sz w:val="20"/>
          <w:szCs w:val="20"/>
          <w:color w:val="auto"/>
        </w:rPr>
      </w:pPr>
    </w:p>
    <w:p>
      <w:pPr>
        <w:ind w:left="40" w:right="280" w:firstLine="9"/>
        <w:spacing w:after="0" w:line="253" w:lineRule="auto"/>
        <w:tabs>
          <w:tab w:leader="none" w:pos="121" w:val="left"/>
        </w:tabs>
        <w:numPr>
          <w:ilvl w:val="0"/>
          <w:numId w:val="8"/>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global sales of the product candidate.</w:t>
      </w:r>
    </w:p>
    <w:p>
      <w:pPr>
        <w:spacing w:after="0" w:line="12" w:lineRule="exact"/>
        <w:rPr>
          <w:sz w:val="20"/>
          <w:szCs w:val="20"/>
          <w:color w:val="auto"/>
        </w:rPr>
      </w:pPr>
    </w:p>
    <w:p>
      <w:pPr>
        <w:ind w:left="40" w:right="180" w:firstLine="9"/>
        <w:spacing w:after="0" w:line="253" w:lineRule="auto"/>
        <w:tabs>
          <w:tab w:leader="none" w:pos="158" w:val="left"/>
        </w:tabs>
        <w:numPr>
          <w:ilvl w:val="0"/>
          <w:numId w:val="9"/>
        </w:numPr>
        <w:rPr>
          <w:rFonts w:ascii="Arial" w:cs="Arial" w:eastAsia="Arial" w:hAnsi="Arial"/>
          <w:sz w:val="9"/>
          <w:szCs w:val="9"/>
          <w:color w:val="auto"/>
        </w:rPr>
      </w:pPr>
      <w:r>
        <w:rPr>
          <w:rFonts w:ascii="Arial" w:cs="Arial" w:eastAsia="Arial" w:hAnsi="Arial"/>
          <w:sz w:val="14"/>
          <w:szCs w:val="14"/>
          <w:color w:val="auto"/>
        </w:rPr>
        <w:t>Antibodies targeting the Ang2 receptor and ligand in ophthalmology were previously included in our antibody collaboration with Sanofi. Under the terms of our agreement, Sanofi is entitled to receive royalties on any future global sales of the product candidate and a potential development milestone.</w:t>
      </w:r>
    </w:p>
    <w:p>
      <w:pPr>
        <w:spacing w:after="0" w:line="11" w:lineRule="exact"/>
        <w:rPr>
          <w:rFonts w:ascii="Arial" w:cs="Arial" w:eastAsia="Arial" w:hAnsi="Arial"/>
          <w:sz w:val="9"/>
          <w:szCs w:val="9"/>
          <w:color w:val="auto"/>
        </w:rPr>
      </w:pPr>
    </w:p>
    <w:p>
      <w:pPr>
        <w:ind w:left="40" w:right="60" w:firstLine="9"/>
        <w:spacing w:after="0" w:line="238" w:lineRule="auto"/>
        <w:tabs>
          <w:tab w:leader="none" w:pos="211" w:val="left"/>
        </w:tabs>
        <w:numPr>
          <w:ilvl w:val="0"/>
          <w:numId w:val="10"/>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In 2015, we and the Biomedical Advanced Research Development Authority (BARDA) of the U.S. Department of Health and Human Services (HHS) entered into an agreement whereby HHS provides certain funding to support research, development, and manufacturing of a monoclonal antibody therapy for the treatment of Ebola virus infection.</w:t>
      </w:r>
    </w:p>
    <w:p>
      <w:pPr>
        <w:spacing w:after="0" w:line="26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combine that foundation with our clinical development, manufacturing, and commercial capabilities. Our objective is to continue to be an integrated, multi-product biopharmaceutical company that provides patients and medical professionals with innovative options for preventing and treating human diseases.</w:t>
      </w:r>
    </w:p>
    <w:p>
      <w:pPr>
        <w:spacing w:after="0" w:line="220"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 Ophthalmologic Diseases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Wet AMD, diabetic retinopathy (which includes DME), and RVO are three of the leading causes of adult blindness in the developed world. In these conditions, severe visual loss is caused by neovascular proliferation and/or retinal edema.</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Neovascular Glaucoma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 NVG meets the criteria for an orphan indication in Japan where the estimated number of NVG patients is 30,000 to 40,000.</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Diabetic Retinopathy</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Diabetic retinopathy is a complication of diabetes mellitus characterized by microvascular damage to the blood vessels in the retina. It can progress to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NVG. There is currently no standard treatment for non-proliferative diabetic retinopathy in the absence of DME and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a considerable loss of peripheral visual field.</w:t>
      </w:r>
    </w:p>
    <w:p>
      <w:pPr>
        <w:spacing w:after="0" w:line="24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2016, a Phase 3 trial (PANORAMA) was initiated to assess the efficacy and safety of intravitreal aflibercept in patients with moderately severe to severe NPDR without DME.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Combination Product with Nesvacumab</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2016, two Phase 2 studies, RUBY (for the treatment of DME) and ONYX (for the treatment of wet AMD), were initiated. Both studies are investigating nesvacumab, an antibody to Ang2 co-formulated with aflibercept, as a single, intravitreal injection. Efficacy and safety data from both the RUBY and ONYX studies will be analyzed through week 36.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 (dupilumab;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nasal polyps, and eosinophilic esophagitis.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alpha subunit and block signaling from both IL-4 and IL-13.</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i w:val="1"/>
          <w:iCs w:val="1"/>
          <w:color w:val="auto"/>
        </w:rPr>
        <w:t>Phase 3 Program</w:t>
      </w:r>
      <w:r>
        <w:rPr>
          <w:rFonts w:ascii="Arial" w:cs="Arial" w:eastAsia="Arial" w:hAnsi="Arial"/>
          <w:sz w:val="18"/>
          <w:szCs w:val="18"/>
          <w:color w:val="auto"/>
        </w:rPr>
        <w:t>. The LIBERTY AD Phase 3 clinical program consisted of five trials of patients with moderate-to-severe atopic dermatitis at sites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Patients from the LIBERTY AD CHRONOS, LIBERTY AD SOLO 1, and LIBERTY AD SOLO 2 studies were transitioned to either the LIBERTY CONTINUE or LIBERTY AD open label extension trials.</w:t>
      </w:r>
    </w:p>
    <w:p>
      <w:pPr>
        <w:spacing w:after="0" w:line="23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2016, the Phase 3 LIBERTY AD CAFÉ study of Dupixent in severe atopic dermatitis was initiated, investigating two dose regimens of Dupixent (300 mg weekly and 300 mg every two weeks) with concomitant topical corticosteroids in adult patients with severe atopic dermatitis who are not adequately controlled with, or are intolerant to or ineligible for, oral cyclosporine A therapy. The primary endpoint of this study is the proportion of patients with a 75% or greater improvement from baseline in their EASI score. In April 2017, we and Sanofi announced that the results of the LIBERTY AD CAFÉ study were positive and demonstrated an acceptable safety profile. These results were submitted to the EMA and will be presented at an upcoming medical conference.</w:t>
      </w:r>
    </w:p>
    <w:p>
      <w:pPr>
        <w:spacing w:after="0" w:line="21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2017, at the Annual Meeting of the American Academy of Dermatology, we and Sanofi presented additional detailed results from the Phase 3 LIBERTY AD CHRONOS study. This study met its primary and secondary endpoints, with patients receiving Dupixent with topical corticosteroids (TCS) achieving significantly improved measures of overall disease severity at 16 and 52 weeks, compared to TCS alone in adults with uncontrolled moderate-to-severe atopic dermatitis.</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Phase 3 Study in Adolescent Patients. </w:t>
      </w:r>
      <w:r>
        <w:rPr>
          <w:rFonts w:ascii="Arial" w:cs="Arial" w:eastAsia="Arial" w:hAnsi="Arial"/>
          <w:sz w:val="18"/>
          <w:szCs w:val="18"/>
          <w:color w:val="auto"/>
        </w:rPr>
        <w:t>In the first quarter of 2017, a Phase 3 study in adolescent patients (12-17 years of age) with moderate-to-severe</w:t>
      </w:r>
      <w:r>
        <w:rPr>
          <w:rFonts w:ascii="Arial" w:cs="Arial" w:eastAsia="Arial" w:hAnsi="Arial"/>
          <w:sz w:val="18"/>
          <w:szCs w:val="18"/>
          <w:i w:val="1"/>
          <w:iCs w:val="1"/>
          <w:color w:val="auto"/>
        </w:rPr>
        <w:t xml:space="preserve"> </w:t>
      </w:r>
      <w:r>
        <w:rPr>
          <w:rFonts w:ascii="Arial" w:cs="Arial" w:eastAsia="Arial" w:hAnsi="Arial"/>
          <w:sz w:val="18"/>
          <w:szCs w:val="18"/>
          <w:color w:val="auto"/>
        </w:rPr>
        <w:t>atopic dermatitis was initiated.</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2016, the FDA granted Breakthrough Therapy designation for dupilumab for the treatment of moderate to severe (12 to less than 18 years of age) and severe (6 months to less than 12 years of age) atopic dermatitis in patients who are not adequately controlled with, or who are intolerant to, topical medication.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A Phase 3 trial, LIBERTY ASTHMA QUEST, in adult and adolescent patients with uncontrolled persistent asthma is fully enrolled.</w:t>
      </w:r>
      <w:r>
        <w:rPr>
          <w:rFonts w:ascii="Arial" w:cs="Arial" w:eastAsia="Arial" w:hAnsi="Arial"/>
          <w:sz w:val="18"/>
          <w:szCs w:val="18"/>
          <w:i w:val="1"/>
          <w:iCs w:val="1"/>
          <w:color w:val="auto"/>
        </w:rPr>
        <w:t xml:space="preserve"> </w:t>
      </w:r>
      <w:r>
        <w:rPr>
          <w:rFonts w:ascii="Arial" w:cs="Arial" w:eastAsia="Arial" w:hAnsi="Arial"/>
          <w:sz w:val="18"/>
          <w:szCs w:val="18"/>
          <w:color w:val="auto"/>
        </w:rPr>
        <w:t>LIBERTY ASTHMA QUEST is expected to serve as the second required pivotal efficacy study for the sBLA for asthma, since, based on discussions with the FDA, the Phase 2b study will also be considered a pivotal efficacy study. LIBERTY ASTHMA QUEST is a global, placebo-controlled Phase 3 study that enrolled more than 1,900 patients with uncontrolled persistent asthma and is evaluating two doses of dupilumab, 200 mg and 300 mg, subcutaneously administered every other week.</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LIBERTY ASTHMA VENTURE, a randomized Phase 3 study examining the ability of dupilumab to reduce oral corticosteroid use in patients with severe steroid-dependent asthma, is fully enrolled and is also planned to be included in the sBLA for asthma.</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Phase 3 Study in Pediatric Patients. </w:t>
      </w:r>
      <w:r>
        <w:rPr>
          <w:rFonts w:ascii="Arial" w:cs="Arial" w:eastAsia="Arial" w:hAnsi="Arial"/>
          <w:sz w:val="18"/>
          <w:szCs w:val="18"/>
          <w:color w:val="auto"/>
        </w:rPr>
        <w:t>In the second quarter of 2017, a Phase 3 study in pediatric patients (6-11 years of age) with uncontrolled persistent</w:t>
      </w:r>
      <w:r>
        <w:rPr>
          <w:rFonts w:ascii="Arial" w:cs="Arial" w:eastAsia="Arial" w:hAnsi="Arial"/>
          <w:sz w:val="18"/>
          <w:szCs w:val="18"/>
          <w:i w:val="1"/>
          <w:iCs w:val="1"/>
          <w:color w:val="auto"/>
        </w:rPr>
        <w:t xml:space="preserve"> </w:t>
      </w:r>
      <w:r>
        <w:rPr>
          <w:rFonts w:ascii="Arial" w:cs="Arial" w:eastAsia="Arial" w:hAnsi="Arial"/>
          <w:sz w:val="18"/>
          <w:szCs w:val="18"/>
          <w:color w:val="auto"/>
        </w:rPr>
        <w:t>asthma was initiated.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A Phase 3 study, LIBERTY NP SINUS, in adult patients with bilateral nasal polyps on a background therapy with intranasal corticosteroids</w:t>
      </w:r>
      <w:r>
        <w:rPr>
          <w:rFonts w:ascii="Arial" w:cs="Arial" w:eastAsia="Arial" w:hAnsi="Arial"/>
          <w:sz w:val="18"/>
          <w:szCs w:val="18"/>
          <w:i w:val="1"/>
          <w:iCs w:val="1"/>
          <w:color w:val="auto"/>
        </w:rPr>
        <w:t xml:space="preserve"> </w:t>
      </w:r>
      <w:r>
        <w:rPr>
          <w:rFonts w:ascii="Arial" w:cs="Arial" w:eastAsia="Arial" w:hAnsi="Arial"/>
          <w:sz w:val="18"/>
          <w:szCs w:val="18"/>
          <w:color w:val="auto"/>
        </w:rPr>
        <w:t>was initiated in 2016.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Phase 2 Study. </w:t>
      </w:r>
      <w:r>
        <w:rPr>
          <w:rFonts w:ascii="Arial" w:cs="Arial" w:eastAsia="Arial" w:hAnsi="Arial"/>
          <w:sz w:val="18"/>
          <w:szCs w:val="18"/>
          <w:color w:val="auto"/>
        </w:rPr>
        <w:t>EoE is a chronic allergic inflammatory disease that is considered a major cause of gastrointestinal illness. Eosinophils are a type of white</w:t>
      </w:r>
      <w:r>
        <w:rPr>
          <w:rFonts w:ascii="Arial" w:cs="Arial" w:eastAsia="Arial" w:hAnsi="Arial"/>
          <w:sz w:val="18"/>
          <w:szCs w:val="18"/>
          <w:i w:val="1"/>
          <w:iCs w:val="1"/>
          <w:color w:val="auto"/>
        </w:rPr>
        <w:t xml:space="preserve"> </w:t>
      </w:r>
      <w:r>
        <w:rPr>
          <w:rFonts w:ascii="Arial" w:cs="Arial" w:eastAsia="Arial" w:hAnsi="Arial"/>
          <w:sz w:val="18"/>
          <w:szCs w:val="18"/>
          <w:color w:val="auto"/>
        </w:rPr>
        <w:t>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recently completed a positive primary analysis from a Phase 2 proof-of-concept study of dupilumab in patients with active, moderate-to-severe EoE.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Detailed data from this study will be presented at an upcoming medical conference.</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which is intended to lower LDL cholesterol.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Phase 3 ODYSSEY Program</w:t>
      </w:r>
      <w:r>
        <w:rPr>
          <w:rFonts w:ascii="Arial" w:cs="Arial" w:eastAsia="Arial" w:hAnsi="Arial"/>
          <w:sz w:val="17"/>
          <w:szCs w:val="17"/>
          <w:color w:val="auto"/>
        </w:rPr>
        <w:t>. The potential of Praluent to demonstrate cardiovascular benefit is being prospectively assessed in the ongoing 18,000-patient</w:t>
      </w:r>
      <w:r>
        <w:rPr>
          <w:rFonts w:ascii="Arial" w:cs="Arial" w:eastAsia="Arial" w:hAnsi="Arial"/>
          <w:sz w:val="17"/>
          <w:szCs w:val="17"/>
          <w:i w:val="1"/>
          <w:iCs w:val="1"/>
          <w:color w:val="auto"/>
        </w:rPr>
        <w:t xml:space="preserve"> </w:t>
      </w:r>
      <w:r>
        <w:rPr>
          <w:rFonts w:ascii="Arial" w:cs="Arial" w:eastAsia="Arial" w:hAnsi="Arial"/>
          <w:sz w:val="17"/>
          <w:szCs w:val="17"/>
          <w:color w:val="auto"/>
        </w:rPr>
        <w:t>ODYSSEY OUTCOMES trial, which is fully enrolled and is expected to be completed in 2017. All patients who entered the ODYSSEY OUTCOMES trial had experienced a heart attack or unstable angina requiring hospitalization within the previous year before entering the trial, and experienced inadequately controlled LDL cholesterol despite receiving maximally-tolerated statins and potentially other lipid-lowering therapies. In 2016, an independent Data Monitoring Committee (DMC) of the ODYSSEY OUTCOMES study completed the first and second interim analyses. Based on the recommendation of the independent DMC, the ODYSSEY OUTCOMES trial continues as planned. Regeneron remains blinded to the actual results of the first and second interim analyses, and the DMC will continue to monitor the ongoing safety and efficacy of Praluent as planned.</w:t>
      </w:r>
    </w:p>
    <w:p>
      <w:pPr>
        <w:spacing w:after="0" w:line="23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2016, as a post-marketing commitment to the FDA, a Phase 4 randomized, placebo-controlled, long-term trial that prospectively evaluates the effect of Praluent on neurocognitive function was initiated.</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second quarter of 2017, we and Sanofi presented positive results from two Phase 3b/4 studies (ODYSSEY-INSULIN and ODYSSEY-DYSLIPIDEMIA) which evaluated Praluent in patients with diabetes. Both studies found that a majority of patients reached their lipid goals with Praluent 75 mg administered every two weeks, with an overall safety profile comparable to the ODYSSEY Phase 3 program.</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Kevzara (sarilumab; IL-6R Antibody) for inflammatory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2 SARIL-NIU-SATURN Study</w:t>
      </w:r>
      <w:r>
        <w:rPr>
          <w:rFonts w:ascii="Arial" w:cs="Arial" w:eastAsia="Arial" w:hAnsi="Arial"/>
          <w:sz w:val="18"/>
          <w:szCs w:val="18"/>
          <w:color w:val="auto"/>
        </w:rPr>
        <w:t>. SARIL-NIU-SATURN was a small Phase 2, randomized double-masked, placebo-controlled study (n=58)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to assess the effect of sarilumab on non-infectious uveitis of the posterior ocular segment. Based on the results of this study, no further development is currently planned in this indication.</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Polyarticular-course Juvenile Idiopathic Arthritis (pcJIA)</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 pcJIA Study</w:t>
      </w:r>
      <w:r>
        <w:rPr>
          <w:rFonts w:ascii="Arial" w:cs="Arial" w:eastAsia="Arial" w:hAnsi="Arial"/>
          <w:sz w:val="18"/>
          <w:szCs w:val="18"/>
          <w:color w:val="auto"/>
        </w:rPr>
        <w:t>. A Phase 2 study of sarilumab in pcJIA was initiated in 2016.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Suptavumab (REGN2222; RSV-F Antibody) for RSV</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Suptavumab is a fully human monoclonal antibody to the RSV-F protein. Suptavumab was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 Phase 3 study of suptavumab (NURSERY Pre-Term) was initiated in 2015. The study finished enrolling patients in the first quarter of 2017 subsequent to the completion of the Northern Hemisphere RSV season; final enrollment was approximately 1,200 patients.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2015, the FDA granted Fast Track designation to suptavumab for the prevention of serious lower respiratory tract disease caused by RSV.</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REGN2810 (PD-1 Antibody) for cancer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14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The PD-1/PD-L1 pathway has emerged as a critical regulator of effective immune responses to a variety of cancers, and a number of agents blocking either PD-1 or PD-L1 have been approved. REGN2810 is a high-affinity anti-PD-1 human antibody that was generated using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platform. REGN2810 is being developed to provide a foundational component for a planned, diverse immuno-oncology portfolio. Initial efforts for approval are expected to be as monotherapy in selected indications, and subsequent development is expected to be focused on combinations with other anti-cancer agents.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REGN2810 is in Phase 1 clinical development in a variety of malignancies as monotherapy or in combination with other antibodies or treatments. A pivotal Phase 2 study for the treatment of advanced CSCC was initiated in 2016. A Phase 3 study in first-line treatment for non-small cell lung cancer and a potentially pivotal Phase 2 study in BCC were initiated in the second quarter of 2017.</w:t>
      </w:r>
    </w:p>
    <w:p>
      <w:pPr>
        <w:spacing w:after="0" w:line="23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June 2017, we and Sanofi announced positive preliminary results in patients with advanced CSCC. The data, pooled from two expansion cohorts of the REGN2810 Phase 1 trial, were presented at the 2017 American Society of Clinical Oncology (ASCO) Annual Meeting. Treatment with REGN2810 led to an investigator-assessed overall response rate (ORR) of 46.2% and a disease control rate (DCR) of 69.2%. The median progression-free survival and overall survival were not reached at the data cutoff date with a median follow up of 6.9 months (range: 1.1 to 13.8 months; ongoing). One patient experienced progressive disease during treatment with REGN2810 after the initial response, and two patients were not evaluable due to death, which was considered</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unrelated to REGN2810. Ten patients remain in response as of the data cutoff date (range: 8 to 40 weeks duration of response). The most common treatment-related adverse event of any grade was fatigue (23.1%). All grade 3 or higher adverse events occurred once and included arthralgia (3.8%), maculopapular rash (3.8%), asthenia (3.8%), aspartate aminotransferase (AST) elevation (3.8%), and alanine aminotransferase (ALT) elevation (3.8%). No apparent association between the objective response and level of PD-L1 (programmed death ligand 1) expression was found. These results are from 10 patients with distantly metastatic CSCC who were enrolled in one expansion cohort and 16 patients with inoperable (unresectable) locally or regionally advanced CSCC who were enrolled in a second expansion cohort.</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second quarter of 2017, we and Inovio Pharmaceuticals, Inc. entered into a clinical and supply agreement for a Phase 1b/2a immuno-oncology trial. The study will be conducted by Inovio in patients with newly-diagnosed glioblastoma multiforme (GBM) and will evaluate REGN2810 in combination with Inovio's INO-5401 T cell activating immunotherapy encoding multiple antigens and INO-9012, an immune activator encoding IL-12. The trial is expected to begin later this year. Also in the second quarter of 2017, we and SillaJen, Inc. entered into a clinical and supply agreement for a Phase 1b dose-escalation study in renal cell carcinoma (RCC), or kidney cancer. The study will evaluate REGN2810 in combination with SillaJen's oncolytic vaccinia virus, Pexa-Vec, in patients with previously treated metastatic or unresectable renal cell carcinoma. The trial is expected to begin later this year in Korea, with expansion to sites in the United States.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(REGN475; NGF Antibody) for pain due to osteoarthritis and chronic low back pain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Pain is a frequent reason for physician visits, a common reason for taking prescription medications (including opioids), and a major cause of work disability and impaired quality of life. Targeting NGF is a potential advance in pain management. NGF expression is elevated in many acute and chronic painful conditions and NGF blockade has demonstrated efficacy in clinical trials. 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fasinumab clinical development program is expected to consist of approximately 10,000 patients treated with fasinumab.</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Osteoarthritis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i w:val="1"/>
          <w:iCs w:val="1"/>
          <w:color w:val="auto"/>
        </w:rPr>
        <w:t>Phase 2/3 Study</w:t>
      </w:r>
      <w:r>
        <w:rPr>
          <w:rFonts w:ascii="Arial" w:cs="Arial" w:eastAsia="Arial" w:hAnsi="Arial"/>
          <w:sz w:val="16"/>
          <w:szCs w:val="16"/>
          <w:color w:val="auto"/>
        </w:rPr>
        <w:t>. In the second quarter of 2016, we announced positive, 16-week top-line data from a Phase 2/3 study in patients with moderate-to-severe</w:t>
      </w:r>
      <w:r>
        <w:rPr>
          <w:rFonts w:ascii="Arial" w:cs="Arial" w:eastAsia="Arial" w:hAnsi="Arial"/>
          <w:sz w:val="16"/>
          <w:szCs w:val="16"/>
          <w:i w:val="1"/>
          <w:iCs w:val="1"/>
          <w:color w:val="auto"/>
        </w:rPr>
        <w:t xml:space="preserve"> </w:t>
      </w:r>
      <w:r>
        <w:rPr>
          <w:rFonts w:ascii="Arial" w:cs="Arial" w:eastAsia="Arial" w:hAnsi="Arial"/>
          <w:sz w:val="16"/>
          <w:szCs w:val="16"/>
          <w:color w:val="auto"/>
        </w:rPr>
        <w:t>osteoarthritis pain of the hip or knee who have a history of inadequate pain relief or intolerance to current analgesic therapies. In the fourth quarter of 2016, we and Teva announced that at the 36-week analysis of the Phase 2/3 clinical study in patients with moderate-to-severe osteoarthritis pain of the hip or knee, the incidence of adjudicated arthropathies was found to be potentially dose-dependent, with a higher rate of patients experiencing arthropathies in the higher dose groups (12% (9mg), 7% (6mg), 5% (3mg), 2% (1mg), and 1% (placebo)). In the ongoing fasinumab osteoarthritis pivotal Phase 3 program (further described below), we and our collaborators are planning to advance only the lower doses from the Phase 2/3 study.</w:t>
      </w:r>
    </w:p>
    <w:p>
      <w:pPr>
        <w:spacing w:after="0" w:line="21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A Phase 3 long-term safety study in patients with pain due to osteoarthritis of the knee or hip was initiated in 2016. In addition, a Phase 3</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study in patients with pain due to osteoarthritis of the knee or hip was initiated in the second quarter of 2017.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Chronic Low Back Pain</w:t>
      </w:r>
    </w:p>
    <w:p>
      <w:pPr>
        <w:spacing w:after="0" w:line="279"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A Phase 2b study in chronic low back pain was initiated in 2016. In October 2016, the FDA placed the Phase 2b study in chronic low back pain on clinical hold and requested an amendment of the study protocol; this was based on the FDA's recommendation that patients with advanced osteoarthritis at baseline not receive higher doses of fasinumab. Following this development, we completed an unplanned interim review of results and stopped dosing in the study. The unplanned analysis showed clear evidence of efficacy with improvement in pain scores in all fasinumab groups compared to placebo at the 8- and 12-week time points (nominal p&lt;0.01). Preliminary safety results are generally consistent with what has been previously reported with the class. The Phase 2b chronic low back pain study enrolled approximately 70% of the targeted 800 patients in four dose groups: placebo, 6mg subcutaneously monthly, 9mg subcutaneously monthly, and 9mg intravenously every two months. Patients will continue to be followed for up to 36 weeks.</w:t>
      </w:r>
    </w:p>
    <w:p>
      <w:pPr>
        <w:spacing w:after="0" w:line="194"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We and Teva plan to design pivotal Phase 3 studies in chronic low back pain. The companies plan to submit a pivotal program plan for review with the FDA and other health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28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ectPr>
          <w:pgSz w:w="11900" w:h="16838" w:orient="portrait"/>
          <w:cols w:equalWidth="0" w:num="1">
            <w:col w:w="11420"/>
          </w:cols>
          <w:pgMar w:left="240" w:top="130"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2015, we and BARDA entered into an agreement to develop, test, and manufacture a monoclonal antibody therapy for the treatment of Ebola virus infection. Under the terms of the agreement, HHS provides funding to support our preclinical development, antibody manufacturing, and for a Phase 1 study in healthy volunteers, and has the option to provide additional funding for further manufacturing and development studies. In addition, in 2016, we and BARDA of the HHS entered into an agreement whereby HHS will provide certain funding to manufacture and study two antibody therapies for the potential treatment of Middle East Respiratory Syndrome (MERS).</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the first quarter of 2017, the Regeneron Genetics Center (RGC) entered into an agreement with U.K. Biobank and GlaxoSmithKline (GSK) to generate genetic sequence data from the volunteer participants in the U.K. Biobank resource. RGC ultimately plans to generate genetic sequence data from the 500,000 volunteer participants in the U.K. Biobank resource, and RGC and GSK have committed an initial investment to enable the sequencing of 50,000 samples. The sequencing of U.K. Biobank's samples will be performed at the RGC facility. These sequence data will be incorporated back into U.K. Biobank's resource following a standard exclusivity period for GSK and Regeneron and made openly available to the broader scientific community.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b w:val="1"/>
          <w:bCs w:val="1"/>
          <w:i w:val="1"/>
          <w:iCs w:val="1"/>
          <w:color w:val="auto"/>
        </w:rPr>
        <w:t>Antibodies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November 2007, we and Sanofi have been parties to a global, strategic collaboration to discover, develop, and commercialize 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Antibody Discovery Agreement, as amended, Sanofi is responsible for funding up to $130.0 million of our antibody discovery activities in 2017 to identify and validate potential drug discovery targets and develop fully human monoclonal antibodies against these targets. We lead the design and conduct of research activities under the Antibody Discovery Agreement, including target identification and validation, antibody development, research and preclinical activities through filing of an Investigational New Drug application (IND) or its equivalent, toxicology studies, and manufacture of preclinical and clinical supplies. Our Antibody Discovery Agreement with Sanofi will end on December 31, 2017 without any extension. Praluent (anti-PCSK9), Dupixent (anti-IL-4R), Kevzara (anti-IL-6R), REGN2810 (anti-PD-1), REGN3500 (anti-IL-33), and REGN3767 (anti-LAG-3) were discovered and initially developed under the Antibody Discovery Agreement. Praluent, Dupixent, Kevzara, and REGN3500 will continue to be developed, and commercialized as applicable, with Sanofi under the Antibody License and Collaboration Agreement. REGN2810 and REGN3767 will continue to be developed with Sanofi under the immuno-oncology collaboration. Upon expiration of the Antibody Discovery Agreement, we have the right to develop or continue to develop other product candidates discovered under this agreement independently or with other collaborators. The $130.0 million in annual funding from Sanofi under the Antibody Discovery Agreement is expected to be fully utilized by the end of the third quarter of 2017.</w:t>
      </w:r>
    </w:p>
    <w:p>
      <w:pPr>
        <w:spacing w:after="0" w:line="24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For each drug candidate identified through discovery research under the Antibody Discovery Agreement,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We are obligated to use commercially reasonable efforts to supply clinical requirements of each drug candidate under the collaboration until commercial supplies of that drug candidate are being manufactured.</w:t>
      </w:r>
    </w:p>
    <w:p>
      <w:pPr>
        <w:spacing w:after="0" w:line="23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our collaboration agreement, Sanofi records product sales for commercialized products, and Regeneron has the right to co-promote such products. We have exercised our option to co-promote Dupixent, Praluent, and Kevzara in the United States. We have not exercised our option to co-promote any of these antibodies outside the United States; however, we retain the right to do so at a future date subject to the terms of the collaboration agreement. We and Sanofi will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3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b w:val="1"/>
          <w:bCs w:val="1"/>
          <w:i w:val="1"/>
          <w:iCs w:val="1"/>
          <w:color w:val="auto"/>
        </w:rPr>
        <w:t xml:space="preserve">Immuno-Oncology. </w:t>
      </w:r>
      <w:r>
        <w:rPr>
          <w:rFonts w:ascii="Arial" w:cs="Arial" w:eastAsia="Arial" w:hAnsi="Arial"/>
          <w:sz w:val="16"/>
          <w:szCs w:val="16"/>
          <w:color w:val="auto"/>
        </w:rPr>
        <w:t>In July 2015, we and Sanofi entered into a global strategic collaboration to discover, develop, and commercialize antibody-based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therapeutic antibodies against such targets through clinical proof-of-concept. Sanofi will reimburse us for up to $825.0 million (IO Discovery Funding) of these costs, subject to certain annual limits (up to $200.0 million for 2017).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With regard to product candidates for which proof-of-concept is established, Sanofi will have the option to license rights to the product candidate pursuant to the IO License and Collaboration Agreement (as further described below).</w:t>
      </w:r>
    </w:p>
    <w:p>
      <w:pPr>
        <w:spacing w:after="0" w:line="23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IO Collaboration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We are obligated to use commercially reasonable efforts to supply clinical requirements of each drug candidate under the IO License and Collaboration Agreement until commercial supplies of that IO drug candidate are being manufactured.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w:t>
      </w:r>
    </w:p>
    <w:p>
      <w:pPr>
        <w:spacing w:after="0" w:line="23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terms of the IO License and Collaboration Agreement, the parties will also co-develop our antibody product candidate targeting PD-1 (REGN2810). We have principal control over the development of REGN2810, and the parties share equally, on an ongoing basis, development expenses for REGN2810 up to a total of $650.0 million. We will lead commercialization activities in the United States, while Sanofi will lead commercialization activities outside of the United States and the parties will equally share profits from worldwide sales. Sanofi has exercised its option to co-promote REGN2810 in the United States.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have been parties to a license and collaboration agreement for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b w:val="1"/>
          <w:bCs w:val="1"/>
          <w:i w:val="1"/>
          <w:iCs w:val="1"/>
          <w:color w:val="auto"/>
        </w:rPr>
        <w:t xml:space="preserve">Ang2 antibody outside the United States. </w:t>
      </w:r>
      <w:r>
        <w:rPr>
          <w:rFonts w:ascii="Arial" w:cs="Arial" w:eastAsia="Arial" w:hAnsi="Arial"/>
          <w:sz w:val="17"/>
          <w:szCs w:val="17"/>
          <w:color w:val="auto"/>
        </w:rPr>
        <w:t>In March 2016, we entered into an agreement with Bayer governing the joint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outside the United States of nesvacumab, an antibody product candidate to Ang2, including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We are also entitled to receive up to an aggregate of $80.0 million in development milestone payments from Bayer. Bayer will share profits and losses from sales outside the United States equally with us, and is responsible for certain royalties payable to Sanofi on sales of the product outside of the United States. Within the United States, we have exclusive commercialization rights and will retain all of the profits from sales.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b w:val="1"/>
          <w:bCs w:val="1"/>
          <w:i w:val="1"/>
          <w:iCs w:val="1"/>
          <w:color w:val="auto"/>
        </w:rPr>
        <w:t xml:space="preserve">Fasinumab. </w:t>
      </w:r>
      <w:r>
        <w:rPr>
          <w:rFonts w:ascii="Arial" w:cs="Arial" w:eastAsia="Arial" w:hAnsi="Arial"/>
          <w:sz w:val="18"/>
          <w:szCs w:val="18"/>
          <w:color w:val="auto"/>
        </w:rPr>
        <w:t>In September 2015, we entered into a collaboration agreement with Mitsubishi Tanabe Pharma Corporation (MTPC) providing MTPC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2016, MTPC made additional payments of $45.0 million and $15.0 million to us. In the second quarter of 2017, we earned a $30.0 million development milestone from MTPC, and we are entitled to receive up to an aggregate of $125.0 million in additional development milestone and other contingent payments.</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b w:val="1"/>
          <w:bCs w:val="1"/>
          <w:i w:val="1"/>
          <w:iCs w:val="1"/>
          <w:color w:val="auto"/>
        </w:rPr>
        <w:t>Fasinumab</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2016, we entered into a collaboration agreement with Teva to develop and commercialize fasinumab globally, excluding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Asian countries that are subject to our collaboration agreement with MTPC (as described above). In connection with the agreement, Teva made a $250.0 million non-refundable up-front payment in 2016. We will lead global development activities, and the parties will share equally, on an ongoing basis, development costs under a global development plan. In the second quarter of 2017, we earned a $25.0 million development milestone from Teva, and we are entitled to receive up to an aggregate of $435.0 million in additional development milestones and up to an aggregate of $1,890.0 million in contingent payments upon achievement of specified annual net sales amounts. We are responsible for the manufacture and supply of fasinumab globally.</w:t>
      </w:r>
    </w:p>
    <w:p>
      <w:pPr>
        <w:spacing w:after="0" w:line="21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Dupixent, Praluent, and Kevzara, as well as preparation for potential commercialization of other indications of dupilumab.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2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2017 to date were, and plans for the next twelve months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1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426"/>
        </w:trPr>
        <w:tc>
          <w:tcPr>
            <w:tcW w:w="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ind w:left="1140"/>
              <w:spacing w:after="0"/>
              <w:rPr>
                <w:sz w:val="20"/>
                <w:szCs w:val="20"/>
                <w:color w:val="auto"/>
              </w:rPr>
            </w:pPr>
            <w:r>
              <w:rPr>
                <w:rFonts w:ascii="Arial" w:cs="Arial" w:eastAsia="Arial" w:hAnsi="Arial"/>
                <w:sz w:val="18"/>
                <w:szCs w:val="18"/>
                <w:b w:val="1"/>
                <w:bCs w:val="1"/>
                <w:color w:val="auto"/>
              </w:rPr>
              <w:t>2017 Events to Date</w:t>
            </w:r>
          </w:p>
        </w:tc>
        <w:tc>
          <w:tcPr>
            <w:tcW w:w="220" w:type="dxa"/>
            <w:vAlign w:val="bottom"/>
          </w:tcPr>
          <w:p>
            <w:pPr>
              <w:spacing w:after="0"/>
              <w:rPr>
                <w:sz w:val="24"/>
                <w:szCs w:val="24"/>
                <w:color w:val="auto"/>
              </w:rPr>
            </w:pPr>
          </w:p>
        </w:tc>
        <w:tc>
          <w:tcPr>
            <w:tcW w:w="3820" w:type="dxa"/>
            <w:vAlign w:val="bottom"/>
          </w:tcPr>
          <w:p>
            <w:pPr>
              <w:ind w:left="620"/>
              <w:spacing w:after="0"/>
              <w:rPr>
                <w:sz w:val="20"/>
                <w:szCs w:val="20"/>
                <w:color w:val="auto"/>
              </w:rPr>
            </w:pPr>
            <w:r>
              <w:rPr>
                <w:rFonts w:ascii="Arial" w:cs="Arial" w:eastAsia="Arial" w:hAnsi="Arial"/>
                <w:sz w:val="18"/>
                <w:szCs w:val="18"/>
                <w:b w:val="1"/>
                <w:bCs w:val="1"/>
                <w:color w:val="auto"/>
              </w:rPr>
              <w:t>2017-2018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EYLEA</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Bayer received regulatory approval for EYLEA for</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Bayer to submit for additional regulatory approvals</w:t>
            </w: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indications and continued to pursue</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outside the United States for various indications</w:t>
            </w:r>
          </w:p>
        </w:tc>
      </w:tr>
      <w:tr>
        <w:trPr>
          <w:trHeight w:val="230"/>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regulatory applications for marketing approval in</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Regulatory agency decisions on applications outside</w:t>
            </w:r>
          </w:p>
        </w:tc>
      </w:tr>
      <w:tr>
        <w:trPr>
          <w:trHeight w:val="270"/>
        </w:trPr>
        <w:tc>
          <w:tcPr>
            <w:tcW w:w="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countries</w:t>
            </w:r>
          </w:p>
        </w:tc>
        <w:tc>
          <w:tcPr>
            <w:tcW w:w="220" w:type="dxa"/>
            <w:vAlign w:val="bottom"/>
            <w:shd w:val="clear" w:color="auto" w:fill="CCEEFF"/>
          </w:tcPr>
          <w:p>
            <w:pPr>
              <w:spacing w:after="0"/>
              <w:rPr>
                <w:sz w:val="23"/>
                <w:szCs w:val="23"/>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United States for various indications</w:t>
            </w:r>
          </w:p>
        </w:tc>
      </w:tr>
      <w:tr>
        <w:trPr>
          <w:trHeight w:val="256"/>
        </w:trPr>
        <w:tc>
          <w:tcPr>
            <w:tcW w:w="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Complete patient enrollment in Phase 3 study for</w:t>
            </w:r>
          </w:p>
        </w:tc>
      </w:tr>
      <w:tr>
        <w:trPr>
          <w:trHeight w:val="230"/>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treatment of NPDR in patients without DME</w:t>
            </w:r>
          </w:p>
        </w:tc>
      </w:tr>
      <w:tr>
        <w:trPr>
          <w:trHeight w:val="256"/>
        </w:trPr>
        <w:tc>
          <w:tcPr>
            <w:tcW w:w="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Submit sBLA to FDA for every 12-week dosing</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interval in wet AMD</w:t>
            </w:r>
          </w:p>
        </w:tc>
      </w:tr>
      <w:tr>
        <w:trPr>
          <w:trHeight w:val="804"/>
        </w:trPr>
        <w:tc>
          <w:tcPr>
            <w:tcW w:w="2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gridSpan w:val="2"/>
          </w:tcPr>
          <w:p>
            <w:pPr>
              <w:jc w:val="right"/>
              <w:ind w:right="1430"/>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1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418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460" w:type="dxa"/>
            <w:vAlign w:val="bottom"/>
          </w:tcPr>
          <w:p>
            <w:pPr>
              <w:jc w:val="right"/>
              <w:ind w:right="950"/>
              <w:spacing w:after="0"/>
              <w:rPr>
                <w:sz w:val="20"/>
                <w:szCs w:val="20"/>
                <w:color w:val="auto"/>
              </w:rPr>
            </w:pPr>
            <w:r>
              <w:rPr>
                <w:rFonts w:ascii="Arial" w:cs="Arial" w:eastAsia="Arial" w:hAnsi="Arial"/>
                <w:sz w:val="18"/>
                <w:szCs w:val="18"/>
                <w:b w:val="1"/>
                <w:bCs w:val="1"/>
                <w:color w:val="auto"/>
              </w:rPr>
              <w:t>2017 Events to Date</w:t>
            </w:r>
          </w:p>
        </w:tc>
        <w:tc>
          <w:tcPr>
            <w:tcW w:w="4180" w:type="dxa"/>
            <w:vAlign w:val="bottom"/>
          </w:tcPr>
          <w:p>
            <w:pPr>
              <w:ind w:left="980"/>
              <w:spacing w:after="0"/>
              <w:rPr>
                <w:sz w:val="20"/>
                <w:szCs w:val="20"/>
                <w:color w:val="auto"/>
              </w:rPr>
            </w:pPr>
            <w:r>
              <w:rPr>
                <w:rFonts w:ascii="Arial" w:cs="Arial" w:eastAsia="Arial" w:hAnsi="Arial"/>
                <w:sz w:val="18"/>
                <w:szCs w:val="18"/>
                <w:b w:val="1"/>
                <w:bCs w:val="1"/>
                <w:color w:val="auto"/>
              </w:rPr>
              <w:t>2017-2018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22"/>
        </w:trPr>
        <w:tc>
          <w:tcPr>
            <w:tcW w:w="71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3"/>
              </w:rPr>
              <w:t xml:space="preserve">Dupixent (dupilumab; IL-4R Antibody)   </w:t>
            </w:r>
            <w:r>
              <w:rPr>
                <w:rFonts w:ascii="Arial" w:cs="Arial" w:eastAsia="Arial" w:hAnsi="Arial"/>
                <w:sz w:val="18"/>
                <w:szCs w:val="18"/>
                <w:color w:val="auto"/>
                <w:w w:val="93"/>
              </w:rPr>
              <w:t>Ÿ Presented detailed results from one-year Phase 3</w:t>
            </w: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Ÿ Submit for additional regulatory approvals in atopic</w:t>
            </w:r>
          </w:p>
        </w:tc>
      </w:tr>
      <w:tr>
        <w:trPr>
          <w:trHeight w:val="216"/>
        </w:trPr>
        <w:tc>
          <w:tcPr>
            <w:tcW w:w="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CHRONOS study at the Annual Meeting of the</w:t>
            </w:r>
          </w:p>
        </w:tc>
        <w:tc>
          <w:tcPr>
            <w:tcW w:w="4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dermatitis outside the United States</w:t>
            </w: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4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American Academy of Dermatology</w:t>
            </w:r>
          </w:p>
        </w:tc>
        <w:tc>
          <w:tcPr>
            <w:tcW w:w="4180" w:type="dxa"/>
            <w:vAlign w:val="bottom"/>
            <w:shd w:val="clear" w:color="auto" w:fill="CCEEFF"/>
          </w:tcPr>
          <w:p>
            <w:pPr>
              <w:spacing w:after="0"/>
              <w:rPr>
                <w:sz w:val="20"/>
                <w:szCs w:val="20"/>
                <w:color w:val="auto"/>
              </w:rPr>
            </w:pPr>
          </w:p>
        </w:tc>
      </w:tr>
      <w:tr>
        <w:trPr>
          <w:trHeight w:val="27"/>
        </w:trPr>
        <w:tc>
          <w:tcPr>
            <w:tcW w:w="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-454025</wp:posOffset>
            </wp:positionV>
            <wp:extent cx="7169150" cy="3061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3061335"/>
                    </a:xfrm>
                    <a:prstGeom prst="rect">
                      <a:avLst/>
                    </a:prstGeom>
                    <a:noFill/>
                  </pic:spPr>
                </pic:pic>
              </a:graphicData>
            </a:graphic>
          </wp:anchor>
        </w:drawing>
      </w:r>
    </w:p>
    <w:p>
      <w:pPr>
        <w:sectPr>
          <w:pgSz w:w="11900" w:h="16838" w:orient="portrait"/>
          <w:cols w:equalWidth="0" w:num="1">
            <w:col w:w="11360"/>
          </w:cols>
          <w:pgMar w:left="240" w:top="130" w:right="299" w:bottom="1440" w:gutter="0" w:footer="0" w:header="0"/>
        </w:sectPr>
      </w:pPr>
    </w:p>
    <w:p>
      <w:pPr>
        <w:spacing w:after="0" w:line="13" w:lineRule="exact"/>
        <w:rPr>
          <w:sz w:val="20"/>
          <w:szCs w:val="20"/>
          <w:color w:val="auto"/>
        </w:rPr>
      </w:pPr>
    </w:p>
    <w:p>
      <w:pPr>
        <w:ind w:left="3500" w:hanging="235"/>
        <w:spacing w:after="0" w:line="308" w:lineRule="auto"/>
        <w:tabs>
          <w:tab w:leader="none" w:pos="3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approved Dupixent for the treatment of adults with moderate-to-severe atopic dermatitis</w:t>
      </w:r>
    </w:p>
    <w:p>
      <w:pPr>
        <w:spacing w:after="0" w:line="200" w:lineRule="exact"/>
        <w:rPr>
          <w:rFonts w:ascii="Arial" w:cs="Arial" w:eastAsia="Arial" w:hAnsi="Arial"/>
          <w:sz w:val="17"/>
          <w:szCs w:val="17"/>
          <w:color w:val="auto"/>
        </w:rPr>
      </w:pPr>
    </w:p>
    <w:p>
      <w:pPr>
        <w:ind w:left="3500" w:right="120" w:hanging="235"/>
        <w:spacing w:after="0" w:line="298" w:lineRule="auto"/>
        <w:tabs>
          <w:tab w:leader="none" w:pos="3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Initiated Phase 3 study in adolescent patients (12-17 years of age) with atopic dermatitis</w:t>
      </w:r>
    </w:p>
    <w:p>
      <w:pPr>
        <w:ind w:left="3500" w:hanging="235"/>
        <w:spacing w:after="0" w:line="277" w:lineRule="auto"/>
        <w:tabs>
          <w:tab w:leader="none" w:pos="3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CHMP recommended approval of Dupixent for use in adult patients with atopic dermatitis</w:t>
      </w:r>
    </w:p>
    <w:p>
      <w:pPr>
        <w:spacing w:after="0" w:line="8" w:lineRule="exact"/>
        <w:rPr>
          <w:rFonts w:ascii="Arial" w:cs="Arial" w:eastAsia="Arial" w:hAnsi="Arial"/>
          <w:sz w:val="18"/>
          <w:szCs w:val="18"/>
          <w:color w:val="auto"/>
        </w:rPr>
      </w:pPr>
    </w:p>
    <w:p>
      <w:pPr>
        <w:ind w:left="3500" w:right="120" w:hanging="235"/>
        <w:spacing w:after="0" w:line="264" w:lineRule="auto"/>
        <w:tabs>
          <w:tab w:leader="none" w:pos="3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applications submitted for atopic dermatitis in Japan and various other jurisdictions outside the United States</w:t>
      </w:r>
    </w:p>
    <w:p>
      <w:pPr>
        <w:spacing w:after="0" w:line="20" w:lineRule="exact"/>
        <w:rPr>
          <w:sz w:val="20"/>
          <w:szCs w:val="20"/>
          <w:color w:val="auto"/>
        </w:rPr>
      </w:pPr>
      <w:r>
        <w:rPr>
          <w:sz w:val="20"/>
          <w:szCs w:val="20"/>
          <w:color w:val="auto"/>
        </w:rPr>
        <w:br w:type="column"/>
      </w:r>
    </w:p>
    <w:p>
      <w:pPr>
        <w:ind w:left="236" w:right="100" w:hanging="236"/>
        <w:spacing w:after="0" w:line="264" w:lineRule="auto"/>
        <w:tabs>
          <w:tab w:leader="none" w:pos="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agency decisions on atopic dermatitis applications outside of the United States, including in the EU</w:t>
      </w:r>
    </w:p>
    <w:p>
      <w:pPr>
        <w:spacing w:after="0" w:line="19" w:lineRule="exact"/>
        <w:rPr>
          <w:rFonts w:ascii="Arial" w:cs="Arial" w:eastAsia="Arial" w:hAnsi="Arial"/>
          <w:sz w:val="18"/>
          <w:szCs w:val="18"/>
          <w:color w:val="auto"/>
        </w:rPr>
      </w:pPr>
    </w:p>
    <w:p>
      <w:pPr>
        <w:ind w:left="236" w:right="480" w:hanging="236"/>
        <w:spacing w:after="0" w:line="277" w:lineRule="auto"/>
        <w:tabs>
          <w:tab w:leader="none" w:pos="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Phase 3 studies in pediatric patients in atopic dermatitis</w:t>
      </w:r>
    </w:p>
    <w:p>
      <w:pPr>
        <w:spacing w:after="0" w:line="8" w:lineRule="exact"/>
        <w:rPr>
          <w:rFonts w:ascii="Arial" w:cs="Arial" w:eastAsia="Arial" w:hAnsi="Arial"/>
          <w:sz w:val="18"/>
          <w:szCs w:val="18"/>
          <w:color w:val="auto"/>
        </w:rPr>
      </w:pPr>
    </w:p>
    <w:p>
      <w:pPr>
        <w:ind w:left="236" w:right="380" w:hanging="236"/>
        <w:spacing w:after="0" w:line="277" w:lineRule="auto"/>
        <w:tabs>
          <w:tab w:leader="none" w:pos="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 results from Phase 3 asthma program in adults and adolescents</w:t>
      </w:r>
    </w:p>
    <w:p>
      <w:pPr>
        <w:spacing w:after="0" w:line="8" w:lineRule="exact"/>
        <w:rPr>
          <w:rFonts w:ascii="Arial" w:cs="Arial" w:eastAsia="Arial" w:hAnsi="Arial"/>
          <w:sz w:val="18"/>
          <w:szCs w:val="18"/>
          <w:color w:val="auto"/>
        </w:rPr>
      </w:pPr>
    </w:p>
    <w:p>
      <w:pPr>
        <w:ind w:left="236" w:right="580" w:hanging="236"/>
        <w:spacing w:after="0" w:line="277" w:lineRule="auto"/>
        <w:tabs>
          <w:tab w:leader="none" w:pos="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sBLA for asthma in adult/adolescent patients</w:t>
      </w:r>
    </w:p>
    <w:p>
      <w:pPr>
        <w:spacing w:after="0" w:line="224" w:lineRule="exact"/>
        <w:rPr>
          <w:sz w:val="20"/>
          <w:szCs w:val="20"/>
          <w:color w:val="auto"/>
        </w:rPr>
      </w:pPr>
    </w:p>
    <w:p>
      <w:pPr>
        <w:sectPr>
          <w:pgSz w:w="11900" w:h="16838" w:orient="portrait"/>
          <w:cols w:equalWidth="0" w:num="2">
            <w:col w:w="7200" w:space="144"/>
            <w:col w:w="4016"/>
          </w:cols>
          <w:pgMar w:left="240" w:top="130" w:right="299" w:bottom="1440" w:gutter="0" w:footer="0" w:header="0"/>
          <w:type w:val="continuous"/>
        </w:sectPr>
      </w:pPr>
    </w:p>
    <w:p>
      <w:pPr>
        <w:ind w:left="3500" w:hanging="235"/>
        <w:spacing w:after="0" w:line="317" w:lineRule="auto"/>
        <w:tabs>
          <w:tab w:leader="none" w:pos="3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Reported that the results from the LIBERTY AD CAFÉ study in atopic dermatitis were positive</w:t>
      </w:r>
    </w:p>
    <w:p>
      <w:pPr>
        <w:ind w:left="3500" w:hanging="235"/>
        <w:spacing w:after="0" w:line="277" w:lineRule="auto"/>
        <w:tabs>
          <w:tab w:leader="none" w:pos="3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Initiated Phase 3 study in pediatric patients (6-11 years of age) with asthma</w:t>
      </w:r>
    </w:p>
    <w:p>
      <w:pPr>
        <w:spacing w:after="0" w:line="8" w:lineRule="exact"/>
        <w:rPr>
          <w:rFonts w:ascii="Arial" w:cs="Arial" w:eastAsia="Arial" w:hAnsi="Arial"/>
          <w:sz w:val="18"/>
          <w:szCs w:val="18"/>
          <w:color w:val="auto"/>
        </w:rPr>
      </w:pPr>
    </w:p>
    <w:p>
      <w:pPr>
        <w:ind w:left="3500" w:right="120" w:hanging="235"/>
        <w:spacing w:after="0" w:line="277" w:lineRule="auto"/>
        <w:tabs>
          <w:tab w:leader="none" w:pos="3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Reported positive results from Phase 2 study in EoE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168910</wp:posOffset>
            </wp:positionV>
            <wp:extent cx="7169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6" w:right="340" w:hanging="236"/>
        <w:spacing w:after="0" w:line="277" w:lineRule="auto"/>
        <w:tabs>
          <w:tab w:leader="none" w:pos="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 for EU regulatory approval in asthma in adult/adolescent patients</w:t>
      </w:r>
    </w:p>
    <w:p>
      <w:pPr>
        <w:spacing w:after="0" w:line="8" w:lineRule="exact"/>
        <w:rPr>
          <w:rFonts w:ascii="Arial" w:cs="Arial" w:eastAsia="Arial" w:hAnsi="Arial"/>
          <w:sz w:val="18"/>
          <w:szCs w:val="18"/>
          <w:color w:val="auto"/>
        </w:rPr>
      </w:pPr>
    </w:p>
    <w:p>
      <w:pPr>
        <w:ind w:left="236" w:right="320" w:hanging="236"/>
        <w:spacing w:after="0" w:line="277" w:lineRule="auto"/>
        <w:tabs>
          <w:tab w:leader="none" w:pos="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patient enrollment in Phase 3 study in nasal polyps</w:t>
      </w:r>
    </w:p>
    <w:p>
      <w:pPr>
        <w:spacing w:after="0" w:line="8" w:lineRule="exact"/>
        <w:rPr>
          <w:rFonts w:ascii="Arial" w:cs="Arial" w:eastAsia="Arial" w:hAnsi="Arial"/>
          <w:sz w:val="18"/>
          <w:szCs w:val="18"/>
          <w:color w:val="auto"/>
        </w:rPr>
      </w:pPr>
    </w:p>
    <w:p>
      <w:pPr>
        <w:ind w:left="236" w:hanging="236"/>
        <w:spacing w:after="0"/>
        <w:tabs>
          <w:tab w:leader="none" w:pos="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Phase 3 study in EoE</w:t>
      </w:r>
    </w:p>
    <w:p>
      <w:pPr>
        <w:spacing w:after="0" w:line="279" w:lineRule="exact"/>
        <w:rPr>
          <w:rFonts w:ascii="Arial" w:cs="Arial" w:eastAsia="Arial" w:hAnsi="Arial"/>
          <w:sz w:val="18"/>
          <w:szCs w:val="18"/>
          <w:color w:val="auto"/>
        </w:rPr>
      </w:pPr>
    </w:p>
    <w:p>
      <w:pPr>
        <w:ind w:left="236" w:hanging="236"/>
        <w:spacing w:after="0"/>
        <w:tabs>
          <w:tab w:leader="none" w:pos="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Phase 2 study in food allergies</w:t>
      </w:r>
    </w:p>
    <w:p>
      <w:pPr>
        <w:spacing w:after="0" w:line="77" w:lineRule="exact"/>
        <w:rPr>
          <w:sz w:val="20"/>
          <w:szCs w:val="20"/>
          <w:color w:val="auto"/>
        </w:rPr>
      </w:pPr>
    </w:p>
    <w:p>
      <w:pPr>
        <w:sectPr>
          <w:pgSz w:w="11900" w:h="16838" w:orient="portrait"/>
          <w:cols w:equalWidth="0" w:num="2">
            <w:col w:w="7020" w:space="324"/>
            <w:col w:w="4016"/>
          </w:cols>
          <w:pgMar w:left="240" w:top="130" w:right="299" w:bottom="1440" w:gutter="0" w:footer="0" w:header="0"/>
          <w:type w:val="continuous"/>
        </w:sectPr>
      </w:pPr>
    </w:p>
    <w:p>
      <w:pPr>
        <w:ind w:left="100"/>
        <w:spacing w:after="0"/>
        <w:tabs>
          <w:tab w:leader="none" w:pos="3240" w:val="left"/>
        </w:tabs>
        <w:rPr>
          <w:sz w:val="20"/>
          <w:szCs w:val="20"/>
          <w:color w:val="auto"/>
        </w:rPr>
      </w:pPr>
      <w:r>
        <w:rPr>
          <w:rFonts w:ascii="Arial" w:cs="Arial" w:eastAsia="Arial" w:hAnsi="Arial"/>
          <w:sz w:val="18"/>
          <w:szCs w:val="18"/>
          <w:b w:val="1"/>
          <w:bCs w:val="1"/>
          <w:i w:val="1"/>
          <w:iCs w:val="1"/>
          <w:color w:val="auto"/>
        </w:rPr>
        <w:t>Praluent (PCSK9 Antibody)</w:t>
      </w:r>
      <w:r>
        <w:rPr>
          <w:sz w:val="20"/>
          <w:szCs w:val="20"/>
          <w:color w:val="auto"/>
        </w:rPr>
        <w:tab/>
      </w:r>
      <w:r>
        <w:rPr>
          <w:rFonts w:ascii="Arial" w:cs="Arial" w:eastAsia="Arial" w:hAnsi="Arial"/>
          <w:sz w:val="16"/>
          <w:szCs w:val="16"/>
          <w:color w:val="auto"/>
        </w:rPr>
        <w:t>Ÿ Court issued a permanent injunction barring</w:t>
      </w:r>
    </w:p>
    <w:p>
      <w:pPr>
        <w:spacing w:after="0" w:line="23" w:lineRule="exact"/>
        <w:rPr>
          <w:sz w:val="20"/>
          <w:szCs w:val="20"/>
          <w:color w:val="auto"/>
        </w:rPr>
      </w:pPr>
    </w:p>
    <w:p>
      <w:pPr>
        <w:ind w:left="3500" w:right="20"/>
        <w:spacing w:after="0" w:line="295" w:lineRule="auto"/>
        <w:rPr>
          <w:sz w:val="20"/>
          <w:szCs w:val="20"/>
          <w:color w:val="auto"/>
        </w:rPr>
      </w:pPr>
      <w:r>
        <w:rPr>
          <w:rFonts w:ascii="Arial" w:cs="Arial" w:eastAsia="Arial" w:hAnsi="Arial"/>
          <w:sz w:val="16"/>
          <w:szCs w:val="16"/>
          <w:color w:val="auto"/>
        </w:rPr>
        <w:t>commercialization of Praluent in the United States beginning February 21, 2017. On February 8, 2017, an emergency motion to stay (suspend) the injunction pending appeal was granted.</w:t>
      </w:r>
    </w:p>
    <w:p>
      <w:pPr>
        <w:spacing w:after="0" w:line="324"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Ÿ FDA approved sBLA for monthly dosing regimen</w:t>
      </w:r>
    </w:p>
    <w:p>
      <w:pPr>
        <w:spacing w:after="0" w:line="75"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Ÿ FDA granted orphan drug designation for treatment</w:t>
      </w:r>
    </w:p>
    <w:p>
      <w:pPr>
        <w:spacing w:after="0" w:line="4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of HoFH</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Ÿ Reported positive results from two Phase 3b/4 trials</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in patients with diabetes</w:t>
      </w:r>
    </w:p>
    <w:p>
      <w:pPr>
        <w:spacing w:after="0" w:line="20" w:lineRule="exact"/>
        <w:rPr>
          <w:sz w:val="20"/>
          <w:szCs w:val="20"/>
          <w:color w:val="auto"/>
        </w:rPr>
      </w:pPr>
      <w:r>
        <w:rPr>
          <w:sz w:val="20"/>
          <w:szCs w:val="20"/>
          <w:color w:val="auto"/>
        </w:rPr>
        <w:br w:type="column"/>
      </w:r>
    </w:p>
    <w:p>
      <w:pPr>
        <w:ind w:left="236" w:right="520" w:hanging="236"/>
        <w:spacing w:after="0" w:line="277" w:lineRule="auto"/>
        <w:tabs>
          <w:tab w:leader="none" w:pos="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Complete and report results from ODYSSEY OUTCOMES study</w:t>
      </w:r>
    </w:p>
    <w:p>
      <w:pPr>
        <w:spacing w:after="0" w:line="8" w:lineRule="exact"/>
        <w:rPr>
          <w:rFonts w:ascii="Arial" w:cs="Arial" w:eastAsia="Arial" w:hAnsi="Arial"/>
          <w:sz w:val="18"/>
          <w:szCs w:val="18"/>
          <w:color w:val="auto"/>
        </w:rPr>
      </w:pPr>
    </w:p>
    <w:p>
      <w:pPr>
        <w:ind w:left="236" w:right="140" w:hanging="236"/>
        <w:spacing w:after="0" w:line="277" w:lineRule="auto"/>
        <w:tabs>
          <w:tab w:leader="none" w:pos="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 for additional regulatory approvals outside the United States</w:t>
      </w:r>
    </w:p>
    <w:p>
      <w:pPr>
        <w:spacing w:after="0" w:line="8" w:lineRule="exact"/>
        <w:rPr>
          <w:rFonts w:ascii="Arial" w:cs="Arial" w:eastAsia="Arial" w:hAnsi="Arial"/>
          <w:sz w:val="18"/>
          <w:szCs w:val="18"/>
          <w:color w:val="auto"/>
        </w:rPr>
      </w:pPr>
    </w:p>
    <w:p>
      <w:pPr>
        <w:ind w:left="236" w:right="580" w:hanging="236"/>
        <w:spacing w:after="0" w:line="277" w:lineRule="auto"/>
        <w:tabs>
          <w:tab w:leader="none" w:pos="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agency decisions on applications outside the United States</w:t>
      </w:r>
    </w:p>
    <w:p>
      <w:pPr>
        <w:spacing w:after="0" w:line="8" w:lineRule="exact"/>
        <w:rPr>
          <w:rFonts w:ascii="Arial" w:cs="Arial" w:eastAsia="Arial" w:hAnsi="Arial"/>
          <w:sz w:val="18"/>
          <w:szCs w:val="18"/>
          <w:color w:val="auto"/>
        </w:rPr>
      </w:pPr>
    </w:p>
    <w:p>
      <w:pPr>
        <w:ind w:left="236" w:hanging="236"/>
        <w:spacing w:after="0"/>
        <w:tabs>
          <w:tab w:leader="none" w:pos="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Phase 3 study in HoFH</w:t>
      </w:r>
    </w:p>
    <w:p>
      <w:pPr>
        <w:spacing w:after="0" w:line="63" w:lineRule="exact"/>
        <w:rPr>
          <w:rFonts w:ascii="Arial" w:cs="Arial" w:eastAsia="Arial" w:hAnsi="Arial"/>
          <w:sz w:val="18"/>
          <w:szCs w:val="18"/>
          <w:color w:val="auto"/>
        </w:rPr>
      </w:pPr>
    </w:p>
    <w:p>
      <w:pPr>
        <w:ind w:left="236" w:right="100" w:hanging="236"/>
        <w:spacing w:after="0" w:line="264" w:lineRule="auto"/>
        <w:tabs>
          <w:tab w:leader="none" w:pos="2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Decision from U.S. Court of Appeals for the Federal Circuit in the patent infringement litigation against Amgen</w:t>
      </w:r>
    </w:p>
    <w:p>
      <w:pPr>
        <w:spacing w:after="0" w:line="472" w:lineRule="exact"/>
        <w:rPr>
          <w:sz w:val="20"/>
          <w:szCs w:val="20"/>
          <w:color w:val="auto"/>
        </w:rPr>
      </w:pPr>
    </w:p>
    <w:p>
      <w:pPr>
        <w:sectPr>
          <w:pgSz w:w="11900" w:h="16838" w:orient="portrait"/>
          <w:cols w:equalWidth="0" w:num="2">
            <w:col w:w="7240" w:space="104"/>
            <w:col w:w="4016"/>
          </w:cols>
          <w:pgMar w:left="240" w:top="130" w:right="299" w:bottom="1440" w:gutter="0" w:footer="0" w:header="0"/>
          <w:type w:val="continuous"/>
        </w:sectPr>
      </w:pPr>
    </w:p>
    <w:tbl>
      <w:tblPr>
        <w:tblLayout w:type="fixed"/>
        <w:tblInd w:w="80" w:type="dxa"/>
        <w:tblCellMar>
          <w:top w:w="0" w:type="dxa"/>
          <w:left w:w="0" w:type="dxa"/>
          <w:bottom w:w="0" w:type="dxa"/>
          <w:right w:w="0" w:type="dxa"/>
        </w:tblCellMar>
      </w:tblPr>
      <w:tr>
        <w:trPr>
          <w:trHeight w:val="242"/>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9"/>
              </w:rPr>
              <w:t>Kevzara (sarilumab; IL-6R Antibody)</w:t>
            </w: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Regulatory applications submitted in various</w:t>
            </w: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Submit for additional regulatory approvals outside</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jurisdictions outside the United States</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the United States</w:t>
            </w:r>
          </w:p>
        </w:tc>
        <w:tc>
          <w:tcPr>
            <w:tcW w:w="0" w:type="dxa"/>
            <w:vAlign w:val="bottom"/>
          </w:tcPr>
          <w:p>
            <w:pPr>
              <w:spacing w:after="0"/>
              <w:rPr>
                <w:sz w:val="1"/>
                <w:szCs w:val="1"/>
                <w:color w:val="auto"/>
              </w:rPr>
            </w:pPr>
          </w:p>
        </w:tc>
      </w:tr>
      <w:tr>
        <w:trPr>
          <w:trHeight w:val="256"/>
        </w:trPr>
        <w:tc>
          <w:tcPr>
            <w:tcW w:w="312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Health Canada approved Kevzara for the treatment</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agency decisions on applications</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adult patients with RA</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of the United States</w:t>
            </w:r>
          </w:p>
        </w:tc>
        <w:tc>
          <w:tcPr>
            <w:tcW w:w="0" w:type="dxa"/>
            <w:vAlign w:val="bottom"/>
          </w:tcPr>
          <w:p>
            <w:pPr>
              <w:spacing w:after="0"/>
              <w:rPr>
                <w:sz w:val="1"/>
                <w:szCs w:val="1"/>
                <w:color w:val="auto"/>
              </w:rPr>
            </w:pPr>
          </w:p>
        </w:tc>
      </w:tr>
      <w:tr>
        <w:trPr>
          <w:trHeight w:val="256"/>
        </w:trPr>
        <w:tc>
          <w:tcPr>
            <w:tcW w:w="312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Resubmitted BLA and FDA accepted for review</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Continue patient enrollment in Phase 2 study in</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pcJIA</w:t>
            </w:r>
          </w:p>
        </w:tc>
        <w:tc>
          <w:tcPr>
            <w:tcW w:w="0" w:type="dxa"/>
            <w:vAlign w:val="bottom"/>
          </w:tcPr>
          <w:p>
            <w:pPr>
              <w:spacing w:after="0"/>
              <w:rPr>
                <w:sz w:val="1"/>
                <w:szCs w:val="1"/>
                <w:color w:val="auto"/>
              </w:rPr>
            </w:pPr>
          </w:p>
        </w:tc>
      </w:tr>
      <w:tr>
        <w:trPr>
          <w:trHeight w:val="256"/>
        </w:trPr>
        <w:tc>
          <w:tcPr>
            <w:tcW w:w="312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FDA approved Kevzara for the treatment of adult</w:t>
            </w:r>
          </w:p>
        </w:tc>
        <w:tc>
          <w:tcPr>
            <w:tcW w:w="280" w:type="dxa"/>
            <w:vAlign w:val="bottom"/>
            <w:shd w:val="clear" w:color="auto" w:fill="CCEEFF"/>
          </w:tcPr>
          <w:p>
            <w:pPr>
              <w:spacing w:after="0"/>
              <w:rPr>
                <w:sz w:val="22"/>
                <w:szCs w:val="22"/>
                <w:color w:val="auto"/>
              </w:rPr>
            </w:pPr>
          </w:p>
        </w:tc>
        <w:tc>
          <w:tcPr>
            <w:tcW w:w="3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patients with RA</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2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Commission granted marketing</w:t>
            </w:r>
          </w:p>
        </w:tc>
        <w:tc>
          <w:tcPr>
            <w:tcW w:w="280" w:type="dxa"/>
            <w:vAlign w:val="bottom"/>
            <w:shd w:val="clear" w:color="auto" w:fill="CCEEFF"/>
          </w:tcPr>
          <w:p>
            <w:pPr>
              <w:spacing w:after="0"/>
              <w:rPr>
                <w:sz w:val="22"/>
                <w:szCs w:val="22"/>
                <w:color w:val="auto"/>
              </w:rPr>
            </w:pPr>
          </w:p>
        </w:tc>
        <w:tc>
          <w:tcPr>
            <w:tcW w:w="3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authorization for Kevzara for the treatment of adult</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patients with RA</w:t>
            </w:r>
          </w:p>
        </w:tc>
        <w:tc>
          <w:tcPr>
            <w:tcW w:w="28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Suptavumab (RSV-F Antibody)</w:t>
            </w:r>
          </w:p>
        </w:tc>
        <w:tc>
          <w:tcPr>
            <w:tcW w:w="2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Patient enrollment in Phase 3 study ended</w:t>
            </w:r>
          </w:p>
        </w:tc>
        <w:tc>
          <w:tcPr>
            <w:tcW w:w="2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Report results from Phase 3 study</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6"/>
              </w:rPr>
              <w:t>following completion of the Northern Hemisphere</w:t>
            </w: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Ÿ</w:t>
            </w:r>
          </w:p>
        </w:tc>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Initiate additional Phase 3 study</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RSV season</w:t>
            </w:r>
          </w:p>
        </w:tc>
        <w:tc>
          <w:tcPr>
            <w:tcW w:w="280" w:type="dxa"/>
            <w:vAlign w:val="bottom"/>
            <w:vMerge w:val="continue"/>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type w:val="continuous"/>
        </w:sect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60"/>
          </w:cols>
          <w:pgMar w:left="240" w:top="130" w:right="29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18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28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40" w:type="dxa"/>
            <w:vAlign w:val="bottom"/>
          </w:tcPr>
          <w:p>
            <w:pPr>
              <w:ind w:left="960"/>
              <w:spacing w:after="0"/>
              <w:rPr>
                <w:sz w:val="20"/>
                <w:szCs w:val="20"/>
                <w:color w:val="auto"/>
              </w:rPr>
            </w:pPr>
            <w:r>
              <w:rPr>
                <w:rFonts w:ascii="Arial" w:cs="Arial" w:eastAsia="Arial" w:hAnsi="Arial"/>
                <w:sz w:val="18"/>
                <w:szCs w:val="18"/>
                <w:b w:val="1"/>
                <w:bCs w:val="1"/>
                <w:color w:val="auto"/>
              </w:rPr>
              <w:t>2017 Events to Date</w:t>
            </w:r>
          </w:p>
        </w:tc>
        <w:tc>
          <w:tcPr>
            <w:tcW w:w="280" w:type="dxa"/>
            <w:vAlign w:val="bottom"/>
          </w:tcPr>
          <w:p>
            <w:pPr>
              <w:spacing w:after="0"/>
              <w:rPr>
                <w:sz w:val="24"/>
                <w:szCs w:val="24"/>
                <w:color w:val="auto"/>
              </w:rPr>
            </w:pPr>
          </w:p>
        </w:tc>
        <w:tc>
          <w:tcPr>
            <w:tcW w:w="3820" w:type="dxa"/>
            <w:vAlign w:val="bottom"/>
          </w:tcPr>
          <w:p>
            <w:pPr>
              <w:ind w:left="620"/>
              <w:spacing w:after="0"/>
              <w:rPr>
                <w:sz w:val="20"/>
                <w:szCs w:val="20"/>
                <w:color w:val="auto"/>
              </w:rPr>
            </w:pPr>
            <w:r>
              <w:rPr>
                <w:rFonts w:ascii="Arial" w:cs="Arial" w:eastAsia="Arial" w:hAnsi="Arial"/>
                <w:sz w:val="18"/>
                <w:szCs w:val="18"/>
                <w:b w:val="1"/>
                <w:bCs w:val="1"/>
                <w:color w:val="auto"/>
              </w:rPr>
              <w:t>2017-2018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REGN2810 (PD-1 Antibody)</w:t>
            </w:r>
          </w:p>
        </w:tc>
        <w:tc>
          <w:tcPr>
            <w:tcW w:w="4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2"/>
              </w:rPr>
              <w:t>Ÿ Continued patient enrollment in Phase 1 and Phase</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Submit BLA for CSCC</w:t>
            </w: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 studies</w:t>
            </w:r>
          </w:p>
        </w:tc>
        <w:tc>
          <w:tcPr>
            <w:tcW w:w="28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Reported positive preliminary results from Phase 1</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 Phase 3 study in cervical cancer</w:t>
            </w: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trial in patients with advanced CSCC</w:t>
            </w:r>
          </w:p>
        </w:tc>
        <w:tc>
          <w:tcPr>
            <w:tcW w:w="28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3 study in first-line treatment for</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Continue patient enrollment in various studies</w:t>
            </w: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non-small cell lung cancer</w:t>
            </w:r>
          </w:p>
        </w:tc>
        <w:tc>
          <w:tcPr>
            <w:tcW w:w="28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Initiated potentially pivotal Phase 2 study in BCC</w:t>
            </w:r>
          </w:p>
        </w:tc>
        <w:tc>
          <w:tcPr>
            <w:tcW w:w="28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r>
      <w:tr>
        <w:trPr>
          <w:trHeight w:val="222"/>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Fasinumab (NGF Antibody)</w:t>
            </w:r>
          </w:p>
        </w:tc>
        <w:tc>
          <w:tcPr>
            <w:tcW w:w="40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5"/>
              </w:rPr>
              <w:t>Ÿ Continued patient enrollment in Phase 3 long-term</w:t>
            </w:r>
          </w:p>
        </w:tc>
        <w:tc>
          <w:tcPr>
            <w:tcW w:w="41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Ÿ Continue patient enrollment in Phase 3 study in</w:t>
            </w: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safety study in osteoarthritis</w:t>
            </w:r>
          </w:p>
        </w:tc>
        <w:tc>
          <w:tcPr>
            <w:tcW w:w="28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osteoarthritis</w:t>
            </w:r>
          </w:p>
        </w:tc>
      </w:tr>
      <w:tr>
        <w:trPr>
          <w:trHeight w:val="270"/>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040" w:type="dxa"/>
            <w:vAlign w:val="bottom"/>
            <w:gridSpan w:val="3"/>
          </w:tcPr>
          <w:p>
            <w:pPr>
              <w:ind w:left="40"/>
              <w:spacing w:after="0"/>
              <w:rPr>
                <w:sz w:val="20"/>
                <w:szCs w:val="20"/>
                <w:color w:val="auto"/>
              </w:rPr>
            </w:pPr>
            <w:r>
              <w:rPr>
                <w:rFonts w:ascii="Arial" w:cs="Arial" w:eastAsia="Arial" w:hAnsi="Arial"/>
                <w:sz w:val="18"/>
                <w:szCs w:val="18"/>
                <w:color w:val="auto"/>
              </w:rPr>
              <w:t>Ÿ Initiated Phase 3 efficacy study in osteoarthritis</w:t>
            </w:r>
          </w:p>
        </w:tc>
        <w:tc>
          <w:tcPr>
            <w:tcW w:w="4100" w:type="dxa"/>
            <w:vAlign w:val="bottom"/>
            <w:gridSpan w:val="2"/>
          </w:tcPr>
          <w:p>
            <w:pPr>
              <w:ind w:left="80"/>
              <w:spacing w:after="0"/>
              <w:rPr>
                <w:sz w:val="20"/>
                <w:szCs w:val="20"/>
                <w:color w:val="auto"/>
              </w:rPr>
            </w:pPr>
            <w:r>
              <w:rPr>
                <w:rFonts w:ascii="Arial" w:cs="Arial" w:eastAsia="Arial" w:hAnsi="Arial"/>
                <w:sz w:val="18"/>
                <w:szCs w:val="18"/>
                <w:color w:val="auto"/>
              </w:rPr>
              <w:t>Ÿ Initiate Phase 3 study in chronic low back pain</w:t>
            </w: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2"/>
          </w:tcPr>
          <w:p>
            <w:pPr>
              <w:spacing w:after="0"/>
              <w:rPr>
                <w:sz w:val="2"/>
                <w:szCs w:val="2"/>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FDA granted Breakthrough Therapy designation for</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 Phase 3 studies in HoFH</w:t>
            </w: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the treatment of hypercholesterolemia in patients</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 Phase 2 study in severe</w:t>
            </w:r>
          </w:p>
        </w:tc>
      </w:tr>
      <w:tr>
        <w:trPr>
          <w:trHeight w:val="270"/>
        </w:trPr>
        <w:tc>
          <w:tcPr>
            <w:tcW w:w="20" w:type="dxa"/>
            <w:vAlign w:val="bottom"/>
            <w:shd w:val="clear" w:color="auto" w:fill="CCEEFF"/>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 HoFH</w:t>
            </w:r>
          </w:p>
        </w:tc>
        <w:tc>
          <w:tcPr>
            <w:tcW w:w="280" w:type="dxa"/>
            <w:vAlign w:val="bottom"/>
            <w:shd w:val="clear" w:color="auto" w:fill="CCEEFF"/>
          </w:tcPr>
          <w:p>
            <w:pPr>
              <w:spacing w:after="0"/>
              <w:rPr>
                <w:sz w:val="23"/>
                <w:szCs w:val="23"/>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hypertriglyceridemia</w:t>
            </w: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Reported positive Phase 2 results at the National</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 Phase 2 study in HeFH</w:t>
            </w: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Lipid Association's Scientific Sessions</w:t>
            </w:r>
          </w:p>
        </w:tc>
        <w:tc>
          <w:tcPr>
            <w:tcW w:w="28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Data and analysis from genetics, preclinical, and</w:t>
            </w:r>
          </w:p>
        </w:tc>
        <w:tc>
          <w:tcPr>
            <w:tcW w:w="28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clinical study published in the </w:t>
            </w:r>
            <w:r>
              <w:rPr>
                <w:rFonts w:ascii="Arial" w:cs="Arial" w:eastAsia="Arial" w:hAnsi="Arial"/>
                <w:sz w:val="18"/>
                <w:szCs w:val="18"/>
                <w:i w:val="1"/>
                <w:iCs w:val="1"/>
                <w:color w:val="auto"/>
              </w:rPr>
              <w:t>New England</w:t>
            </w:r>
          </w:p>
        </w:tc>
        <w:tc>
          <w:tcPr>
            <w:tcW w:w="2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Journal of Medicine</w:t>
            </w:r>
          </w:p>
        </w:tc>
        <w:tc>
          <w:tcPr>
            <w:tcW w:w="28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22"/>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w w:val="89"/>
              </w:rPr>
              <w:t>Nesvacumab/aflibercept (Ang2 Antibody</w:t>
            </w:r>
          </w:p>
        </w:tc>
        <w:tc>
          <w:tcPr>
            <w:tcW w:w="40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9"/>
              </w:rPr>
              <w:t>Ÿ Completed patient enrollment in Phase 2 ONYX</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Report results from Phase 2 studies</w:t>
            </w: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co-formulated with aflibercept)</w:t>
            </w:r>
          </w:p>
        </w:tc>
        <w:tc>
          <w:tcPr>
            <w:tcW w:w="22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study in wet AMD</w:t>
            </w:r>
          </w:p>
        </w:tc>
        <w:tc>
          <w:tcPr>
            <w:tcW w:w="2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Trevogrumab (GDF8 Antibody)</w:t>
            </w:r>
          </w:p>
        </w:tc>
        <w:tc>
          <w:tcPr>
            <w:tcW w:w="4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8"/>
              </w:rPr>
              <w:t>Ÿ Initiated Phase 1 combination therapy study with</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 Phase 1 study</w:t>
            </w: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REGN2477</w:t>
            </w:r>
          </w:p>
        </w:tc>
        <w:tc>
          <w:tcPr>
            <w:tcW w:w="28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4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Completed patient enrollment in Phase 1</w:t>
            </w:r>
          </w:p>
        </w:tc>
        <w:tc>
          <w:tcPr>
            <w:tcW w:w="28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combination therapy study</w:t>
            </w:r>
          </w:p>
        </w:tc>
        <w:tc>
          <w:tcPr>
            <w:tcW w:w="28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37"/>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Ÿ Continue early stage development</w:t>
            </w: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8"/>
              </w:rPr>
              <w:t>REGN1979 (CD20 and CD3 Antibody)</w:t>
            </w:r>
          </w:p>
        </w:tc>
        <w:tc>
          <w:tcPr>
            <w:tcW w:w="4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Continued patient enrollment in Phase 1 study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Continue patient enrollment in Phase 1 study</w:t>
            </w: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4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FDA granted orphan drug designation in diffuse</w:t>
            </w:r>
          </w:p>
        </w:tc>
        <w:tc>
          <w:tcPr>
            <w:tcW w:w="28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large B-cell lymphoma</w:t>
            </w:r>
          </w:p>
        </w:tc>
        <w:tc>
          <w:tcPr>
            <w:tcW w:w="28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81"/>
        </w:trPr>
        <w:tc>
          <w:tcPr>
            <w:tcW w:w="20" w:type="dxa"/>
            <w:vAlign w:val="bottom"/>
            <w:tcBorders>
              <w:bottom w:val="single" w:sz="8" w:color="auto"/>
            </w:tcBorders>
            <w:shd w:val="clear" w:color="auto" w:fill="CCEEFF"/>
          </w:tcPr>
          <w:p>
            <w:pPr>
              <w:spacing w:after="0"/>
              <w:rPr>
                <w:sz w:val="7"/>
                <w:szCs w:val="7"/>
                <w:color w:val="auto"/>
              </w:rPr>
            </w:pPr>
          </w:p>
        </w:tc>
        <w:tc>
          <w:tcPr>
            <w:tcW w:w="312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gridSpan w:val="2"/>
            <w:shd w:val="clear" w:color="auto" w:fill="CCEEFF"/>
          </w:tcPr>
          <w:p>
            <w:pPr>
              <w:spacing w:after="0"/>
              <w:rPr>
                <w:sz w:val="7"/>
                <w:szCs w:val="7"/>
                <w:color w:val="auto"/>
              </w:rPr>
            </w:pPr>
          </w:p>
        </w:tc>
        <w:tc>
          <w:tcPr>
            <w:tcW w:w="364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3820" w:type="dxa"/>
            <w:vAlign w:val="bottom"/>
            <w:tcBorders>
              <w:bottom w:val="single" w:sz="8" w:color="auto"/>
            </w:tcBorders>
            <w:shd w:val="clear" w:color="auto" w:fill="CCEEFF"/>
          </w:tcPr>
          <w:p>
            <w:pPr>
              <w:spacing w:after="0"/>
              <w:rPr>
                <w:sz w:val="7"/>
                <w:szCs w:val="7"/>
                <w:color w:val="auto"/>
              </w:rPr>
            </w:pPr>
          </w:p>
        </w:tc>
      </w:tr>
      <w:tr>
        <w:trPr>
          <w:trHeight w:val="222"/>
        </w:trPr>
        <w:tc>
          <w:tcPr>
            <w:tcW w:w="3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7"/>
              </w:rPr>
              <w:t>REGN3470-3471-3479 (Multi-antibody</w:t>
            </w:r>
          </w:p>
        </w:tc>
        <w:tc>
          <w:tcPr>
            <w:tcW w:w="4040" w:type="dxa"/>
            <w:vAlign w:val="bottom"/>
            <w:gridSpan w:val="3"/>
          </w:tcPr>
          <w:p>
            <w:pPr>
              <w:ind w:left="40"/>
              <w:spacing w:after="0"/>
              <w:rPr>
                <w:sz w:val="20"/>
                <w:szCs w:val="20"/>
                <w:color w:val="auto"/>
              </w:rPr>
            </w:pPr>
            <w:r>
              <w:rPr>
                <w:rFonts w:ascii="Arial" w:cs="Arial" w:eastAsia="Arial" w:hAnsi="Arial"/>
                <w:sz w:val="18"/>
                <w:szCs w:val="18"/>
                <w:color w:val="auto"/>
              </w:rPr>
              <w:t>Ÿ Completed Phase 1 study in healthy volunteers</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20" w:type="dxa"/>
            <w:vAlign w:val="bottom"/>
          </w:tcPr>
          <w:p>
            <w:pPr>
              <w:ind w:left="20"/>
              <w:spacing w:after="0"/>
              <w:rPr>
                <w:sz w:val="20"/>
                <w:szCs w:val="20"/>
                <w:color w:val="auto"/>
              </w:rPr>
            </w:pPr>
            <w:r>
              <w:rPr>
                <w:rFonts w:ascii="Arial" w:cs="Arial" w:eastAsia="Arial" w:hAnsi="Arial"/>
                <w:sz w:val="18"/>
                <w:szCs w:val="18"/>
                <w:color w:val="auto"/>
              </w:rPr>
              <w:t>Initiate additional healthy volunteer study</w:t>
            </w: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therapy to Ebola virus)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REGN2477 (Activin A Antibody)</w:t>
            </w:r>
          </w:p>
        </w:tc>
        <w:tc>
          <w:tcPr>
            <w:tcW w:w="4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FDA granted orphan drug designation for the</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 Phase 2 study in patients with FOP</w:t>
            </w: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treatment of FOP</w:t>
            </w:r>
          </w:p>
        </w:tc>
        <w:tc>
          <w:tcPr>
            <w:tcW w:w="28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4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FDA granted Fast Track designation for the</w:t>
            </w:r>
          </w:p>
        </w:tc>
        <w:tc>
          <w:tcPr>
            <w:tcW w:w="28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prevention and treatment of heterotopic ossification</w:t>
            </w:r>
          </w:p>
        </w:tc>
        <w:tc>
          <w:tcPr>
            <w:tcW w:w="2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 patients with FOP</w:t>
            </w:r>
          </w:p>
        </w:tc>
        <w:tc>
          <w:tcPr>
            <w:tcW w:w="28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37"/>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REGN3500 (IL-33 Antibody)</w:t>
            </w:r>
          </w:p>
        </w:tc>
        <w:tc>
          <w:tcPr>
            <w:tcW w:w="40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9"/>
              </w:rPr>
              <w:t>Ÿ Initiated Phase 1 studies in patients with asthma</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Initiate Phase 2 study</w:t>
            </w:r>
          </w:p>
        </w:tc>
      </w:tr>
      <w:tr>
        <w:trPr>
          <w:trHeight w:val="270"/>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040" w:type="dxa"/>
            <w:vAlign w:val="bottom"/>
            <w:gridSpan w:val="3"/>
          </w:tcPr>
          <w:p>
            <w:pPr>
              <w:ind w:left="40"/>
              <w:spacing w:after="0"/>
              <w:rPr>
                <w:sz w:val="20"/>
                <w:szCs w:val="20"/>
                <w:color w:val="auto"/>
              </w:rPr>
            </w:pPr>
            <w:r>
              <w:rPr>
                <w:rFonts w:ascii="Arial" w:cs="Arial" w:eastAsia="Arial" w:hAnsi="Arial"/>
                <w:sz w:val="18"/>
                <w:szCs w:val="18"/>
                <w:color w:val="auto"/>
              </w:rPr>
              <w:t>Ÿ Completed Phase 1 study in healthy volunteers</w:t>
            </w:r>
          </w:p>
        </w:tc>
        <w:tc>
          <w:tcPr>
            <w:tcW w:w="28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REGN3767 (LAG-3 Antibody)</w:t>
            </w:r>
          </w:p>
        </w:tc>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Ÿ Continued patient enrollment in Phase 1 study</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Continue patient enrollment in Phase 1 study</w:t>
            </w:r>
          </w:p>
        </w:tc>
      </w:tr>
      <w:tr>
        <w:trPr>
          <w:trHeight w:val="237"/>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REGN3918 (C5 Antibody)</w:t>
            </w:r>
          </w:p>
        </w:tc>
        <w:tc>
          <w:tcPr>
            <w:tcW w:w="40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Ÿ Initiated Phase 1 study in healthy volunteers</w:t>
            </w:r>
          </w:p>
        </w:tc>
        <w:tc>
          <w:tcPr>
            <w:tcW w:w="28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93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40" w:type="dxa"/>
            <w:vAlign w:val="bottom"/>
            <w:gridSpan w:val="3"/>
          </w:tcPr>
          <w:p>
            <w:pPr>
              <w:ind w:left="240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360"/>
          </w:cols>
          <w:pgMar w:left="240" w:top="130" w:right="29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and Six Months Ended June 30, 2017 and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June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4"/>
          </w:tcPr>
          <w:p>
            <w:pPr>
              <w:jc w:val="right"/>
              <w:spacing w:after="0" w:line="194" w:lineRule="exact"/>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Increase</w:t>
            </w:r>
          </w:p>
        </w:tc>
        <w:tc>
          <w:tcPr>
            <w:tcW w:w="2360" w:type="dxa"/>
            <w:vAlign w:val="bottom"/>
            <w:gridSpan w:val="9"/>
          </w:tcPr>
          <w:p>
            <w:pPr>
              <w:jc w:val="right"/>
              <w:ind w:right="180"/>
              <w:spacing w:after="0" w:line="194" w:lineRule="exact"/>
              <w:rPr>
                <w:sz w:val="20"/>
                <w:szCs w:val="20"/>
                <w:color w:val="auto"/>
              </w:rPr>
            </w:pPr>
            <w:r>
              <w:rPr>
                <w:rFonts w:ascii="Arial" w:cs="Arial" w:eastAsia="Arial" w:hAnsi="Arial"/>
                <w:sz w:val="18"/>
                <w:szCs w:val="18"/>
                <w:b w:val="1"/>
                <w:bCs w:val="1"/>
                <w:color w:val="auto"/>
                <w:w w:val="92"/>
              </w:rPr>
              <w:t>Six Months Ended June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(Decrease)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0" w:type="dxa"/>
            <w:vAlign w:val="bottom"/>
            <w:tcBorders>
              <w:right w:val="single" w:sz="8" w:color="CCEEFF"/>
            </w:tcBorders>
          </w:tcPr>
          <w:p>
            <w:pPr>
              <w:spacing w:after="0"/>
              <w:rPr>
                <w:sz w:val="21"/>
                <w:szCs w:val="21"/>
                <w:color w:val="auto"/>
              </w:rPr>
            </w:pPr>
          </w:p>
        </w:tc>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1,470.1</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(1,792.5)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3"/>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622.4</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387.7</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191.5</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636.6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0" w:type="dxa"/>
            <w:vAlign w:val="bottom"/>
          </w:tcPr>
          <w:p>
            <w:pPr>
              <w:spacing w:after="0"/>
              <w:rPr>
                <w:sz w:val="24"/>
                <w:szCs w:val="24"/>
                <w:color w:val="auto"/>
              </w:rPr>
            </w:pPr>
          </w:p>
        </w:tc>
        <w:tc>
          <w:tcPr>
            <w:tcW w:w="100" w:type="dxa"/>
            <w:vAlign w:val="bottom"/>
            <w:tcBorders>
              <w:right w:val="single" w:sz="8" w:color="CCEEFF"/>
            </w:tcBorders>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Net income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21"/>
                <w:szCs w:val="21"/>
                <w:color w:val="auto"/>
              </w:rPr>
            </w:pPr>
          </w:p>
        </w:tc>
        <w:tc>
          <w:tcPr>
            <w:tcW w:w="360" w:type="dxa"/>
            <w:vAlign w:val="bottom"/>
            <w:gridSpan w:val="3"/>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9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0"/>
              </w:rPr>
              <w:t>Three Months Ended June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36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center"/>
              <w:ind w:right="10"/>
              <w:spacing w:after="0" w:line="194" w:lineRule="exact"/>
              <w:rPr>
                <w:sz w:val="20"/>
                <w:szCs w:val="20"/>
                <w:color w:val="auto"/>
              </w:rPr>
            </w:pPr>
            <w:r>
              <w:rPr>
                <w:rFonts w:ascii="Arial" w:cs="Arial" w:eastAsia="Arial" w:hAnsi="Arial"/>
                <w:sz w:val="18"/>
                <w:szCs w:val="18"/>
                <w:b w:val="1"/>
                <w:bCs w:val="1"/>
                <w:color w:val="auto"/>
                <w:w w:val="87"/>
              </w:rPr>
              <w:t>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87"/>
              </w:rPr>
              <w:t>Increase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7"/>
          </w:tcPr>
          <w:p>
            <w:pPr>
              <w:jc w:val="center"/>
              <w:ind w:right="40"/>
              <w:spacing w:after="0" w:line="194" w:lineRule="exact"/>
              <w:rPr>
                <w:sz w:val="20"/>
                <w:szCs w:val="20"/>
                <w:color w:val="auto"/>
              </w:rPr>
            </w:pPr>
            <w:r>
              <w:rPr>
                <w:rFonts w:ascii="Arial" w:cs="Arial" w:eastAsia="Arial" w:hAnsi="Arial"/>
                <w:sz w:val="18"/>
                <w:szCs w:val="18"/>
                <w:b w:val="1"/>
                <w:bCs w:val="1"/>
                <w:color w:val="auto"/>
                <w:w w:val="90"/>
              </w:rPr>
              <w:t>Six Months Ended June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(Decrease)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Borders>
              <w:right w:val="single" w:sz="8" w:color="CCEEFF"/>
            </w:tcBorders>
          </w:tcPr>
          <w:p>
            <w:pPr>
              <w:spacing w:after="0"/>
              <w:rPr>
                <w:sz w:val="21"/>
                <w:szCs w:val="21"/>
                <w:color w:val="auto"/>
              </w:rPr>
            </w:pPr>
          </w:p>
        </w:tc>
        <w:tc>
          <w:tcPr>
            <w:tcW w:w="3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product sales in the United States: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EYLEA</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919.5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830.9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1,773.9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1,611.8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ARCALYST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8"/>
                <w:szCs w:val="18"/>
                <w:color w:val="auto"/>
              </w:rPr>
              <w:t>Sanofi and Bayer collaboration revenue: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Sanofi</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Bayer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210.4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right w:val="single" w:sz="8" w:color="CCEEFF"/>
            </w:tcBorders>
          </w:tcPr>
          <w:p>
            <w:pPr>
              <w:spacing w:after="0"/>
              <w:rPr>
                <w:sz w:val="23"/>
                <w:szCs w:val="23"/>
                <w:color w:val="auto"/>
              </w:rPr>
            </w:pPr>
          </w:p>
        </w:tc>
        <w:tc>
          <w:tcPr>
            <w:tcW w:w="3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40" w:type="dxa"/>
            <w:vAlign w:val="bottom"/>
            <w:gridSpan w:val="3"/>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1,470.1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1,212.6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2,789.1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2,413.5</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Net product sales of EYLEA in the United States increased for the three and six months ended June 30, 2017, compared to the same periods in 2016, due to higher sales volume, partly offset by an increase in sales-related deductions primarily due to payer sales mix and new rebate programs.</w:t>
      </w:r>
    </w:p>
    <w:p>
      <w:pPr>
        <w:spacing w:after="0" w:line="20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sales-related deductions.</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Balance as of March 31, 2017</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Balance as of March 31, 2016</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Sanofi Collaboration Revenue</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Sanofi Collaboration Revenue</w:t>
            </w:r>
          </w:p>
        </w:tc>
        <w:tc>
          <w:tcPr>
            <w:tcW w:w="25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June 30,</w:t>
            </w:r>
          </w:p>
        </w:tc>
        <w:tc>
          <w:tcPr>
            <w:tcW w:w="160" w:type="dxa"/>
            <w:vAlign w:val="bottom"/>
          </w:tcPr>
          <w:p>
            <w:pPr>
              <w:spacing w:after="0"/>
              <w:rPr>
                <w:sz w:val="18"/>
                <w:szCs w:val="18"/>
                <w:color w:val="auto"/>
              </w:rPr>
            </w:pPr>
          </w:p>
        </w:tc>
        <w:tc>
          <w:tcPr>
            <w:tcW w:w="23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20"/>
              <w:spacing w:after="0"/>
              <w:rPr>
                <w:sz w:val="20"/>
                <w:szCs w:val="20"/>
                <w:color w:val="auto"/>
              </w:rPr>
            </w:pPr>
            <w:r>
              <w:rPr>
                <w:rFonts w:ascii="Arial" w:cs="Arial" w:eastAsia="Arial" w:hAnsi="Arial"/>
                <w:sz w:val="18"/>
                <w:szCs w:val="18"/>
                <w:color w:val="auto"/>
                <w:w w:val="96"/>
              </w:rPr>
              <w:t>development expenses - Discovery Agreement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development expenses - License and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Collaboration Agreement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r>
      <w:tr>
        <w:trPr>
          <w:trHeight w:val="229"/>
        </w:trPr>
        <w:tc>
          <w:tcPr>
            <w:tcW w:w="20" w:type="dxa"/>
            <w:vAlign w:val="bottom"/>
          </w:tcPr>
          <w:p>
            <w:pPr>
              <w:spacing w:after="0"/>
              <w:rPr>
                <w:sz w:val="19"/>
                <w:szCs w:val="19"/>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w w:val="94"/>
              </w:rPr>
              <w:t>Reimbursement of Regeneron commercialization-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20"/>
              <w:spacing w:after="0"/>
              <w:rPr>
                <w:sz w:val="20"/>
                <w:szCs w:val="20"/>
                <w:color w:val="auto"/>
              </w:rPr>
            </w:pPr>
            <w:r>
              <w:rPr>
                <w:rFonts w:ascii="Arial" w:cs="Arial" w:eastAsia="Arial" w:hAnsi="Arial"/>
                <w:sz w:val="18"/>
                <w:szCs w:val="18"/>
                <w:color w:val="auto"/>
              </w:rPr>
              <w:t>related expenses</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r>
      <w:tr>
        <w:trPr>
          <w:trHeight w:val="243"/>
        </w:trPr>
        <w:tc>
          <w:tcPr>
            <w:tcW w:w="20" w:type="dxa"/>
            <w:vAlign w:val="bottom"/>
          </w:tcPr>
          <w:p>
            <w:pPr>
              <w:spacing w:after="0"/>
              <w:rPr>
                <w:sz w:val="21"/>
                <w:szCs w:val="21"/>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Antibody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w:t>
            </w:r>
          </w:p>
        </w:tc>
      </w:tr>
      <w:tr>
        <w:trPr>
          <w:trHeight w:val="237"/>
        </w:trPr>
        <w:tc>
          <w:tcPr>
            <w:tcW w:w="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Immuno-oncology: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96"/>
              </w:rPr>
              <w:t>development expenses - Discovery Agreement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29"/>
        </w:trPr>
        <w:tc>
          <w:tcPr>
            <w:tcW w:w="20" w:type="dxa"/>
            <w:vAlign w:val="bottom"/>
          </w:tcPr>
          <w:p>
            <w:pPr>
              <w:spacing w:after="0"/>
              <w:rPr>
                <w:sz w:val="19"/>
                <w:szCs w:val="19"/>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320"/>
              <w:spacing w:after="0"/>
              <w:rPr>
                <w:sz w:val="20"/>
                <w:szCs w:val="20"/>
                <w:color w:val="auto"/>
              </w:rPr>
            </w:pPr>
            <w:r>
              <w:rPr>
                <w:rFonts w:ascii="Arial" w:cs="Arial" w:eastAsia="Arial" w:hAnsi="Arial"/>
                <w:sz w:val="18"/>
                <w:szCs w:val="18"/>
                <w:color w:val="auto"/>
              </w:rPr>
              <w:t>development expenses - License and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20"/>
              <w:spacing w:after="0"/>
              <w:rPr>
                <w:sz w:val="20"/>
                <w:szCs w:val="20"/>
                <w:color w:val="auto"/>
              </w:rPr>
            </w:pPr>
            <w:r>
              <w:rPr>
                <w:rFonts w:ascii="Arial" w:cs="Arial" w:eastAsia="Arial" w:hAnsi="Arial"/>
                <w:sz w:val="18"/>
                <w:szCs w:val="18"/>
                <w:color w:val="auto"/>
              </w:rPr>
              <w:t>Collaboration Agreement</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37"/>
        </w:trPr>
        <w:tc>
          <w:tcPr>
            <w:tcW w:w="2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383.1</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400"/>
          </w:cols>
          <w:pgMar w:left="240" w:top="130" w:right="1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lower reimbursement of antibody research and development costs in the first half of 2017, compared to the same period in 2016, was primarily due to decreased reimbursement levels for Dupixent (dupilumab) subsequent to the receipt of the first positive Phase 3 trial results, and U.S. regulatory approval, in accordance with the terms of our collaboration agreement.</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or commercializing, as applicable, Praluent, Kevzara, and Dupixent.</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the three and six months ended June 30, 2017 and 2016, we and Sanofi shared commercial expenses related to Praluent, Kevzara, and Dupixent in accordance with the companies' License and Collaboration Agreement. As such, during the same periods in which we recorded reimbursements from Sanofi related to our commercialization expenses, we also recorded our share of losses in connection with the companies preparing to commercialize or commercializing, as applicable, Praluent, Kevzara, and Dupixent within Sanofi collaboration revenue. During the three and six months ended June 30, 2017, compared to the same periods in 2016, Sanofi collaboration revenues were positively impacted by higher sales of Praluent and Dupixent (see table below) and a decrease in the collaborations' Praluent commercialization expenses, which were offset by an increase in the collaborations' Dupixent and Kevzara commercialization expenses. Sanofi provides us with an estimate of our share of the losses from preparing to commercialize, or commercialization (as applicable), of antibodies for the most recent fiscal quarter; these estimates are reconciled to actual results in the subsequent fiscal quarter, and our portion of the profit or loss is adjusted accordingly, as necessary. Sanofi records product sales for commercialized products.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net product sales recorded by Sanofi:</w:t>
      </w:r>
    </w:p>
    <w:p>
      <w:pPr>
        <w:spacing w:after="0" w:line="200" w:lineRule="exact"/>
        <w:rPr>
          <w:sz w:val="20"/>
          <w:szCs w:val="20"/>
          <w:color w:val="auto"/>
        </w:rPr>
      </w:pP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50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Praluent in the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Praluent outside of the United States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Praluent global</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Dupixent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March 2017, the FDA approved Dupixent for the treatment of adult patients with moderate-to-severe atopic dermatitis. In May 2017, the FDA approved Kevzara for the treatment of rheumatoid arthritis in adult patients, and in June 2017, the European Commission granted marketing authorization for Kevzara for the treatment of rheumatoid arthritis in adult patients.</w:t>
      </w:r>
    </w:p>
    <w:p>
      <w:pPr>
        <w:spacing w:after="0" w:line="2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Sanofi's reimbursement of immuno-oncology research and development costs under our IO Discovery Agreement increased in the second quarter and first half of 2017, compared to the same periods in 2016, primarily due to an increase in pre-clinical research activities for additional product candidates. Sanofi's reimbursement of immuno-oncology research and development costs under our IO License and Collaboration Agreement increased in the second quarter and first half of 2017, compared to the same periods in 2016, as we advanced the REGN2810 clinical program into late-stage development.</w:t>
      </w:r>
    </w:p>
    <w:p>
      <w:pPr>
        <w:spacing w:after="0" w:line="2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2015 in connection with the execution of the IO Collaboration agreements.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3"/>
          </w:tcPr>
          <w:p>
            <w:pPr>
              <w:spacing w:after="0"/>
              <w:rPr>
                <w:sz w:val="20"/>
                <w:szCs w:val="20"/>
                <w:color w:val="auto"/>
              </w:rPr>
            </w:pPr>
            <w:r>
              <w:rPr>
                <w:rFonts w:ascii="Arial" w:cs="Arial" w:eastAsia="Arial" w:hAnsi="Arial"/>
                <w:sz w:val="18"/>
                <w:szCs w:val="18"/>
                <w:i w:val="1"/>
                <w:iCs w:val="1"/>
                <w:color w:val="auto"/>
              </w:rPr>
              <w:t>Bayer Collaboration Revenue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95"/>
        </w:trPr>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1140" w:type="dxa"/>
            <w:vAlign w:val="bottom"/>
          </w:tcPr>
          <w:p>
            <w:pPr>
              <w:spacing w:after="0"/>
              <w:rPr>
                <w:sz w:val="16"/>
                <w:szCs w:val="16"/>
                <w:color w:val="auto"/>
              </w:rPr>
            </w:pPr>
          </w:p>
        </w:tc>
        <w:tc>
          <w:tcPr>
            <w:tcW w:w="44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Collaboration Revenue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gridSpan w:val="3"/>
          </w:tcPr>
          <w:p>
            <w:pPr>
              <w:jc w:val="right"/>
              <w:ind w:right="90"/>
              <w:spacing w:after="0" w:line="194" w:lineRule="exact"/>
              <w:rPr>
                <w:sz w:val="20"/>
                <w:szCs w:val="20"/>
                <w:color w:val="auto"/>
              </w:rPr>
            </w:pPr>
            <w:r>
              <w:rPr>
                <w:rFonts w:ascii="Arial" w:cs="Arial" w:eastAsia="Arial" w:hAnsi="Arial"/>
                <w:sz w:val="18"/>
                <w:szCs w:val="18"/>
                <w:b w:val="1"/>
                <w:bCs w:val="1"/>
                <w:color w:val="auto"/>
                <w:w w:val="87"/>
              </w:rPr>
              <w:t>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4"/>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Six Months Ended June 30,</w:t>
            </w:r>
          </w:p>
        </w:tc>
      </w:tr>
      <w:tr>
        <w:trPr>
          <w:trHeight w:val="48"/>
        </w:trPr>
        <w:tc>
          <w:tcPr>
            <w:tcW w:w="114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7"/>
        </w:trPr>
        <w:tc>
          <w:tcPr>
            <w:tcW w:w="11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1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140" w:type="dxa"/>
            <w:vAlign w:val="bottom"/>
            <w:tcBorders>
              <w:right w:val="single" w:sz="8" w:color="CCEEFF"/>
            </w:tcBorders>
          </w:tcPr>
          <w:p>
            <w:pPr>
              <w:spacing w:after="0"/>
              <w:rPr>
                <w:sz w:val="21"/>
                <w:szCs w:val="21"/>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1140" w:type="dxa"/>
            <w:vAlign w:val="bottom"/>
          </w:tcPr>
          <w:p>
            <w:pPr>
              <w:spacing w:after="0"/>
              <w:rPr>
                <w:sz w:val="19"/>
                <w:szCs w:val="19"/>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420" w:type="dxa"/>
            <w:vAlign w:val="bottom"/>
            <w:gridSpan w:val="2"/>
          </w:tcPr>
          <w:p>
            <w:pPr>
              <w:ind w:left="320"/>
              <w:spacing w:after="0"/>
              <w:rPr>
                <w:sz w:val="20"/>
                <w:szCs w:val="20"/>
                <w:color w:val="auto"/>
              </w:rPr>
            </w:pPr>
            <w:r>
              <w:rPr>
                <w:rFonts w:ascii="Arial" w:cs="Arial" w:eastAsia="Arial" w:hAnsi="Arial"/>
                <w:sz w:val="18"/>
                <w:szCs w:val="18"/>
                <w:color w:val="auto"/>
              </w:rPr>
              <w:t>commercialization of EYLEA outside the United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4420" w:type="dxa"/>
            <w:vAlign w:val="bottom"/>
            <w:gridSpan w:val="2"/>
          </w:tcPr>
          <w:p>
            <w:pPr>
              <w:ind w:left="320"/>
              <w:spacing w:after="0"/>
              <w:rPr>
                <w:sz w:val="20"/>
                <w:szCs w:val="20"/>
                <w:color w:val="auto"/>
              </w:rPr>
            </w:pPr>
            <w:r>
              <w:rPr>
                <w:rFonts w:ascii="Arial" w:cs="Arial" w:eastAsia="Arial" w:hAnsi="Arial"/>
                <w:sz w:val="18"/>
                <w:szCs w:val="18"/>
                <w:color w:val="auto"/>
              </w:rPr>
              <w:t>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190.9</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7"/>
        </w:trPr>
        <w:tc>
          <w:tcPr>
            <w:tcW w:w="1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1140" w:type="dxa"/>
            <w:vAlign w:val="bottom"/>
            <w:tcBorders>
              <w:right w:val="single" w:sz="8" w:color="CCEEFF"/>
            </w:tcBorders>
          </w:tcPr>
          <w:p>
            <w:pPr>
              <w:spacing w:after="0"/>
              <w:rPr>
                <w:sz w:val="19"/>
                <w:szCs w:val="19"/>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Regeneron EYLEA development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1140" w:type="dxa"/>
            <w:vAlign w:val="bottom"/>
            <w:tcBorders>
              <w:right w:val="single" w:sz="8" w:color="CCEEFF"/>
            </w:tcBorders>
          </w:tcPr>
          <w:p>
            <w:pPr>
              <w:spacing w:after="0"/>
              <w:rPr>
                <w:sz w:val="20"/>
                <w:szCs w:val="20"/>
                <w:color w:val="auto"/>
              </w:rPr>
            </w:pPr>
          </w:p>
        </w:tc>
        <w:tc>
          <w:tcPr>
            <w:tcW w:w="4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11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1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1140" w:type="dxa"/>
            <w:vAlign w:val="bottom"/>
            <w:tcBorders>
              <w:right w:val="single" w:sz="8" w:color="CCEEFF"/>
            </w:tcBorders>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r>
      <w:tr>
        <w:trPr>
          <w:trHeight w:val="237"/>
        </w:trPr>
        <w:tc>
          <w:tcPr>
            <w:tcW w:w="11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PDGFR-beta antibody:</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1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1140" w:type="dxa"/>
            <w:vAlign w:val="bottom"/>
            <w:tcBorders>
              <w:right w:val="single" w:sz="8" w:color="CCEEFF"/>
            </w:tcBorders>
          </w:tcPr>
          <w:p>
            <w:pPr>
              <w:spacing w:after="0"/>
              <w:rPr>
                <w:sz w:val="19"/>
                <w:szCs w:val="19"/>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Reimbursement of rinucumab/aflibercept development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1140" w:type="dxa"/>
            <w:vAlign w:val="bottom"/>
            <w:tcBorders>
              <w:right w:val="single" w:sz="8" w:color="CCEEFF"/>
            </w:tcBorders>
          </w:tcPr>
          <w:p>
            <w:pPr>
              <w:spacing w:after="0"/>
              <w:rPr>
                <w:sz w:val="20"/>
                <w:szCs w:val="20"/>
                <w:color w:val="auto"/>
              </w:rPr>
            </w:pPr>
          </w:p>
        </w:tc>
        <w:tc>
          <w:tcPr>
            <w:tcW w:w="4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11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1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1140" w:type="dxa"/>
            <w:vAlign w:val="bottom"/>
            <w:tcBorders>
              <w:right w:val="single" w:sz="8" w:color="CCEEFF"/>
            </w:tcBorders>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PDGFR-beta antibody</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11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Ang2 antibody:</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1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1140" w:type="dxa"/>
            <w:vAlign w:val="bottom"/>
            <w:tcBorders>
              <w:right w:val="single" w:sz="8" w:color="CCEEFF"/>
            </w:tcBorders>
          </w:tcPr>
          <w:p>
            <w:pPr>
              <w:spacing w:after="0"/>
              <w:rPr>
                <w:sz w:val="19"/>
                <w:szCs w:val="19"/>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Reimbursement of nesvacumab/aflibercept development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1140" w:type="dxa"/>
            <w:vAlign w:val="bottom"/>
            <w:tcBorders>
              <w:right w:val="single" w:sz="8" w:color="CCEEFF"/>
            </w:tcBorders>
          </w:tcPr>
          <w:p>
            <w:pPr>
              <w:spacing w:after="0"/>
              <w:rPr>
                <w:sz w:val="20"/>
                <w:szCs w:val="20"/>
                <w:color w:val="auto"/>
              </w:rPr>
            </w:pPr>
          </w:p>
        </w:tc>
        <w:tc>
          <w:tcPr>
            <w:tcW w:w="44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11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1140" w:type="dxa"/>
            <w:vAlign w:val="bottom"/>
            <w:tcBorders>
              <w:right w:val="single" w:sz="8" w:color="CCEEFF"/>
            </w:tcBorders>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 antibody</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1140" w:type="dxa"/>
            <w:vAlign w:val="bottom"/>
          </w:tcPr>
          <w:p>
            <w:pPr>
              <w:spacing w:after="0"/>
              <w:rPr>
                <w:sz w:val="22"/>
                <w:szCs w:val="22"/>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Total Bayer collaboration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371.5</w:t>
            </w:r>
          </w:p>
        </w:tc>
      </w:tr>
      <w:tr>
        <w:trPr>
          <w:trHeight w:val="20"/>
        </w:trPr>
        <w:tc>
          <w:tcPr>
            <w:tcW w:w="1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color w:val="auto"/>
                <w:w w:val="94"/>
              </w:rPr>
              <w:t>Regeneron's Net Profit from EYLEA Sales Outside the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160" w:type="dxa"/>
            <w:vAlign w:val="bottom"/>
          </w:tcPr>
          <w:p>
            <w:pPr>
              <w:spacing w:after="0"/>
              <w:rPr>
                <w:sz w:val="17"/>
                <w:szCs w:val="17"/>
                <w:color w:val="auto"/>
              </w:rPr>
            </w:pPr>
          </w:p>
        </w:tc>
        <w:tc>
          <w:tcPr>
            <w:tcW w:w="2460" w:type="dxa"/>
            <w:vAlign w:val="bottom"/>
            <w:gridSpan w:val="6"/>
          </w:tcPr>
          <w:p>
            <w:pPr>
              <w:ind w:left="40"/>
              <w:spacing w:after="0" w:line="196" w:lineRule="exact"/>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17"/>
                <w:szCs w:val="17"/>
                <w:color w:val="auto"/>
              </w:rPr>
            </w:pPr>
          </w:p>
        </w:tc>
        <w:tc>
          <w:tcPr>
            <w:tcW w:w="2240" w:type="dxa"/>
            <w:vAlign w:val="bottom"/>
            <w:gridSpan w:val="4"/>
          </w:tcPr>
          <w:p>
            <w:pPr>
              <w:jc w:val="right"/>
              <w:ind w:right="30"/>
              <w:spacing w:after="0" w:line="196" w:lineRule="exact"/>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Regeneron's share of collaboration profit from sales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outside the United States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Reimbursement of EYLEA development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incurred by Bayer in accordance with Regeneron's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365.8</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w w:val="96"/>
              </w:rPr>
              <w:t>commercialization of EYLEA outside the United States</w:t>
            </w: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Bayer records revenue from sales of EYLEA outside the United States. Bayer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EYLEA revenue primarily consists of reimbursement of other Regeneron EYLEA expenses, including reimbursements for producing EYLEA commercial supplies for Bayer. In addition, other EYLEA revenue in the first half of 2016 includes Bayer's share of royalties payable to Genentech pursuant to a license and settlement agreement in connection with sales of EYLEA outside the United States; the obligation to pay Genentech royalties on such sales ended in May 2016.</w:t>
      </w:r>
    </w:p>
    <w:p>
      <w:pPr>
        <w:spacing w:after="0" w:line="2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discontinued clinical development of rinucumab/aflibercept in the first quarter of 2017. In March 2016, we entered into an agreement with Bayer governing the joint development and commercialization outside the United States of nesvacumab, an antibody product candidate to Ang2, including in combination with aflibercept, for the treatment of ocular diseases or disorders. In connection with the agreement, Bayer made a $50.0 million non-refundable up-front payment to us, which was recorded as deferred revenue and is being recognized as revenue over the related performance period. Bayer is also obligated to pay 25% of global development costs and 50% of development costs exclusively for the territory outside the United States.</w:t>
      </w:r>
    </w:p>
    <w:p>
      <w:pPr>
        <w:sectPr>
          <w:pgSz w:w="11900" w:h="16838" w:orient="portrait"/>
          <w:cols w:equalWidth="0" w:num="1">
            <w:col w:w="11420"/>
          </w:cols>
          <w:pgMar w:left="240" w:top="130"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0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June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4"/>
        </w:trPr>
        <w:tc>
          <w:tcPr>
            <w:tcW w:w="44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Other Revenue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gridSpan w:val="3"/>
          </w:tcPr>
          <w:p>
            <w:pPr>
              <w:jc w:val="right"/>
              <w:ind w:right="160"/>
              <w:spacing w:after="0" w:line="194" w:lineRule="exact"/>
              <w:rPr>
                <w:sz w:val="20"/>
                <w:szCs w:val="20"/>
                <w:color w:val="auto"/>
              </w:rPr>
            </w:pPr>
            <w:r>
              <w:rPr>
                <w:rFonts w:ascii="Arial" w:cs="Arial" w:eastAsia="Arial" w:hAnsi="Arial"/>
                <w:sz w:val="18"/>
                <w:szCs w:val="18"/>
                <w:b w:val="1"/>
                <w:bCs w:val="1"/>
                <w:color w:val="auto"/>
                <w:w w:val="95"/>
              </w:rPr>
              <w:t>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4"/>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Six Months Ended June 30,</w:t>
            </w: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7"/>
        </w:trPr>
        <w:tc>
          <w:tcPr>
            <w:tcW w:w="44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Teva collaboration revenue: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w w:val="91"/>
              </w:rPr>
              <w:t>Reimbursement of Regeneron research and development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Substantive development milestone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Teva collaboration revenue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other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September 2016, we and Teva entered into a collaboration agreement to develop and commercialize fasinumab. In the second quarter of 2017, we earned, and recognized as revenue, development milestones of $25.0 million and $30.0 million from Teva and MTPC, respectively. The revenue recognized in connection with the MTPC milestone is included in "Other revenue" in the table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13"/>
        </w:trPr>
        <w:tc>
          <w:tcPr>
            <w:tcW w:w="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6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June 30,</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Increase</w:t>
            </w:r>
          </w:p>
        </w:tc>
        <w:tc>
          <w:tcPr>
            <w:tcW w:w="140" w:type="dxa"/>
            <w:vAlign w:val="bottom"/>
          </w:tcPr>
          <w:p>
            <w:pPr>
              <w:spacing w:after="0"/>
              <w:rPr>
                <w:sz w:val="24"/>
                <w:szCs w:val="24"/>
                <w:color w:val="auto"/>
              </w:rPr>
            </w:pPr>
          </w:p>
        </w:tc>
        <w:tc>
          <w:tcPr>
            <w:tcW w:w="2320" w:type="dxa"/>
            <w:vAlign w:val="bottom"/>
            <w:gridSpan w:val="5"/>
          </w:tcPr>
          <w:p>
            <w:pPr>
              <w:spacing w:after="0"/>
              <w:rPr>
                <w:sz w:val="20"/>
                <w:szCs w:val="20"/>
                <w:color w:val="auto"/>
              </w:rPr>
            </w:pPr>
            <w:r>
              <w:rPr>
                <w:rFonts w:ascii="Arial" w:cs="Arial" w:eastAsia="Arial" w:hAnsi="Arial"/>
                <w:sz w:val="18"/>
                <w:szCs w:val="18"/>
                <w:b w:val="1"/>
                <w:bCs w:val="1"/>
                <w:color w:val="auto"/>
                <w:w w:val="98"/>
              </w:rPr>
              <w:t>Six Months Ended June 30,</w:t>
            </w:r>
          </w:p>
        </w:tc>
        <w:tc>
          <w:tcPr>
            <w:tcW w:w="14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Increase</w:t>
            </w:r>
          </w:p>
        </w:tc>
      </w:tr>
      <w:tr>
        <w:trPr>
          <w:trHeight w:val="27"/>
        </w:trPr>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(Decrease)</w:t>
            </w:r>
          </w:p>
        </w:tc>
      </w:tr>
      <w:tr>
        <w:trPr>
          <w:trHeight w:val="27"/>
        </w:trPr>
        <w:tc>
          <w:tcPr>
            <w:tcW w:w="14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14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14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w w:val="98"/>
              </w:rPr>
              <w:t>Cost of collaboration and contract manufacturing</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14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14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0"/>
        </w:trPr>
        <w:tc>
          <w:tcPr>
            <w:tcW w:w="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140" w:type="dxa"/>
            <w:vAlign w:val="bottom"/>
          </w:tcPr>
          <w:p>
            <w:pPr>
              <w:spacing w:after="0"/>
              <w:rPr>
                <w:sz w:val="21"/>
                <w:szCs w:val="21"/>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headcount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r>
      <w:tr>
        <w:trPr>
          <w:trHeight w:val="27"/>
        </w:trPr>
        <w:tc>
          <w:tcPr>
            <w:tcW w:w="14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average headcount in 2017 increased compared to 2016 principally in connection with expanding our manufacturing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Operating expenses included a total of $121.3 million in the second quarter and $255.0 million in the first half of 2017, respectively, and $131.7 million in the second quarter and $273.9 million in the first half of 2016, respectively, of non-cash compensation expense related to employee stock option and restricted stock awards (Non-cash Compensation Expense).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drug filling, packaging, and labeling,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costs to manufacture bulk drug product (including pre-launch commercial supplies which were not capitalized as inventory) at our manufacturing facilities, and other costs related to activities that benefit multiple projects.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306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Research and Development Expenses</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Three Months Ended June 30,</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Increase</w:t>
            </w:r>
          </w:p>
        </w:tc>
        <w:tc>
          <w:tcPr>
            <w:tcW w:w="140" w:type="dxa"/>
            <w:vAlign w:val="bottom"/>
          </w:tcPr>
          <w:p>
            <w:pPr>
              <w:spacing w:after="0"/>
              <w:rPr>
                <w:sz w:val="17"/>
                <w:szCs w:val="17"/>
                <w:color w:val="auto"/>
              </w:rPr>
            </w:pPr>
          </w:p>
        </w:tc>
        <w:tc>
          <w:tcPr>
            <w:tcW w:w="2400" w:type="dxa"/>
            <w:vAlign w:val="bottom"/>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0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2"/>
                <w:szCs w:val="22"/>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290"/>
              <w:spacing w:after="0" w:line="264"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40" w:type="dxa"/>
            <w:vAlign w:val="bottom"/>
          </w:tcPr>
          <w:p>
            <w:pPr>
              <w:spacing w:after="0"/>
              <w:rPr>
                <w:sz w:val="22"/>
                <w:szCs w:val="22"/>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290"/>
              <w:spacing w:after="0" w:line="264"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rPr>
              <w:t>Dupilumab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Praluent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rPr>
              <w:t>REGN2810</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Fasinumab</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rPr>
              <w:t>Suptavumab</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Sarilumab</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rPr>
              <w:t>Other product candidates in clinical</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300"/>
              <w:spacing w:after="0"/>
              <w:rPr>
                <w:sz w:val="20"/>
                <w:szCs w:val="20"/>
                <w:color w:val="auto"/>
              </w:rPr>
            </w:pPr>
            <w:r>
              <w:rPr>
                <w:rFonts w:ascii="Arial" w:cs="Arial" w:eastAsia="Arial" w:hAnsi="Arial"/>
                <w:sz w:val="18"/>
                <w:szCs w:val="18"/>
                <w:color w:val="auto"/>
              </w:rPr>
              <w:t>development and other research</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ind w:left="300"/>
              <w:spacing w:after="0"/>
              <w:rPr>
                <w:sz w:val="20"/>
                <w:szCs w:val="20"/>
                <w:color w:val="auto"/>
              </w:rPr>
            </w:pPr>
            <w:r>
              <w:rPr>
                <w:rFonts w:ascii="Arial" w:cs="Arial" w:eastAsia="Arial" w:hAnsi="Arial"/>
                <w:sz w:val="18"/>
                <w:szCs w:val="18"/>
                <w:color w:val="auto"/>
              </w:rPr>
              <w:t>programs</w:t>
            </w: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direct research and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9"/>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Indirect research and development</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Payroll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rPr>
              <w:t>Clinical manufacturing costs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licensing, and other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w w:val="96"/>
              </w:rPr>
              <w:t>Occupancy and other operating costs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0"/>
              </w:rPr>
              <w:t>Total indirect research and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9"/>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559.9</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1,017.4</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1,030.0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Certain prior year amounts have been reclassified to conform to the current year's presentation</w:t>
      </w:r>
    </w:p>
    <w:p>
      <w:pPr>
        <w:spacing w:after="0" w:line="15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Direct research and development expenses increased for fasinumab and REGN2810 in the second quarter and first half of 2017, compared to the same periods in 2016, primarily due to continued enrollment in clinical studies and the initiation of additional REGN2810 clinical studies. Direct research and development expenses decreased for dupilumab in the first half of 2017, compared to the same period in 2016, as some later-stage clinical studies had been completed. For the three and six months ended June 30, 2016, direct research and development expenses includes the $75.0 million up-front payment made in connection with the April 2016 license and collaboration agreement with Intellia. Research and development expenses included Non-Cash Compensation Expense of $69.5 million and $143.1 million in the second quarter and first half of 2017, respectively, and $79.3 million and $157.4 million in the second quarter and first half of 2016, respectively.</w:t>
      </w:r>
    </w:p>
    <w:p>
      <w:pPr>
        <w:spacing w:after="0" w:line="24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unable to reasonably estimate if our product candidates in clinical development will generate material product revenues and net cash inflows.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Selling, general, and administrative expenses increased in the first half of 2017 compared to the same periods in 2016, primarily due to higher headcount associated with preparing to launch Dupixent and Kevzara and an increase in commercialization-related expenses associated with EYLEA, Dupixent, and Kevzara, partly offset by lower commercialization-related expenses associated with Praluent and lower Non-cash Compensation Expense principally for the reason described under "</w:t>
      </w:r>
      <w:r>
        <w:rPr>
          <w:rFonts w:ascii="Arial" w:cs="Arial" w:eastAsia="Arial" w:hAnsi="Arial"/>
          <w:sz w:val="18"/>
          <w:szCs w:val="18"/>
          <w:i w:val="1"/>
          <w:iCs w:val="1"/>
          <w:color w:val="auto"/>
        </w:rPr>
        <w:t>Expenses</w:t>
      </w:r>
      <w:r>
        <w:rPr>
          <w:rFonts w:ascii="Arial" w:cs="Arial" w:eastAsia="Arial" w:hAnsi="Arial"/>
          <w:sz w:val="18"/>
          <w:szCs w:val="18"/>
          <w:color w:val="auto"/>
        </w:rPr>
        <w:t>" above. Selling, general, and administrative expenses included Non-Cash Compensation Expense of $44.7 million and $98.5 million in the second quarter and first half of 2017, respectively, and $47.7 million and $107.8 million in the second quarter and first half of 2016,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Cost of goods sold decreased in the first half of 2017, compared to the same period in 2016, principally due to the fact that, effective May 2016, we are no longer obligated to pay royalties to Genentech based on U.S. sales of EYLEA. This decrease was partly offset by an increase in Limerick start-up costs. In addition, cost of goods sold included inventory write-offs and reserves totaling $9.1 million and $6.3 million in the first half of 2017 and 2016,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Cost of collaboration and contract manufacturing includes costs we incur in connection with producing commercial drug supplies and validating our commercial facilities in connection with our Sanofi and Bayer collaborations. In addition, cost of collaboration and contract manufacturing in the first half of 2016 included royalties payable to Genentech based on sales of EYLEA outside the United States (which ended in May 2016). Cost of collaboration and contract manufacturing included inventory write-offs and reserves totaling $31.4 million and $40.8 million in the second quarter and first half of 2017, respectively, primarily related to product that no longer met quality specifications. Cost of collaboration and contract manufacturing included inventory write-offs and reserves totaling $3.4 million and $5.4 million in the second quarter and first half of 2016,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Other expenses in the second quarter of 2017 included an out-of-period adjustment resulting in the recognition of a $30.1 million loss on debt extinguishment related to the March 3, 2017 Tarrytown lease transaction. See Note 1 and Note 10 to our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8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Three Months Ended June 30,</w:t>
            </w:r>
          </w:p>
        </w:tc>
        <w:tc>
          <w:tcPr>
            <w:tcW w:w="160" w:type="dxa"/>
            <w:vAlign w:val="bottom"/>
          </w:tcPr>
          <w:p>
            <w:pPr>
              <w:spacing w:after="0"/>
              <w:rPr>
                <w:sz w:val="20"/>
                <w:szCs w:val="20"/>
                <w:color w:val="auto"/>
              </w:rPr>
            </w:pPr>
          </w:p>
        </w:tc>
        <w:tc>
          <w:tcPr>
            <w:tcW w:w="23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244.8</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w w:val="93"/>
              </w:rPr>
              <w:t>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w:t>
            </w:r>
          </w:p>
        </w:tc>
      </w:tr>
    </w:tbl>
    <w:p>
      <w:pPr>
        <w:spacing w:after="0" w:line="1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effective tax rate for the three and six months ended June 30, 2017 and the three months ended June 30, 2016 was positively impacted, compared to the U.S. federal statutory rate, by the tax benefit associated with stock-based compensation, the domestic manufacturing deduction, and the federal tax credit for increased research activities, partly offset by losses incurred in foreign jurisdictions with rates lower than the U.S. federal statutory rate and the non-tax deductible Branded Prescription Drug Fee.</w:t>
      </w:r>
    </w:p>
    <w:p>
      <w:pPr>
        <w:spacing w:after="0" w:line="10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effective tax rate for the first half of 2016 was negatively impacted, compared to the U.S. federal statutory rate, by losses incurred in foreign jurisdictions with rates lower than the U.S. federal statutory rate and the non-tax deductible Branded Prescription</w:t>
      </w:r>
    </w:p>
    <w:p>
      <w:pPr>
        <w:sectPr>
          <w:pgSz w:w="11900" w:h="16838" w:orient="portrait"/>
          <w:cols w:equalWidth="0" w:num="1">
            <w:col w:w="11420"/>
          </w:cols>
          <w:pgMar w:left="240" w:top="13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Drug Fee, partly offset by the tax benefit associated with stock-based compensation, the domestic manufacturing deduction, and the federal tax credit for increased research activities.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48"/>
        </w:trPr>
        <w:tc>
          <w:tcPr>
            <w:tcW w:w="1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500" w:type="dxa"/>
            <w:vAlign w:val="bottom"/>
          </w:tcPr>
          <w:p>
            <w:pPr>
              <w:spacing w:after="0"/>
              <w:rPr>
                <w:sz w:val="23"/>
                <w:szCs w:val="23"/>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3"/>
                <w:szCs w:val="23"/>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(Decrease)</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209.1</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Marketable securities - current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150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Marketable securities - non-current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200.5</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50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r>
      <w:tr>
        <w:trPr>
          <w:trHeight w:val="20"/>
        </w:trPr>
        <w:tc>
          <w:tcPr>
            <w:tcW w:w="150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3,860.1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679.9</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r>
      <w:tr>
        <w:trPr>
          <w:trHeight w:val="237"/>
        </w:trPr>
        <w:tc>
          <w:tcPr>
            <w:tcW w:w="1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892.4</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Additionally, as of June 30, 2017, we had borrowing availability of $750.0 million under a revolving credit facility (see further description under "</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Six Months Ended June 30, 2017 and 2016</w:t>
      </w:r>
    </w:p>
    <w:p>
      <w:pPr>
        <w:spacing w:after="0" w:line="200" w:lineRule="exact"/>
        <w:rPr>
          <w:sz w:val="20"/>
          <w:szCs w:val="20"/>
          <w:color w:val="auto"/>
        </w:rPr>
      </w:pPr>
    </w:p>
    <w:p>
      <w:pPr>
        <w:spacing w:after="0" w:line="237"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3"/>
                <w:szCs w:val="23"/>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(Decrease)</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r>
      <w:tr>
        <w:trPr>
          <w:trHeight w:val="27"/>
        </w:trPr>
        <w:tc>
          <w:tcPr>
            <w:tcW w:w="3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net income of $636.7 million in the first half of 2017 included Non-cash Compensation Expense of $255.0 million. Deferred tax assets as of June 30, 2017 increased by $57.7 million, compared to December 31, 2016, primarily due to Non-cash Compensation Expense. Prepaid expenses and other assets increased by $77.2 million as of June 30, 2017 partially due to the development milestones of $25.0 million and $30.0 million earned from, and billed to, Teva and MTPC, respectively, in connection with the companies' fasinumab collaborations (as described above). Accounts payable, accrued expenses, and other liabilities decreased by $147.2 million as of June 30, 2017, compared to December 31, 2016, primarily due to the payment of income taxes partly offset by higher accruals for sales-related charges (including the Branded Prescription Drug Fee).</w:t>
      </w:r>
    </w:p>
    <w:p>
      <w:pPr>
        <w:spacing w:after="0" w:line="23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net income of $377.6 million in the first half of 2016 included Non-cash Compensation Expense of $273.9 million and the $75.0 million up-front payment made in connection with the April 2016 license and collaboration agreement with Intellia. In addition, deferred tax assets as of June 30, 2016 increased by $162.7 million, compared to December 31, 2015, primarily due to an increase in Non-cash Compensation Expense and deferred revenue. Prepaid expenses and other assets decreased by $57.1 million as of June 30, 2016, compared to December 31, 2015, primarily due to a decrease in prepaid income taxes. Deferred revenue increased by $65.9 million as of June 30, 2016, compared to December 31, 2015, primarily due to $60.0 million of payments received in 2016 from MTPC and the $50.0 million up-front payment from Bayer (as described above), partly offset by the amortization of up-front payments from Sanofi. Accounts payable, accrued expenses, and other liabilities increased by $133.9 million as of June 30, 2016, compared to December 31, 2015, primarily due to higher tax-related liabilities.</w:t>
      </w:r>
    </w:p>
    <w:p>
      <w:pPr>
        <w:sectPr>
          <w:pgSz w:w="11900" w:h="16838" w:orient="portrait"/>
          <w:cols w:equalWidth="0" w:num="1">
            <w:col w:w="11420"/>
          </w:cols>
          <w:pgMar w:left="240" w:top="130"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Capital expenditures were $105.3 million and $242.9 million in the first half of 2017 and 2016, respectively. Capital expenditures in the first half of 2017 primarily included costs in connection with renovations and additions to certain buildings at our Rensselaer, New York and Limerick, Ireland manufacturing facilities, as well as at our Tarrytown, New York laboratory and office facilities. Capital expenditures in the first half of 2016 primarily included costs in connection with renovations of our Limerick, Ireland manufacturing facility, tenant improvement and associated costs at our leased Tarrytown, New York facilities, renovations to certain areas of our Rensselaer, New York manufacturing facilities, the purchase of an office building near our Rensselaer manufacturing facilities, and purchases of equipment. We expect to incur capital expenditures of approximately $145 million to $180 million during the second half of 2017 primarily in connection with continued renovations of our Limerick, Ireland facility, renovating our Tarrytown, New York facilities, and expanding our manufacturing facilities at our Rensselaer, New York facility.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half of 2017, proceeds in connection with capital and facility lease obligations relate to our receipt of $57.0 million in connection with the March 2017 lease transaction as described below under "Tarrytown, New York Leases". In the first half of 2016, we paid an aggregate amount of $242.1 million to warrant holders to reduce the maximum number of shares of Common Stock issuable upon exercise of the warrants. No warrants remained outstanding as of December 31, 2016.</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June 30, 2017.</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June 30,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lease laboratory and office facilities in Tarrytown, New York. On December 30, 2016, we entered into a Purchase Agreement with BMR-Landmark at Eastview LLC and BMR-Landmark at Eastview IV LLC (collectively, BMR), pursuant to which we agreed to purchase BMR's Tarrytown, New York facilities (the Facility) for a purchase price of $720.0 million. We occupy a significant portion of the Facility, with the remaining rentable area under leases to third-party tenants. In accordance with the terms of the Purchase Agreement, we paid $57.0 million toward the purchase price to BMR in December 2016.</w:t>
      </w:r>
    </w:p>
    <w:p>
      <w:pPr>
        <w:spacing w:after="0" w:line="20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3, 2017, we entered into a Participation Agreement with Banc of America Leasing &amp; Capital LLC (BAL), as lessor, and a syndicate of lenders (collectively, the Participants). The Participation Agreement provided for lease financing in connection with the acquisition by BAL of the Facility and our lease of the Facility from BAL. On March 3, 2017, we assigned our right to take title to the Facility under the Purchase Agreement to BAL, and the Participants advanced $720.0 million, which was used by BAL to finance the purchase price for the Facility and to reimburse us for the $57.0 million payment we made to BMR in December 2016.</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3, 2017, we entered into a lease agreement (the Lease) with BAL, pursuant to which we have leased the Facility from BAL for a five-year term. As a result of entering into the lease agreement, certain parts of the Facility became subleased from us by existing third-party tenants. The Lease requires us to pay all maintenance, insurance, taxes, and other costs arising out of the use of the Facility. We are also required to make monthly payments of basic rent during the term of the Lease in an amount equal to a variable rate per annum based on the one-month London Interbank Offered Rate (LIBOR), plus an applicable margin that varies with our debt rating and total leverage ratio.</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June 30,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amount we need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will enable us to meet our projected operating needs for the foreseeable future.</w:t>
      </w:r>
    </w:p>
    <w:p>
      <w:pPr>
        <w:spacing w:after="0" w:line="24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Pursuant to the Antibody Discovery Agreement, as amended, Sanofi is responsible for funding up to $130.0 million of our antibody discovery activities in 2017, which is expected to be fully utilized by the end of the third quarter of 2017. Our Antibody Discovery Agreement with Sanofi will end on December 31, 2017 and, therefore, funding from Sanofi under the Antibody Discovery Agreement will cease after 2017. See "Collaboration Agreements - Collaborations with Sanofi - </w:t>
      </w:r>
      <w:r>
        <w:rPr>
          <w:rFonts w:ascii="Arial" w:cs="Arial" w:eastAsia="Arial" w:hAnsi="Arial"/>
          <w:sz w:val="17"/>
          <w:szCs w:val="17"/>
          <w:i w:val="1"/>
          <w:iCs w:val="1"/>
          <w:color w:val="auto"/>
        </w:rPr>
        <w:t>Antibodies</w:t>
      </w:r>
      <w:r>
        <w:rPr>
          <w:rFonts w:ascii="Arial" w:cs="Arial" w:eastAsia="Arial" w:hAnsi="Arial"/>
          <w:sz w:val="17"/>
          <w:szCs w:val="17"/>
          <w:color w:val="auto"/>
        </w:rPr>
        <w:t>" above for further information.</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anticipate continuing to incur substantial commercialization costs for EYLEA, Dupixent, Praluent, and Kevzara. Commercialization costs over the next few years will depend on, among other things, whether or not our antibody product candidates in later stage clinical development receive regulatory approval, the market potential for product candidates, the commercialization terms of our collaboration agreements, if applicable (whereby commercialization costs may be shared with our collaborators), and whether we may be required to pay additional royalties or share the profits from sales of products pursuant to our license or collaboration agreements or otherwise.</w:t>
      </w:r>
    </w:p>
    <w:p>
      <w:pPr>
        <w:spacing w:after="0" w:line="2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 In addition, as described above under Part II., Item 1, "Legal Proceedings - Proceedings Relating to Praluent (alirocumab) Injection," the United States District Court for the District of Delaware issued a permanent injunction, which was stayed (suspended) pending appeal. If the injunction is upheld on appeal, it would prohibit us and the Sanofi defendants from commercializing Praluent in the United States. If we and Sanofi are not able to commercialize Praluent in the United States, our consolidated financial position, results of operations, and cash flows may be materially impacted.</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15 to our Condensed Consolidated Financial Statements for a summary of recently issued accounting standards.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2016 (filed February 9, 2017).</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We have exposure to market risk for changes in interest rates, including the interest rate risk relating to our March 2017 variable rate Tarrytown, New York lease (as described in Item 2. "Management's Discussion and Analysis of Financial Condition and Results of Operations - Liquidity and Capital Resources - </w:t>
      </w:r>
      <w:r>
        <w:rPr>
          <w:rFonts w:ascii="Arial" w:cs="Arial" w:eastAsia="Arial" w:hAnsi="Arial"/>
          <w:sz w:val="17"/>
          <w:szCs w:val="17"/>
          <w:i w:val="1"/>
          <w:iCs w:val="1"/>
          <w:color w:val="auto"/>
        </w:rPr>
        <w:t>Tarrytown, New York Leases</w:t>
      </w:r>
      <w:r>
        <w:rPr>
          <w:rFonts w:ascii="Arial" w:cs="Arial" w:eastAsia="Arial" w:hAnsi="Arial"/>
          <w:sz w:val="17"/>
          <w:szCs w:val="17"/>
          <w:color w:val="auto"/>
        </w:rPr>
        <w:t>"). Our interest rate exposure is partially offset by our investments in marketable securities. In addition, during the second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2017, we began to further manage our interest rate exposure through the use of derivative instruments. All of our derivative instruments are utilized for risk management purposes, and are not used for trading or speculative purposes. We continue to monitor our interest rate risk and will utilize additional derivative instruments and/or other strategies in the future to further mitigate our interest rate exposure.</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have hedged a portion of our floating interest rate exposure using interest rate swap and interest rate cap contracts (see Note 11 to our Condensed Consolidated Financial Statements). The following table summarizes the notional amounts of our outstanding interest rate swap and cap contracts as of June 30, 2017:</w:t>
      </w:r>
    </w:p>
    <w:p>
      <w:pPr>
        <w:spacing w:after="0" w:line="393" w:lineRule="exact"/>
        <w:rPr>
          <w:sz w:val="20"/>
          <w:szCs w:val="20"/>
          <w:color w:val="auto"/>
        </w:rPr>
      </w:pPr>
    </w:p>
    <w:tbl>
      <w:tblPr>
        <w:tblLayout w:type="fixed"/>
        <w:tblInd w:w="3320" w:type="dxa"/>
        <w:tblCellMar>
          <w:top w:w="0" w:type="dxa"/>
          <w:left w:w="0" w:type="dxa"/>
          <w:bottom w:w="0" w:type="dxa"/>
          <w:right w:w="0" w:type="dxa"/>
        </w:tblCellMar>
      </w:tblPr>
      <w:tr>
        <w:trPr>
          <w:trHeight w:val="234"/>
        </w:trPr>
        <w:tc>
          <w:tcPr>
            <w:tcW w:w="2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Notional Amount</w:t>
            </w:r>
          </w:p>
        </w:tc>
      </w:tr>
      <w:tr>
        <w:trPr>
          <w:trHeight w:val="27"/>
        </w:trPr>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June 30, 2017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From time to time, we are a party to legal proceedings in the course of our business, including those described in our Annual Report on Form 10-K for the year ended December 31, 2016 (filed February 9, 2017), our Quarterly Report on Form 10-Q for the quarterly period ended March 31, 2017 (filed May 4, 2017),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'018 Patent</w:t>
      </w:r>
    </w:p>
    <w:p>
      <w:pPr>
        <w:spacing w:after="0" w:line="14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previously reported, on March 11, 2014, we commenced patent infringement litigation against Merus B.V. in the United States District Court for the Southern District of New York, asserting our U.S. Patent No. 8,502,018 (the '018 Patent), which concerns genetically engineered mice capable of producing chimeric antibodies that are part human and part mouse. On November 21, 2014, the United States District Court for the Southern District of New York issued its Opinion and Order on Claim Construction in the '018 Patent infringement litigation, in which it held the '018 Patent invalid and not infringed. On November 2, 2015, the United States District Court for the Southern District of New York issued an opinion and order finding that the '018 Patent was procured by inequitable conduct, thus rendering it unenforceable. On July 27, 2017, the United States Court of Appeals for the Federal Circuit affirmed the District Court's decision regarding inequitable conduct without deciding the issues of validity and infringement.</w:t>
      </w:r>
    </w:p>
    <w:p>
      <w:pPr>
        <w:sectPr>
          <w:pgSz w:w="11900" w:h="16838" w:orient="portrait"/>
          <w:cols w:equalWidth="0" w:num="1">
            <w:col w:w="11420"/>
          </w:cols>
          <w:pgMar w:left="240" w:top="130"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Praluent (alirocumab) Injection</w:t>
      </w:r>
    </w:p>
    <w:p>
      <w:pPr>
        <w:spacing w:after="0" w:line="27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As previously reported, in the United States, Amgen has asserted a number of U.S. patents, which were subsequently narrowed to U.S. Patent Nos. 8,829,165 (the '165 Patent) and 8,859,741 (the '741 Patent), and seeks a permanent injunction to prevent us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from March 8 to March 16, 2016. During the course of the trial, the court ruled as a matter of law in favor of Amgen that the asserted patent claims were not obvious, and in favor of Regeneron and the Sanofi defendants that there was no willful infringement of the asserted patent claims by Regeneron or the Sanofi defendants. On March 16, 2016, the jury returned a verdict in favor of Amgen, finding that the asserted claims of the '165 and '741 Patents were not invalid based on either a lack of written description or a lack of enablement. On January 3, 2017, the court issued a final opinion and judgment, denying our and the Sanofi defendants' motions for new trial and judgment as a matter of law. The court also denied as moot Amgen's motion to strike our and the Sanofi defendants' request to obtain a judgment as a matter of law, which allows the United States Court of Appeals for the Federal Circuit to address our and the Sanofi defendants' patent invalidity arguments on appeal. On January 12, 2017, we and the Sanofi defendants filed a notice of appeal with the United States Court of Appeals for the Federal Circuit. On January 18, 2017, the United States Court of Appeals for the Federal Circuit ordered an expedited briefing schedule of the appeal on the merits. On April 19, 2017, the United States District Court for the District of Delaware granted Amgen's motion to amend the judgment on an accounting of supplemental damages and enhancement of such damages if deemed appropriate, but deferred the order until after the United States Court of Appeals for the Federal Circuit issues a decision on the appeal. The briefing relating to the appeal to the United States Court of Appeals for the Federal Circuit was completed on March 31, 2017, and oral argument on the appeal was held on June 6, 2017.</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As previously reported, on March 23 and March 24, 2016, the United States District Court for the District of Delaware held a permanent injunction hearing to determine whether Regeneron and the Sanofi defendants should be prohibited from Commercializing Praluent in the United States. On January 5, 2017, the court granted the permanent injunction but delayed its imposition for 30 days (subsequently extended to 45 days) from the date of grant (i.e., until February 21, 2017). On January 13, 2017, we and the Sanofi defendants filed an emergency motion for stay of the permanent injunction pending appeal with the United States Court of Appeals for the Federal Circuit; and, on February 8, 2017, the court granted the stay pending appeal.</w:t>
      </w:r>
    </w:p>
    <w:p>
      <w:pPr>
        <w:spacing w:after="0" w:line="9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previously reported, on September 26, 2016, Amgen filed a lawsuit for infringement of its European Patent No. 2,215,124 (the '124 Patent) in the Tribunal de grande instance in Paris, France against us, Sanofi-Aventis Groupe S.A., Sanofi Winthrop Industrie, and Sanofi Chimie (subsequently added as a defendant). On April 10, 2017, the Company and the Sanofi parties filed briefs seeking invalidation of certain of the claims of the '124 Patent, and Amgen filed a response on July 28, 2017. Oral hearing on this infringement lawsuit is currently scheduled for June 29, 2018.</w:t>
      </w:r>
    </w:p>
    <w:p>
      <w:pPr>
        <w:spacing w:after="0" w:line="9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May 19, 2017, Amgen filed a lawsuit for infringement of Amgen's Japanese Patent Nos. 5,906,333 (the '333 Patent) and 5,705,288 (the '288 Patent) in the Tokyo District Court Civil Division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We have not been named as a defendant in this litigation.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Dupixent (dupilumab) Injection</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previously reported, on March 20, 2017, we, Sanofi-Aventis U.S. LLC, and Genzyme Corporation filed a complaint against Amgen and Immunex Corporation, a wholly owned subsidiary of Amgen, in the United States District Court for the District of Massachusetts seeking a declaratory judgment that our and the other plaintiffs' Commercializing of Dupixent does not directly or indirectly infringe U.S. Patent No. 8,679,487 (the '487 Patent) owned by Immunex Corporation relating to antibodies that bind the human interleukin-4 receptor. On May 1, 2017, we and the other plaintiffs filed a notice of voluntary dismissal of this action without prejudice.</w:t>
      </w:r>
    </w:p>
    <w:p>
      <w:pPr>
        <w:spacing w:after="0" w:line="10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 xml:space="preserve">As previously reported, on March 23, 2017, we, Sanofi-Aventis U.S. LLC, and Genzyme Corporation initiated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 the United States Patent and Trademark Office (USPTO) seeking a declaration of invalidity of the '487 Patent. On July 28 and 31, 2017, the same parties initiated two additional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in the USPTO seeking declarations of invalidity of the '487 Patent based on different grounds.</w:t>
      </w:r>
    </w:p>
    <w:p>
      <w:pPr>
        <w:spacing w:after="0" w:line="8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previously reported, on April 5, 2017, Immunex Corporation filed a complaint against us, Sanofi, Sanofi-Aventis U.S. LLC, Genzyme Corporation, and Aventisub LLC in the United States District Court for the Central District of California seeking a judgment of patent infringement of the '487 Patent and a declaratory judgment of infringement of the '487 Patent, in each case by our and the other defendants' Commercializing of Dupixent; monetary damages (together with interest); an order of willful infringement of the '487 Patent, which would allow the court in its discretion to award damages up to three times the amount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assessed; costs and expenses of the lawsuit; and attorneys' fees. Immunex is not seeking an injunction in this proceeding at this time. On June 21, 2017, the court denied a motion to dismiss Immunex's complaint previously filed by us and the Sanofi parties. On June 28, 2017, we and the Sanofi parties filed an answer to Immunex's complaint and counterclaims against Immunex and Amgen, and Immunex and Amgen filed an answer on July 28, 2017.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Shareholder Derivative Claims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previously reported, on December 30, 2015, an alleged shareholder filed a shareholder derivative complaint in the New York Supreme Court, naming the then current and certain former non-employee members of our board of directors, the Chairman of the board of directors, our Chief Executive Officer, and our Chief Scientific Officer as defendants and Regeneron as a nominal defendant. The complaint asserts that the individual defendants breached their fiduciary duties and were unjustly enriched when they approved and/or received allegedly excessive compensation in 2013 and 2014. On June 28, 2017, the court dismissed the plaintiff's claims with respect to certain compensation awarded in 2013 but denied the defendants' motion to dismiss the other claims set forth in the complaint. Pursuant to our By-Laws and the New York Business Corporation Law, expenses in connection with the foregoing are being advanced by us for the individual defendants.</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previously reported, on or about December 15, 2015, we received a shareholder litigation demand upon our board of directors made by a purported Regeneron shareholder. The demand asserts that the then current and certain former non-employee members of the board of directors and the Chairman of the board of directors excessively compensated themselves in 2013 and 2014. The demand requests that the board of directors investigate and bring legal action against these directors for breach of fiduciary duty, unjust enrichment, and corporate waste, and implement internal controls and systems designed to prohibit and prevent similar actions in the future. Our board of directors is evaluating the impact of the court's decision pertaining to the motion to dismiss discussed above on the board's response to this demand.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are unable to continue to successfully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six months ended June 30, 2017 and 2016, EYLEA net sales in the United States represented 64% and 67%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hanging="328"/>
        <w:spacing w:after="0" w:line="18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differentiate EYLEA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(ranibizumab) and other competitive products, and the willingness of retinal specialists and patients to switch from Lucentis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to EYLEA or to start treatment with EYLEA;</w:t>
      </w:r>
    </w:p>
    <w:p>
      <w:pPr>
        <w:spacing w:after="0" w:line="1"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sufficient coverage of, and reimbursement for, EYLEA by third-party payers, including Medicare and Medicaid in the United States and other government and private payers in the United States and foreign jurisdictions;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w:t>
      </w:r>
    </w:p>
    <w:p>
      <w:pPr>
        <w:spacing w:after="0" w:line="23"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EYLEA is provided in the risk factors below.</w:t>
      </w:r>
    </w:p>
    <w:p>
      <w:pPr>
        <w:spacing w:after="0" w:line="2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and Bayer are 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We and Bayer are subject to significant ongoing regulatory obligations and oversight with respect to EYLEA for its currently approved indications in the United States, EU, and other countries where the product is approved. If we or Bayer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Obtaining and maintaining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 for drug products is costly, time-consuming, and highly uncertain</w:t>
      </w:r>
      <w:r>
        <w:rPr>
          <w:rFonts w:ascii="Arial" w:cs="Arial" w:eastAsia="Arial" w:hAnsi="Arial"/>
          <w:sz w:val="18"/>
          <w:szCs w:val="18"/>
          <w:color w:val="auto"/>
        </w:rPr>
        <w:t>"), EYLEA marketing approval may be withdrawn, which would materially harm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8"/>
          <w:szCs w:val="18"/>
          <w:i w:val="1"/>
          <w:iCs w:val="1"/>
          <w:color w:val="auto"/>
        </w:rPr>
        <w:t>If we fail to meet the stringent requirements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 below.</w:t>
      </w:r>
    </w:p>
    <w:p>
      <w:pPr>
        <w:spacing w:after="0" w:line="24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6"/>
          <w:szCs w:val="16"/>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A reduction in the availability or extent of reimbursement from U.S. government programs could have a material adverse effect on the sales of EYLEA. Economic pressure on state budgets may also have a similar impact.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 commercialization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market for eye disease products is very competitive. For example, Novartis AG and Genentech/Roche are collaborating on the 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and mCNV. Competitors are also exploring the development of a biosimilar version of Lucentis; in particular, Pfenex Inc. is developing PF582 (a Phase 1b/2a trial in patients with wet AMD has been completed), Formycon AG (in collaboration with Bioeq GmbH) is developing FYB201 (currently in a Phase 3 trial in patients with wet AMD), and Samsung Bioepis is developing SB11 (currently in a Phase 3 trial in patients with wet AMD).</w:t>
      </w:r>
    </w:p>
    <w:p>
      <w:pPr>
        <w:spacing w:after="0" w:line="23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6"/>
          <w:szCs w:val="16"/>
          <w:color w:val="auto"/>
        </w:rPr>
        <w:t>Other competitive or potentially competitive products include Allergan, Plc's Ozurdex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(dexamethasone) (approved by the FDA for the treatment of macular edema following RVO and for the treatment of DME) and Alimera Sciences, Inc's Iluvien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(fluocinolone ophthalmic implant)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announced in June 2017 that two Phase 3 studies of RTH258 met their primary endpoint of non-inferiority to EYLEA. Allergan is developing abicipar pegol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Ang2). Genentech/Roche is developing a bi-specific antibody (RG7716) targeting both VEGF and Ang2 for wet AMD and DME (currently in Phase 2 trials for both indications). Competitors are also developing eye-drop formulations, oral therapies, and gene/cell therapies for various indications that, if approved, would compete with EYLEA in one or more of its currently approved indications.</w:t>
      </w:r>
    </w:p>
    <w:p>
      <w:pPr>
        <w:spacing w:after="0" w:line="23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addition, ophthalmologists are using off-label, third-party repackaged versions of Genentech/Roche's approved VEGF antagonist, Avastin, for the treatment of wet AMD, DME, and RVO. The relatively low cost of therapy with repackaged Avastin presents a significant competitive challenge in these indications. Competitors (including Amgen) are also developing a biosimilar version of Avastin. Long-term, controlled clinical trials comparing Lucentis to Avastin in the treatment of wet AMD are being conducted. One-year data from the Comparison of Age-Related Macular Degeneration Treatments Trial (CATT) were reported in April 2011 and indicated that Avastin dosed monthly was non-inferior to Lucentis dosed monthly in the primary efficacy endpoint of mean visual acuity gain at 52 weeks. Two-year data from CATT were reported in April 2012 and indicated that monthly Avastin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was non-inferior to monthly Lucentis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 is also being evaluated in eye diseases in trials that have been initiated in the United Kingdom, Canada, Brazil, Mexico, Germany, Israel, and other countries. Furthermore, Lucentis and off-label use of repackaged Avastin present significant competitive challenges as doctors and patients have had significant experience using these medicines. Moreover, the reported results of the CATT study, combined with the relatively low cost of repackaged Avastin in treating patients, may exacerbate the competitive challenge which EYLEA faces in the eye indications for which it is approved.</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and there is a risk that third parties may attempt to repackage ZALTRAP for off-label use and sale for the treatment of wet AMD and other diseases of the eye, which would present a potential low-cost competitive threat to EYLEA for its approved indications. We are aware of claims by third parties, including those based on published clinical data, that ZALTRAP (ziv-aflibercept) may be safely administered to the eye.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See also "Risks Related to Commercialization of Products - </w:t>
      </w:r>
      <w:r>
        <w:rPr>
          <w:rFonts w:ascii="Arial" w:cs="Arial" w:eastAsia="Arial" w:hAnsi="Arial"/>
          <w:sz w:val="18"/>
          <w:szCs w:val="18"/>
          <w:i w:val="1"/>
          <w:iCs w:val="1"/>
          <w:color w:val="auto"/>
        </w:rPr>
        <w:t>We may be unsuccessful in continuing the commercialization of our marketed products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Arial" w:cs="Arial" w:eastAsia="Arial" w:hAnsi="Arial"/>
          <w:sz w:val="18"/>
          <w:szCs w:val="18"/>
          <w:color w:val="auto"/>
        </w:rPr>
        <w:t>" below.</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 with Bayer for commercializing EYLEA.</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Under the terms of our license and collaboration agreement with Bayer (which is terminable by Bayer at any time upon six or twelve months' advance notice, depending on the circumstances giving rise to termination), we rely on Bayer for sales, marketing, and distribution of EYLEA in countries outside the United States. If we and Bayer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collaboration agreement would create substantial new and additional risks to the successful commercialization of EYLEA, particularly outside the United States. For additional information regarding our collaboration with Bayer, see "Risks Related to Our Reliance on Third Parties - </w:t>
      </w:r>
      <w:r>
        <w:rPr>
          <w:rFonts w:ascii="Arial" w:cs="Arial" w:eastAsia="Arial" w:hAnsi="Arial"/>
          <w:sz w:val="18"/>
          <w:szCs w:val="18"/>
          <w:i w:val="1"/>
          <w:iCs w:val="1"/>
          <w:color w:val="auto"/>
        </w:rPr>
        <w:t>If our collaboration with</w:t>
      </w:r>
      <w:r>
        <w:rPr>
          <w:rFonts w:ascii="Arial" w:cs="Arial" w:eastAsia="Arial" w:hAnsi="Arial"/>
          <w:sz w:val="18"/>
          <w:szCs w:val="18"/>
          <w:color w:val="auto"/>
        </w:rPr>
        <w:t xml:space="preserve"> </w:t>
      </w:r>
      <w:r>
        <w:rPr>
          <w:rFonts w:ascii="Arial" w:cs="Arial" w:eastAsia="Arial" w:hAnsi="Arial"/>
          <w:sz w:val="18"/>
          <w:szCs w:val="18"/>
          <w:i w:val="1"/>
          <w:iCs w:val="1"/>
          <w:color w:val="auto"/>
        </w:rPr>
        <w:t>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8"/>
          <w:szCs w:val="18"/>
          <w:color w:val="auto"/>
        </w:rPr>
        <w:t>" below.</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of EYLEA recorded by us and Bayer could be reduced by imports from countries where EYLEA may be available at lower prices.</w:t>
      </w:r>
    </w:p>
    <w:p>
      <w:pPr>
        <w:spacing w:after="0" w:line="29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sales of EYLEA in the United States and Bayer's sales of EYLEA in other countries may be reduced if EYLEA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Prices for EYLEA in territories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Bayer's sales, thereby adversely affecting our results of operations. In addition, there are proposals to legalize the import of pharmaceuticals from outside the United States into the United States. If such proposals were implemented, our future revenues derived from EYLEA sales could be reduced.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Antibody-based Products (Dupixent, Praluent, and Kevzara)</w:t>
      </w:r>
    </w:p>
    <w:p>
      <w:pPr>
        <w:spacing w:after="0" w:line="283" w:lineRule="exact"/>
        <w:rPr>
          <w:sz w:val="20"/>
          <w:szCs w:val="20"/>
          <w:color w:val="auto"/>
        </w:rPr>
      </w:pPr>
    </w:p>
    <w:p>
      <w:pPr>
        <w:ind w:firstLine="135"/>
        <w:spacing w:after="0" w:line="277" w:lineRule="auto"/>
        <w:rPr>
          <w:sz w:val="20"/>
          <w:szCs w:val="20"/>
          <w:color w:val="auto"/>
        </w:rPr>
      </w:pPr>
      <w:r>
        <w:rPr>
          <w:rFonts w:ascii="Arial" w:cs="Arial" w:eastAsia="Arial" w:hAnsi="Arial"/>
          <w:sz w:val="18"/>
          <w:szCs w:val="18"/>
          <w:b w:val="1"/>
          <w:bCs w:val="1"/>
          <w:i w:val="1"/>
          <w:iCs w:val="1"/>
          <w:color w:val="auto"/>
        </w:rPr>
        <w:t>If we or Sanofi are unable to successfully commercialize Dupixent, Praluent, or Kevzara, our business, prospects, operating results, and financial condition may be materially harmed.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expect that the commercial success of Dupixent, Praluent, and Kevzara will depend on many factors, including the following (as applicable):</w:t>
      </w:r>
    </w:p>
    <w:p>
      <w:pPr>
        <w:spacing w:after="0" w:line="156"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these products,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ind w:left="660" w:hanging="328"/>
        <w:spacing w:after="0" w:line="20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and Sanofi's ability to differentiate these products from competitive products (including, in the case of Kevzara, Genentech/Roche's Actemra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(tocilizumab) and, in the case of Praluent, Amgen's Repatha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(evolocumab)), as well as product candidates currently in clinical development;</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Dupixent (described further in Part II, Item 1. "Legal Proceedings" of our Quarterly Report on Form 10-Q for the quarterly period ended March 31, 2017 and this report), and other risks relating to Dupixent associated with intellectual property of other parties and pending or future litigation relating thereto, as discussed under "Risks Related to Intellectual Property and Market Exclusivity" below;</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Praluent initiated by Amgen against us and Sanofi (described further in Part I, Item 3. "Legal Proceedings" of our Annual Report on Form 10-K for the year ended December 31, 2016 and Part II, Item 1. "Legal Proceedings" of our Quarterly Report on Form 10-Q for the quarterly period ended March 31, 2017 and this report), and other risks relating to Praluent associated with intellectual property of other parties and pending or future litigation relating thereto, as discussed under "Risks Related to Intellectual Property and Market Exclusivity" below;</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sufficient coverage of, and reimbursement for, these products by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payer restrictions on eligible patient populations and the reimbursement process, both in the United States and abroad;</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results of post-approval studies, whether conducted by us or by others and whether mandated by regulatory agencies or voluntary (including, in the case of Praluent, the ongoing ODYSSEY OUTCOMES trial prospectively assessing the potential of Praluent to demonstrate cardiovascular benefit), and studies of other products that could implicate an entire class of products or are perceived to do so;</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these products;</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these products with parties who perform fill/finish or other steps in the manufacture of these products to ensure that they meet our standards and those of regulatory authorities, including the FDA, which extensively regulate and monitor pharmaceutical manufacturing facilities.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More detailed information about the risks related to the commercialization of Dupixent, Praluent, and Kevzara is provided in the risk factors below.</w:t>
      </w:r>
    </w:p>
    <w:p>
      <w:pPr>
        <w:spacing w:after="0" w:line="29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Sanofi are subject to significant ongoing regulatory obligations and oversight with respect to Dupixent, Praluent, and Kevzara. If we or Sanofi fail to maintain regulatory compliance for Dupixent, Praluent, or Kevzara, the applicable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We and Sanofi are subject to significant ongoing regulatory obligations and oversight with respect to Dupixent, Praluent, and Kevzara for their currently approved indications in the United States, EU, and other countries. If we or Sanofi fail to maintain regulatory compliance for Dupixent, Praluent, or Kevzara for the currently approved indications (including because the product does not meet the relevant endpoints of any required post-approval studies, such as, in the case of Praluent,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 approval for drug products is costly, time-consuming, and highly uncertain</w:t>
      </w:r>
      <w:r>
        <w:rPr>
          <w:rFonts w:ascii="Arial" w:cs="Arial" w:eastAsia="Arial" w:hAnsi="Arial"/>
          <w:sz w:val="17"/>
          <w:szCs w:val="17"/>
          <w:color w:val="auto"/>
        </w:rPr>
        <w:t xml:space="preserve">"), the applicable marketing approval may be 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Dupixent, Praluent, or Kevzara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Dupixent, Praluent, or Kevzara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w:t>
      </w:r>
      <w:r>
        <w:rPr>
          <w:rFonts w:ascii="Arial" w:cs="Arial" w:eastAsia="Arial" w:hAnsi="Arial"/>
          <w:sz w:val="16"/>
          <w:szCs w:val="16"/>
          <w:color w:val="auto"/>
        </w:rPr>
        <w:t xml:space="preserve"> </w:t>
      </w:r>
      <w:r>
        <w:rPr>
          <w:rFonts w:ascii="Arial" w:cs="Arial" w:eastAsia="Arial" w:hAnsi="Arial"/>
          <w:sz w:val="16"/>
          <w:szCs w:val="16"/>
          <w:i w:val="1"/>
          <w:iCs w:val="1"/>
          <w:color w:val="auto"/>
        </w:rPr>
        <w:t>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Sales of Dupixent, Praluent, and Kevzara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17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in the United States of Dupixent, Praluent, and Kevzara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Dupixent, Praluent, and Kevzara in other countries are dependent, in large part, on similar reimbursement mechanisms and programs in those countries.</w:t>
      </w:r>
    </w:p>
    <w:p>
      <w:pPr>
        <w:spacing w:after="0" w:line="241"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Dupixent, Praluent, and Kevzara. If Dupixent, Praluent, or Kevzara is not included within an adequate number of formularies, adequate reimbursement levels are not provided, the eligible insured patient population for Dupixent, Praluent, or Kevzara is limited, or a key payer refuses to provide reimbursement for Dupixent, Praluent, or Kevzara in a particular jurisdiction altogether, this could have a material adverse effect on our and Sanofi's ability to commercialize the applicable product.</w:t>
      </w:r>
    </w:p>
    <w:p>
      <w:pPr>
        <w:spacing w:after="0" w:line="232"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7"/>
          <w:szCs w:val="17"/>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Dupixent, Praluent, and Kevzara. Since Dupixent, Praluent, and Kevzara are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the applicable product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7"/>
          <w:szCs w:val="17"/>
          <w:i w:val="1"/>
          <w:iCs w:val="1"/>
          <w:color w:val="auto"/>
        </w:rPr>
        <w:t>The successful commercialization of our marketed products, as well as our late-stage product candidates or new</w:t>
      </w:r>
      <w:r>
        <w:rPr>
          <w:rFonts w:ascii="Arial" w:cs="Arial" w:eastAsia="Arial" w:hAnsi="Arial"/>
          <w:sz w:val="17"/>
          <w:szCs w:val="17"/>
          <w:color w:val="auto"/>
        </w:rPr>
        <w:t xml:space="preserve"> </w:t>
      </w:r>
      <w:r>
        <w:rPr>
          <w:rFonts w:ascii="Arial" w:cs="Arial" w:eastAsia="Arial" w:hAnsi="Arial"/>
          <w:sz w:val="17"/>
          <w:szCs w:val="17"/>
          <w:i w:val="1"/>
          <w:iCs w:val="1"/>
          <w:color w:val="auto"/>
        </w:rPr>
        <w:t>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 below.</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Dupixent, Praluent, and Kevzara is subject to strong competition.</w:t>
      </w:r>
    </w:p>
    <w:p>
      <w:pPr>
        <w:spacing w:after="0" w:line="279" w:lineRule="exact"/>
        <w:rPr>
          <w:sz w:val="20"/>
          <w:szCs w:val="20"/>
          <w:color w:val="auto"/>
        </w:rPr>
      </w:pPr>
    </w:p>
    <w:p>
      <w:pPr>
        <w:jc w:val="both"/>
        <w:ind w:firstLine="216"/>
        <w:spacing w:after="0" w:line="227" w:lineRule="auto"/>
        <w:rPr>
          <w:sz w:val="20"/>
          <w:szCs w:val="20"/>
          <w:color w:val="auto"/>
        </w:rPr>
      </w:pPr>
      <w:r>
        <w:rPr>
          <w:rFonts w:ascii="Arial" w:cs="Arial" w:eastAsia="Arial" w:hAnsi="Arial"/>
          <w:sz w:val="18"/>
          <w:szCs w:val="18"/>
          <w:color w:val="auto"/>
        </w:rPr>
        <w:t>There is significant actual and potential future competition for Dupixent. A number of companies are developing antibodies that, if approved, may compete with Dupixent in its current or potential future indications, including Roche (an antibody against IL-13), AstraZeneca PLC (antibodies against IL-4R, IL-5R, and IL-13), Galderma S.A. (an antibody against IL-31R), and Amgen (in collaboration with AstraZeneca) (an antibody against thymic stromal lymphopoietin, or TSLP). GSK's Nucala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(mepolizumab) and Teva's Cinqair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(reslizumab), both of which are antibodies against IL-5, may also compete with Dupixent in its current or potential future indications. We are also aware of companies developing or marketing small molecules that may compete with Dupixent in its current or potential future indications. These include Pfizer Inc.'s Eucrisa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(crisaborole), a topical ointment that competes with Dupixent in the atopic dermatitis indication.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color w:val="auto"/>
        </w:rPr>
        <w:t>There also is significant actual and potential future competition for Praluent. Amgen's PCSK9 program is currently the most advanced of the competitors, having already received regulatory approvals in jurisdictions including the U.S., the EU, and Japan for its PCSK9 inhibitor Repatha. Amgen may obtain marketing approval for Repatha in one or more additional countries before Praluent is approved in those countries. Other companies with development programs for injectables against PCSK9 include Alnylam Pharmaceuticals, Inc. (in collaboration with The Medicines Company), which has a clinical program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Certain late-stage inhibitors of cholesterylester transfer protein (CETP), such as Merck &amp; Co., Inc's anacetrapib, lower LDL-C and may be launched with supporting data from outcomes trials prior to the completion of our own outcomes trial for Praluent. Other oral agents for lowering LDL-C that may potentially compete with Praluent include bempedoic acid, which is being developed by Esperion Therapeutics, Inc.; and gemcabene, which is being developed by Gemphire Therapeutics, Inc.</w:t>
      </w:r>
    </w:p>
    <w:p>
      <w:pPr>
        <w:spacing w:after="0" w:line="223" w:lineRule="exact"/>
        <w:rPr>
          <w:sz w:val="20"/>
          <w:szCs w:val="20"/>
          <w:color w:val="auto"/>
        </w:rPr>
      </w:pPr>
    </w:p>
    <w:p>
      <w:pPr>
        <w:jc w:val="both"/>
        <w:ind w:firstLine="216"/>
        <w:spacing w:after="0" w:line="306" w:lineRule="auto"/>
        <w:rPr>
          <w:sz w:val="20"/>
          <w:szCs w:val="20"/>
          <w:color w:val="auto"/>
        </w:rPr>
      </w:pPr>
      <w:r>
        <w:rPr>
          <w:rFonts w:ascii="Arial" w:cs="Arial" w:eastAsia="Arial" w:hAnsi="Arial"/>
          <w:sz w:val="16"/>
          <w:szCs w:val="16"/>
          <w:color w:val="auto"/>
        </w:rPr>
        <w:t>Kevzara also faces competition from actual and potential future products. Genentech/Roche is marketing an antibody against IL-6R (Actemra) for the treatment of rheumatoid arthritis that competes with Kevzara. In addition, several other companies, including Johnson &amp; Johnson, Alder Biopharmaceuticals, Inc. (in collaboration with Vitaeris Inc.), Ablynx, R-Pharm, and Bird Rock Bio, Inc. have antibodies against IL-6 or IL-6R in clinical development. Further, oral, small-molecule JAK inhibitors such as Pfizer's Xeljanz</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(tofacitinib) and Eli Lilly's Olumiant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(baricitinib) may pose a competitive threat for Kevzara.</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Antibody Collaboration with Sanofi for commercializing Dupixent, Praluent, and Kevzara.</w:t>
      </w:r>
    </w:p>
    <w:p>
      <w:pPr>
        <w:spacing w:after="0" w:line="27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accordance with the terms of our Antibody Collaboration with Sanofi, we have elected to co-promote Dupixent, Kevzara, and Praluent with Sanofi in the United States. As such, we continue to rely in part on Sanofi's sales and marketing organization in the United States. If we and Sanofi fail to coordinate our United States sales and marketing efforts effectively, sales of Dupixent, Praluent, or Kevzara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Arial" w:cs="Arial" w:eastAsia="Arial" w:hAnsi="Arial"/>
          <w:sz w:val="17"/>
          <w:szCs w:val="17"/>
          <w:i w:val="1"/>
          <w:iCs w:val="1"/>
          <w:color w:val="auto"/>
        </w:rPr>
        <w:t>e.g.</w:t>
      </w:r>
      <w:r>
        <w:rPr>
          <w:rFonts w:ascii="Arial" w:cs="Arial" w:eastAsia="Arial" w:hAnsi="Arial"/>
          <w:sz w:val="17"/>
          <w:szCs w:val="17"/>
          <w:color w:val="auto"/>
        </w:rPr>
        <w:t xml:space="preserve">, is responsible for regulatory filings and negotiations relating to such products and product candidates) in the United States, and may lead negotiations with payors relating to such products and product candidates. We also rely on Sanofi for sales, marketing, and distribution of Dupixent, Praluent, and Kevzara in countries outside the United States. If we or Sanofi are unsuccessful in commercializing Dupixent, Praluent, or Kevzara,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Dupixent, Praluent, and Kevzara. Therefore, termination of our Antibody Collaboration would create substantial new and additional risks to the successful commercialization of Dupixent, Praluent, and Kevzara, particularly outside the United States. For additional information regarding our Antibody Collaboration with Sanofi, see "Risks Related to Our Reliance on Third Parties - </w:t>
      </w:r>
      <w:r>
        <w:rPr>
          <w:rFonts w:ascii="Arial" w:cs="Arial" w:eastAsia="Arial" w:hAnsi="Arial"/>
          <w:sz w:val="17"/>
          <w:szCs w:val="17"/>
          <w:i w:val="1"/>
          <w:iCs w:val="1"/>
          <w:color w:val="auto"/>
        </w:rPr>
        <w:t>If any of our collaborations with Sanofi is terminated, our business, prospects, operating results,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our ability to discover, develop, manufacture, and commercialize our pipeline of product candidates in the time expected, or at all, would be materially harmed</w:t>
      </w:r>
      <w:r>
        <w:rPr>
          <w:rFonts w:ascii="Arial" w:cs="Arial" w:eastAsia="Arial" w:hAnsi="Arial"/>
          <w:sz w:val="17"/>
          <w:szCs w:val="17"/>
          <w:color w:val="auto"/>
        </w:rPr>
        <w:t>" below.</w:t>
      </w:r>
    </w:p>
    <w:p>
      <w:pPr>
        <w:spacing w:after="0" w:line="23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Sales of Dupixent, Praluent, and Kevzara recorded by Sanofi could be reduced by imports from countries where these products may be available at lower prices.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Sales of Dupixent, Praluent, and Kevzara recorded by Sanofi in the United States and other countries (which impact our share of any profits or losses from the commercialization of these products under our Antibody Collaboration with Sanofi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Dupixent, Praluent, and Kevzara outside the United States is the responsibility of Sanofi. Prices for Dupixent, Praluent, and Kevzara in territories outside the United States are based on local market economics and competition and are likely to differ from country to country. In the United States, prices for pharmaceuticals are generally higher than in the bordering nations of Canada and Mexico and sales of Dupixent, Praluent, and Kevzara in the United States that are recorded by Sanofi may be reduced if the applicable product marketed in those bordering nations is imported into the United States. Parallel-trading practices also are of particular relevance to the EU, where they have been encouraged by the current regulatory framework. These types of imports may exert pressure on the pricing of Dupixent, Praluent, and Kevzara in a particular market or the sales recorded by Sanofi, thereby adversely affecting our results of operations. In addition, there are proposals to legalize the import of pharmaceuticals from outside the United States into the United States. If such proposals were implemented, our future revenues derived from Dupixent, Praluent, or Kevzara sales could be reduced.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example, on October 28, 2016, the FDA issued a Complete Response Letter relating to the BLA for Kevzara, which referred to certain deficiencies identified during a routine cGMP inspection of the Sanofi facility in Le Trait, France where Kevzara is filled and finished; while the BLA for Kevzara has since been approved by the FDA, this delayed the FDA approval of Kevzara. For additional information, see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 products or product</w:t>
      </w:r>
      <w:r>
        <w:rPr>
          <w:rFonts w:ascii="Arial" w:cs="Arial" w:eastAsia="Arial" w:hAnsi="Arial"/>
          <w:sz w:val="16"/>
          <w:szCs w:val="16"/>
          <w:color w:val="auto"/>
        </w:rPr>
        <w:t xml:space="preserve"> </w:t>
      </w:r>
      <w:r>
        <w:rPr>
          <w:rFonts w:ascii="Arial" w:cs="Arial" w:eastAsia="Arial" w:hAnsi="Arial"/>
          <w:sz w:val="16"/>
          <w:szCs w:val="16"/>
          <w:i w:val="1"/>
          <w:iCs w:val="1"/>
          <w:color w:val="auto"/>
        </w:rPr>
        <w:t>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Our business, prospects, operating results,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condition may be materially harmed as a result of noncompliance with the requirements and regulations described in this paragraph.</w:t>
      </w:r>
    </w:p>
    <w:p>
      <w:pPr>
        <w:spacing w:after="0" w:line="22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desired indication(s) would preclude the successful development of those candidates for such indication(s), in which event our business, prospects, operating results, and financial condition may be materially harmed.</w:t>
      </w:r>
    </w:p>
    <w:p>
      <w:pPr>
        <w:spacing w:after="0" w:line="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Furthermore, some of our product candidates (such as REGN2810)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September 2016, we reported that in the Phase 2 study evaluating aflibercept co-formulated with rinucumab, an antibody to Platelet Derived Growth Factor Receptor Beta (PDGFR-beta), in patients with wet AMD, the combination therapy did not demonstrate an improvement in best corrected visual acuity compared to intravitreal aflibercept injection monotherapy at 12 weeks.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3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additional indications, and aflibercept is being studied as a combination product.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further development and/or commercialization of aflibercept.</w:t>
      </w:r>
    </w:p>
    <w:p>
      <w:pPr>
        <w:spacing w:after="0" w:line="23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Dupilumab is being studied in additional indications, including atopic dermatitis in adolescent and pediatric patients, asthma in adults and adolescents, nasal polyps, and eosinophilic esophagitis. There is no guarantee that marketing approval of dupilumab in any of these indications will be successfully obtained. The side effects previously reported for dupilumab include hypersensitivity reactions, conjunctivitis and keratitis, injection-site reactions, eye and eyelid inflammation, and cold sores. These and other complications or side effects could harm further development and/or commercialization of dupilumab.</w:t>
      </w:r>
    </w:p>
    <w:p>
      <w:pPr>
        <w:spacing w:after="0" w:line="20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reactions, immunogenicity, demyelination, and changes in neurocognitive function.</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including Dupixent, Praluent, or Kevzara.</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38"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color w:val="auto"/>
        </w:rPr>
        <w:t>Many of our products (including Dupixent, Praluent, and Kevzara) are used and, if approved, some of our product candidates may be used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1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and our European Patent No. 2,264,163 is, the subject of opposition proceedings in the EPO, as described in Part I, Item 3. "Legal Proceedings" of our Annual Report on Form 10-K for the year ended December 31, 2016. We have pending patent applications in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reexamination under the America Invents Act of 2011 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37"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patents and other intellectual property. For example, we are currently party to patent infringement proceedings initiated by Amgen against us and Sanofi relating to Praluent, as described in Part I, Item 3. "Legal Proceedings" of our Annual Report on Form 10-K for the year ended December 31, 2016 and Part II, Item 1. "Legal Proceedings" of our Quarterly Report on Form 10-Q for the quarterly period ended March 31, 2017 and this report; and patent infringement proceedings relating to Dupixent, as described in Part II, Item 1. "Legal Proceedings" of our Quarterly Report on Form 10-Q for the quarterly period ended March 31, 2017 and this report. In addition, we are currently party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Part I, Item 3. "Legal Proceedings" of our Annual Report on Form 10-K for the year ended December 31, 2016 and Part II, Item 1. "Legal Proceedings" of our Quarterly Report on Form 10-Q for the quarterly period ended March 31, 2017 and this report (as applicable).</w:t>
      </w:r>
    </w:p>
    <w:p>
      <w:pPr>
        <w:spacing w:after="0" w:line="2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and Kevzara (sarilumab), our late-stage antibody-based pipeline includes suptavumab, an antibody targeting RSV-F; fasinumab, an antibody to NGF; and REGN2810, an antibody to PD-1, intended for the treatment of certain cancer indications including advanced cutaneous squamous cell carcinoma. With respect to Dupixent, we are aware of certain patents owned by Immunex Corporation, a wholly owned subsidiary of Amgen. These patents include U.S. Patent No. 8,679,487 (currently subject to the patent infringement proceedings described in Part II, Item 1. "Legal Proceedings" of our Quarterly Report on Form 10-Q for the quarterly period ended March 31, 2017 and this report) and European Patent No. 2,292,665 (the '665 Patent) and are generally directed to antibodies that bind to IL-4R. On September 30, 2016, Sanofi initiated a revocation proceeding to invalidate the U.K. counterpart of the '665 Patent in the United Kingdom. At the joint request of the parties to the revocation proceeding, the U.K. Patents Court ordered on January 30, 2017 that the revocation action be stayed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pending the final determination of the currently pending EPO opposition proceedings initiated by us and Sanofi in relation to the '665 Patent. The original patent term of the Immunex patents is set to expire in 2021.</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Although we do not believe that any of our late-stage antibody-based product candidates infringes any valid claim in these patents or patent applications, these other parties could initiate lawsuits for patent infringement and assert that their patents are valid and cover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and Kevzara and, if approved, our product candidates or other indications for our marketed products,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our current marketed products, including EYLEA, Dupixent, Praluent, and Kevzara, and (b) our antibody-based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antibody-based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and Kevzara, and could also delay or require us to discontinue one or more of our clinical development programs. As a result, our business, prospects, operating results, and financial condition could be materially harmed.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ability to continue to manufacture products in our Rensselaer, New York facilities and at additional facilities (such as the Limerick, Ireland facility)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32"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sales of EYLEA, Dupixent, Praluent, or Kevzara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2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have large-scale manufacturing operations in Rensselaer, New York and are in the process of building a large-scale manufacturing facility in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20"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or commercial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Dupixent, Praluent, Kevzara,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a description of additional risks relating specifically to the commercialization of EYLEA, Dupixent, Praluent, and Kevzara, see above under "Risks Related to Commercialization of EYLEA" and "Risks Related to Commercialization of Our Antibody-based Products (Dupixent, Praluent, and Kevzara)" (as applicable).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There is also significant actual and potential future competition for Dupixent, Praluent, and Kevzara, as described in greater detail above under "Risks Related to Commercialization of Our Antibody-based Products (Dupixent, Praluent, and Kevzara) - </w:t>
      </w:r>
      <w:r>
        <w:rPr>
          <w:rFonts w:ascii="Arial" w:cs="Arial" w:eastAsia="Arial" w:hAnsi="Arial"/>
          <w:sz w:val="18"/>
          <w:szCs w:val="18"/>
          <w:i w:val="1"/>
          <w:iCs w:val="1"/>
          <w:color w:val="auto"/>
        </w:rPr>
        <w:t>The commercial success of Dupixent, Praluent, and</w:t>
      </w:r>
      <w:r>
        <w:rPr>
          <w:rFonts w:ascii="Arial" w:cs="Arial" w:eastAsia="Arial" w:hAnsi="Arial"/>
          <w:sz w:val="18"/>
          <w:szCs w:val="18"/>
          <w:color w:val="auto"/>
        </w:rPr>
        <w:t xml:space="preserve"> </w:t>
      </w:r>
      <w:r>
        <w:rPr>
          <w:rFonts w:ascii="Arial" w:cs="Arial" w:eastAsia="Arial" w:hAnsi="Arial"/>
          <w:sz w:val="18"/>
          <w:szCs w:val="18"/>
          <w:i w:val="1"/>
          <w:iCs w:val="1"/>
          <w:color w:val="auto"/>
        </w:rPr>
        <w:t>Kevzara is subject to strong 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23" w:lineRule="auto"/>
        <w:rPr>
          <w:sz w:val="20"/>
          <w:szCs w:val="20"/>
          <w:color w:val="auto"/>
        </w:rPr>
      </w:pPr>
      <w:r>
        <w:rPr>
          <w:rFonts w:ascii="Arial" w:cs="Arial" w:eastAsia="Arial" w:hAnsi="Arial"/>
          <w:sz w:val="18"/>
          <w:szCs w:val="18"/>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For RSV, AstraZeneca (in collaboration with AbbVie Inc.) commercializes an antibody against RSV-F protein, Synagis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(palivizumab); and other antibodies are in clinical development, including by Sanofi Pasteur SA (in collaboration with AstraZeneca). We are also aware of several companies developing or marketing small molecules that may compete with our antibody-based product candidates in various indications, if such product candidates obtain regulatory approval in those indications. For REGN2810, there are several competitors that are marketing or developing antibodies against PD-1 and/or PDL-1, including Bristol-Myers Squibb Company (Opdivo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(nivolumab)), Merck (Keytruda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(pembrolizumab)), Roche (Tecentriq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(atezolizumab)), AstraZeneca (Imfinzi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(durvalumab)), Pfizer (Bavencio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(avelumab)), Novartis (PDR001), and TESARO, Inc. (TSR-042).</w:t>
      </w:r>
    </w:p>
    <w:p>
      <w:pPr>
        <w:spacing w:after="0" w:line="26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ectPr>
          <w:pgSz w:w="11900" w:h="16838" w:orient="portrait"/>
          <w:cols w:equalWidth="0" w:num="1">
            <w:col w:w="11420"/>
          </w:cols>
          <w:pgMar w:left="240" w:top="130"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0"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products, we must, among other things, maintain our FDA registration and our National Drug Code, maintain formulary approval by pharmacy benefits managers, and maintain recognition by insurance companies and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4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PPACA and a related reconciliation bill were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three months ended June 30, 2017, product sales to three customers accounted on a combined basis for 99% of our total gross product revenue.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5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For additional risks relating to commercialization of EYLEA, Dupixent, Praluent, and Kevzara outside the United States, see also "Risks Related to Commercialization of EYLEA - </w:t>
      </w:r>
      <w:r>
        <w:rPr>
          <w:rFonts w:ascii="Arial" w:cs="Arial" w:eastAsia="Arial" w:hAnsi="Arial"/>
          <w:sz w:val="18"/>
          <w:szCs w:val="18"/>
          <w:i w:val="1"/>
          <w:iCs w:val="1"/>
          <w:color w:val="auto"/>
        </w:rPr>
        <w:t>We rely on our collaboration with Bayer for commercializing EYLEA</w:t>
      </w:r>
      <w:r>
        <w:rPr>
          <w:rFonts w:ascii="Arial" w:cs="Arial" w:eastAsia="Arial" w:hAnsi="Arial"/>
          <w:sz w:val="18"/>
          <w:szCs w:val="18"/>
          <w:color w:val="auto"/>
        </w:rPr>
        <w:t xml:space="preserve">" and "Risks Related to Commercialization of Our Antibody-based Products (Dupixent, Praluent, and Kevzara) - </w:t>
      </w:r>
      <w:r>
        <w:rPr>
          <w:rFonts w:ascii="Arial" w:cs="Arial" w:eastAsia="Arial" w:hAnsi="Arial"/>
          <w:sz w:val="18"/>
          <w:szCs w:val="18"/>
          <w:i w:val="1"/>
          <w:iCs w:val="1"/>
          <w:color w:val="auto"/>
        </w:rPr>
        <w:t>We rely on our Antibody Collaboration with Sanofi for commercializing Dupixent, Praluent,</w:t>
      </w:r>
      <w:r>
        <w:rPr>
          <w:rFonts w:ascii="Arial" w:cs="Arial" w:eastAsia="Arial" w:hAnsi="Arial"/>
          <w:sz w:val="18"/>
          <w:szCs w:val="18"/>
          <w:color w:val="auto"/>
        </w:rPr>
        <w:t xml:space="preserve"> </w:t>
      </w:r>
      <w:r>
        <w:rPr>
          <w:rFonts w:ascii="Arial" w:cs="Arial" w:eastAsia="Arial" w:hAnsi="Arial"/>
          <w:sz w:val="18"/>
          <w:szCs w:val="18"/>
          <w:i w:val="1"/>
          <w:iCs w:val="1"/>
          <w:color w:val="auto"/>
        </w:rPr>
        <w:t>and Kevzara</w:t>
      </w:r>
      <w:r>
        <w:rPr>
          <w:rFonts w:ascii="Arial" w:cs="Arial" w:eastAsia="Arial" w:hAnsi="Arial"/>
          <w:sz w:val="18"/>
          <w:szCs w:val="18"/>
          <w:color w:val="auto"/>
        </w:rPr>
        <w:t>" (as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current U.S. administration and Congress could carry out significant changes in legislation, regulation, and government policy (including with respect to the possible repeal of all or portions of the PPACA, possible government reimbursement changes, possible changes in the existing treaty and trade relationships with other countries, and tax reform), as evidenced by statements and recent actions of the current president.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For example, on June 23, 2016, the United Kingdom held a referendum in which voters approved an exit from the EU, commonly referred to as "Brexit." As a result of the referendum, the British government has begun negotiating the terms of the United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Kingdom's future relationship with the EU.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and research collaborations outside the U.S. (such as RGC's collaboration with U.K. Biobank and GSK) may implicate international data protection laws, including the EU Data Protection Directive and legislation of the EU member states implementing it. Our activities outside the U.S. impose additional compliance requirements and generate additional risks of enforcement for noncompliance. Failure by our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rely heavily on funding from Sanofi to support certain research and development programs, including our immuno-oncology research and development programs. Sanofi has committed to reimburse us for up to (i) $130.0 million of the costs of our efforts to identify and validate drug discovery targets and pre-clinically develop fully human monoclonal antibodies against such targets under our Antibody Discovery Agreement in 2017 and (ii) $825.0 million of the costs of our efforts to identify and validate potential immuno-oncology targets and develop fully-human therapeutic antibodies against such targets under the IO Discovery and Development Agreement over the term of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Dupixent, Praluent, and Kevzara)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antibody-based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3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antibody-based products. For example, Sanofi has elected not to continue co-development of fasinumab, suptavumab, and trevogrumab, and decided not to opt in to the evinacumab and other programs. In addition, after 2017, we will be required to fund our antibody discovery activities and the research and preclinical development activities of our drug candidates, as Sanofi’s funding obligations under the Antibody Discovery Agreement will cease.</w:t>
      </w:r>
    </w:p>
    <w:p>
      <w:pPr>
        <w:spacing w:after="0" w:line="23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If Sanofi terminates the License and Collaboration Agreement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(see also "Risks Related to Commercialization of Products -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we need to establish commercial capabilities outside the United States and are unable to do so, our business, prospects, operating results, and financial condition may be adversely affected</w:t>
      </w:r>
      <w:r>
        <w:rPr>
          <w:rFonts w:ascii="Arial" w:cs="Arial" w:eastAsia="Arial" w:hAnsi="Arial"/>
          <w:sz w:val="16"/>
          <w:szCs w:val="16"/>
          <w:color w:val="auto"/>
        </w:rPr>
        <w:t>" above). Termination of the License and Collaboration Agreement would create substantial new and additional risks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successful development and commercialization of Dupixent, Praluent, and Kevzara, particularly outside the United States.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We rely heavily on Bayer to assist with the development, and particularly the commercialization outside the United States, of EYLEA. Under our agreement with them, Bayer is required to fund approximately half of the development expenses incurred by both companies in connection with the global EYLEA development program. As the EYLEA program continues, we will continue to rely on Bayer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has responsibility for selling EYLEA outside the United States using its sales force and, in Japan, in cooperation with Santen Pharmaceuticals Co. Ltd. pursuant to a Co-Promotion and Distribution Agreement with Bayer's Japanese affiliate. We cannot assure you that regulatory approvals will be received for EYLEA in additional indications outside the United States or that EYLEA will be successfully commercialized outside the United States. If Bayer and, in Japan, Santen do not perform their obligations in a timely manner, or at all, our ability to develop, manufacture, and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6"/>
          <w:szCs w:val="16"/>
          <w:i w:val="1"/>
          <w:iCs w:val="1"/>
          <w:color w:val="auto"/>
        </w:rPr>
        <w:t>If we need to establish commercial capabilities outside the United States and are unable to do so, our business, prospects,</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and financial condition may be adversely affected</w:t>
      </w:r>
      <w:r>
        <w:rPr>
          <w:rFonts w:ascii="Arial" w:cs="Arial" w:eastAsia="Arial" w:hAnsi="Arial"/>
          <w:sz w:val="16"/>
          <w:szCs w:val="16"/>
          <w:color w:val="auto"/>
        </w:rPr>
        <w:t>" above). Termination of the Bayer collaboration agreement would create substantial new</w:t>
      </w:r>
      <w:r>
        <w:rPr>
          <w:rFonts w:ascii="Arial" w:cs="Arial" w:eastAsia="Arial" w:hAnsi="Arial"/>
          <w:sz w:val="16"/>
          <w:szCs w:val="16"/>
          <w:i w:val="1"/>
          <w:iCs w:val="1"/>
          <w:color w:val="auto"/>
        </w:rPr>
        <w:t xml:space="preserve"> </w:t>
      </w:r>
      <w:r>
        <w:rPr>
          <w:rFonts w:ascii="Arial" w:cs="Arial" w:eastAsia="Arial" w:hAnsi="Arial"/>
          <w:sz w:val="16"/>
          <w:szCs w:val="16"/>
          <w:color w:val="auto"/>
        </w:rPr>
        <w:t>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depend upon third-party collaborators, including Sanofi, Bayer,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our President and Chief Scientific Officer; and Neil Stahl, Ph.D., our Executive Vice President, Research and Development. As we continue to commercialize EYLEA, Dupixent, Praluent, and Kevzara and, assuming the receipt of required regulatory approvals, other products,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2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$720.0 million lease financing for our existing corporate headquarters and other rentable area consisting of approximately 170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30" w:right="239" w:bottom="1440" w:gutter="0" w:footer="0" w:header="0"/>
          <w:type w:val="continuous"/>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June 30, 2017, we had $744.3 million in cash and cash equivalents and $1,588.2 million in marketable securities (including $60.4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product sales of our marketed products, in particular EYLEA and Dupixent, as well as our overall operating results;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and Dupixent;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w:t>
      </w:r>
      <w:r>
        <w:rPr>
          <w:rFonts w:ascii="Arial" w:cs="Arial" w:eastAsia="Arial" w:hAnsi="Arial"/>
          <w:sz w:val="16"/>
          <w:szCs w:val="16"/>
          <w:color w:val="auto"/>
        </w:rPr>
        <w:t xml:space="preserve"> </w:t>
      </w:r>
      <w:r>
        <w:rPr>
          <w:rFonts w:ascii="Arial" w:cs="Arial" w:eastAsia="Arial" w:hAnsi="Arial"/>
          <w:sz w:val="16"/>
          <w:szCs w:val="16"/>
          <w:i w:val="1"/>
          <w:iCs w:val="1"/>
          <w:color w:val="auto"/>
        </w:rPr>
        <w:t>our 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As a result, the public float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June 30, 2017, our five largest shareholders plus Dr. Schleifer, our Chief Executive Officer, beneficially owned approximately 48.2% of our outstanding shares of Common Stock, assuming, in the case of our Chief Executive Officer, the conversion of his Class A Stock into Common Stock and the exercise of all options held by him which are exercisable within 60 days of June 30, 2017. As of June 30, 2017, Sanofi beneficially owned 23,641,744 shares of our Common Stock, representing approximately 22.5%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June 30, 2017, holders of Class A Stock held 15.4%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2017:</w:t>
      </w:r>
    </w:p>
    <w:p>
      <w:pPr>
        <w:spacing w:after="0" w:line="232" w:lineRule="exact"/>
        <w:rPr>
          <w:sz w:val="20"/>
          <w:szCs w:val="20"/>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10.6% of our outstanding shares of Common Stock, assuming conversion of their Class A Stock into Common Stock and the exercise of all options held by such persons which are exercisable within 60 days of June 30, 2017, and 21.7% of the combined voting power of our outstanding shares of Common Stock and Class A Stock, assuming the exercise of all options held by such persons which are exercisable within 60 days of June 30, 2017;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48.2% of our outstanding shares of Common Stock, assuming, in the case of our Chief Executive Officer, the conversion of his Class A Stock into Common Stock and the exercise of all options held by him which are exercisable within 60 days of June 30, 2017. In addition, these five shareholders plus our Chief Executive Officer held approximately 53.9% of the combined voting power of our outstanding shares of Common Stock and Class A Stock, assuming the exercise of all options held by our Chief Executive Officer which are exercisable within 60 days of June 30, 2017.</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once Sanofi reaches 20% ownership of our outstanding shares of Class A Stock and Common Stock (taken together) (which, as noted below, occurred in April 2014),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outstanding shares of Class A Stock and Common Stock (taken together) and (ii) 25% of our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an initial director designee. Following the election and subsequent resignation of the initial designee, in January 2017, the board of directors elected N. Anthony Coles, M.D. as a successor Sanofi designee. Dr. Coles has been elected as a Class II director and his current term expires at the 2020 annual shareholder meeting.</w:t>
      </w:r>
    </w:p>
    <w:p>
      <w:pPr>
        <w:spacing w:after="0" w:line="232"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in control" of us and could adversely affect the price of our Common Stock.</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under our 2016 ANG2 license and collaboration agreement with Bayer,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5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6"/>
          <w:szCs w:val="16"/>
          <w:i w:val="1"/>
          <w:iCs w:val="1"/>
          <w:color w:val="auto"/>
        </w:rPr>
        <w:t>Our existing shareholders may be able to exert significant influence over matters requiring shareholder</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 and over our management</w:t>
      </w:r>
      <w:r>
        <w:rPr>
          <w:rFonts w:ascii="Arial" w:cs="Arial" w:eastAsia="Arial" w:hAnsi="Arial"/>
          <w:sz w:val="16"/>
          <w:szCs w:val="16"/>
          <w:color w:val="auto"/>
        </w:rPr>
        <w:t>," a Sanofi designee has in the past served, and a successor Sanofi designee currently serves, on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These contractual provisions may also have the effect of deterring, delaying, or preventing an acquisition or other change in control.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one of our long-term incentive plans in the second quarter of 2017.</w:t>
      </w:r>
    </w:p>
    <w:p>
      <w:pPr>
        <w:spacing w:after="0" w:line="356"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Shares (or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Units)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Purchased as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Publicly</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Shares (or</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Paid per Share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(or Unit)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58"/>
        </w:trPr>
        <w:tc>
          <w:tcPr>
            <w:tcW w:w="2000" w:type="dxa"/>
            <w:vAlign w:val="bottom"/>
          </w:tcPr>
          <w:p>
            <w:pPr>
              <w:jc w:val="right"/>
              <w:ind w:right="210"/>
              <w:spacing w:after="0"/>
              <w:rPr>
                <w:sz w:val="20"/>
                <w:szCs w:val="20"/>
                <w:color w:val="auto"/>
              </w:rPr>
            </w:pPr>
            <w:r>
              <w:rPr>
                <w:rFonts w:ascii="Arial" w:cs="Arial" w:eastAsia="Arial" w:hAnsi="Arial"/>
                <w:sz w:val="18"/>
                <w:szCs w:val="18"/>
                <w:color w:val="auto"/>
              </w:rPr>
              <w:t>6/1/2017-6/30/2017</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472.21</w:t>
            </w:r>
          </w:p>
        </w:tc>
        <w:tc>
          <w:tcPr>
            <w:tcW w:w="120" w:type="dxa"/>
            <w:vAlign w:val="bottom"/>
          </w:tcPr>
          <w:p>
            <w:pPr>
              <w:spacing w:after="0"/>
              <w:rPr>
                <w:sz w:val="24"/>
                <w:szCs w:val="24"/>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PDGF Agreement with Bayer</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July 31, 2017, we and Bayer HealthCare LLC (Bayer) agreed to terminate the License and Collaboration Agreement, dated as of January 10, 2014 (the PDGF Agreement). The PDGF Agreement governed our collaboration with Bayer for the joint development and commercialization outside the United States of antibody product candidates to PDGFR-beta, including in combination with aflibercept, for the treatment of ocular diseases or disorders. As we previously reported, in a Phase 2 study evaluating rinucumab (an antibody to PDGFR-beta) co-formulated with aflibercept in patients with wet AMD, the combination therapy did not demonstrate an improvement in best corrected visual acuity compared to intravitreal aflibercept injection monotherapy at 12 weeks, and the clinical development of this combination therapy was discontinued.</w:t>
      </w:r>
    </w:p>
    <w:p>
      <w:pPr>
        <w:spacing w:after="0" w:line="23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This termination does not impact our other collaborations with Bayer or its affiliated entities, including the 2006 license and collaboration agreement for the global development and commercialization outside the United States of EYLEA (as amended) and the 2016 license and collaboration agreement governing the joint development and commercialization of nesvacumab (an antibody product candidate to Ang2) (see Part I, Item 2. "Management's Discussion and Analysis of Financial Condition and Results of Operations - Collaboration Agreements - Collaborations with Bayer").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700" w:type="dxa"/>
            <w:vAlign w:val="bottom"/>
            <w:gridSpan w:val="3"/>
          </w:tcPr>
          <w:p>
            <w:pPr>
              <w:spacing w:after="0"/>
              <w:rPr>
                <w:sz w:val="16"/>
                <w:szCs w:val="16"/>
                <w:color w:val="auto"/>
              </w:rPr>
            </w:pPr>
          </w:p>
        </w:tc>
        <w:tc>
          <w:tcPr>
            <w:tcW w:w="880" w:type="dxa"/>
            <w:vAlign w:val="bottom"/>
          </w:tcPr>
          <w:p>
            <w:pPr>
              <w:spacing w:after="0"/>
              <w:rPr>
                <w:sz w:val="16"/>
                <w:szCs w:val="16"/>
                <w:color w:val="auto"/>
              </w:rPr>
            </w:pPr>
          </w:p>
        </w:tc>
        <w:tc>
          <w:tcPr>
            <w:tcW w:w="7860" w:type="dxa"/>
            <w:vAlign w:val="bottom"/>
          </w:tcPr>
          <w:p>
            <w:pPr>
              <w:spacing w:after="0"/>
              <w:rPr>
                <w:sz w:val="16"/>
                <w:szCs w:val="16"/>
                <w:color w:val="auto"/>
              </w:rPr>
            </w:pPr>
          </w:p>
        </w:tc>
      </w:tr>
      <w:tr>
        <w:trPr>
          <w:trHeight w:val="655"/>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351"/>
        </w:trPr>
        <w:tc>
          <w:tcPr>
            <w:tcW w:w="186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473"/>
        </w:trPr>
        <w:tc>
          <w:tcPr>
            <w:tcW w:w="8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Number</w:t>
            </w:r>
          </w:p>
        </w:tc>
        <w:tc>
          <w:tcPr>
            <w:tcW w:w="87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8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7860" w:type="dxa"/>
            <w:vAlign w:val="bottom"/>
          </w:tcPr>
          <w:p>
            <w:pPr>
              <w:spacing w:after="0"/>
              <w:rPr>
                <w:sz w:val="4"/>
                <w:szCs w:val="4"/>
                <w:color w:val="auto"/>
              </w:rPr>
            </w:pPr>
          </w:p>
        </w:tc>
      </w:tr>
      <w:tr>
        <w:trPr>
          <w:trHeight w:val="242"/>
        </w:trPr>
        <w:tc>
          <w:tcPr>
            <w:tcW w:w="860" w:type="dxa"/>
            <w:vAlign w:val="bottom"/>
            <w:tcBorders>
              <w:right w:val="single" w:sz="8" w:color="CCEEFF"/>
            </w:tcBorders>
          </w:tcPr>
          <w:p>
            <w:pPr>
              <w:spacing w:after="0"/>
              <w:rPr>
                <w:sz w:val="21"/>
                <w:szCs w:val="21"/>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8"/>
              </w:rPr>
              <w:t>Amended and Restated Regeneron Pharmaceuticals, Inc. 2014 Long-Term Incentive Plan. (Incorporated by</w:t>
            </w:r>
          </w:p>
        </w:tc>
      </w:tr>
      <w:tr>
        <w:trPr>
          <w:trHeight w:val="237"/>
        </w:trPr>
        <w:tc>
          <w:tcPr>
            <w:tcW w:w="860" w:type="dxa"/>
            <w:vAlign w:val="bottom"/>
            <w:tcBorders>
              <w:right w:val="single" w:sz="8" w:color="CCEEFF"/>
            </w:tcBorders>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reference from the Registration Statement on Form S-8 for Regeneron Pharmaceuticals, Inc. filed June 12, 2017.)</w:t>
            </w:r>
          </w:p>
        </w:tc>
      </w:tr>
      <w:tr>
        <w:trPr>
          <w:trHeight w:val="243"/>
        </w:trPr>
        <w:tc>
          <w:tcPr>
            <w:tcW w:w="1420" w:type="dxa"/>
            <w:vAlign w:val="bottom"/>
            <w:gridSpan w:val="3"/>
          </w:tcPr>
          <w:p>
            <w:pPr>
              <w:ind w:left="86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3"/>
              </w:rPr>
              <w:t>Certification of Principal Executive Officer pursuant to Rule 13a-14(a) under the Securities Exchange Act of 1934.</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Certification of Principal Financial Officer pursuant to Rule 13a-14(a) under the Securities Exchange Act of 1934.</w:t>
            </w:r>
          </w:p>
        </w:tc>
      </w:tr>
      <w:tr>
        <w:trPr>
          <w:trHeight w:val="243"/>
        </w:trPr>
        <w:tc>
          <w:tcPr>
            <w:tcW w:w="1160" w:type="dxa"/>
            <w:vAlign w:val="bottom"/>
            <w:gridSpan w:val="2"/>
          </w:tcPr>
          <w:p>
            <w:pPr>
              <w:ind w:left="8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7"/>
              </w:rPr>
              <w:t>Certification of Principal Executive Officer and Principal Financial Officer pursuant to 18 U.S.C. Section 1350.</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101</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Interactive Data File</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Instance Document</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Document</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w:t>
            </w:r>
          </w:p>
        </w:tc>
      </w:tr>
      <w:tr>
        <w:trPr>
          <w:trHeight w:val="243"/>
        </w:trPr>
        <w:tc>
          <w:tcPr>
            <w:tcW w:w="1420" w:type="dxa"/>
            <w:vAlign w:val="bottom"/>
            <w:gridSpan w:val="3"/>
          </w:tcPr>
          <w:p>
            <w:pPr>
              <w:ind w:left="860"/>
              <w:spacing w:after="0"/>
              <w:rPr>
                <w:sz w:val="20"/>
                <w:szCs w:val="20"/>
                <w:color w:val="auto"/>
              </w:rPr>
            </w:pPr>
            <w:r>
              <w:rPr>
                <w:rFonts w:ascii="Arial" w:cs="Arial" w:eastAsia="Arial" w:hAnsi="Arial"/>
                <w:sz w:val="18"/>
                <w:szCs w:val="18"/>
                <w:color w:val="auto"/>
                <w:w w:val="89"/>
              </w:rPr>
              <w:t>______</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60" w:type="dxa"/>
            <w:vAlign w:val="bottom"/>
          </w:tcPr>
          <w:p>
            <w:pPr>
              <w:spacing w:after="0"/>
              <w:rPr>
                <w:sz w:val="21"/>
                <w:szCs w:val="21"/>
                <w:color w:val="auto"/>
              </w:rPr>
            </w:pPr>
          </w:p>
        </w:tc>
      </w:tr>
    </w:tbl>
    <w:p>
      <w:pPr>
        <w:spacing w:after="0" w:line="134" w:lineRule="exact"/>
        <w:rPr>
          <w:sz w:val="20"/>
          <w:szCs w:val="20"/>
          <w:color w:val="auto"/>
        </w:rPr>
      </w:pPr>
    </w:p>
    <w:p>
      <w:pPr>
        <w:ind w:left="5620" w:right="3840" w:hanging="4153"/>
        <w:spacing w:after="0" w:line="941" w:lineRule="auto"/>
        <w:tabs>
          <w:tab w:leader="none" w:pos="16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79</w:t>
      </w:r>
    </w:p>
    <w:p>
      <w:pPr>
        <w:sectPr>
          <w:pgSz w:w="11900" w:h="16838" w:orient="portrait"/>
          <w:cols w:equalWidth="0" w:num="1">
            <w:col w:w="10600"/>
          </w:cols>
          <w:pgMar w:left="240" w:top="118" w:right="10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August 3, 2017</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4" w:name="page85"/>
    <w:bookmarkEnd w:id="84"/>
    <w:p>
      <w:pPr>
        <w:ind w:left="3240" w:right="4319" w:hanging="4035"/>
        <w:spacing w:after="0" w:line="387" w:lineRule="auto"/>
        <w:tabs>
          <w:tab w:leader="none" w:pos="322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6"/>
          <w:szCs w:val="16"/>
          <w:u w:val="single" w:color="auto"/>
          <w:color w:val="auto"/>
        </w:rPr>
        <w:t xml:space="preserve">/s/ Robert E. Landry </w:t>
      </w:r>
      <w:r>
        <w:rPr>
          <w:rFonts w:ascii="Arial" w:cs="Arial" w:eastAsia="Arial" w:hAnsi="Arial"/>
          <w:sz w:val="16"/>
          <w:szCs w:val="16"/>
          <w:color w:val="auto"/>
        </w:rPr>
        <w:t>Robert E. Landry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Senior Vice President, Finance and Chief</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2017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3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3, 2017</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3, 2017</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lvl w:ilvl="1">
      <w:lvlJc w:val="left"/>
      <w:lvlText w:val="(%2)"/>
      <w:numFmt w:val="lowerLetter"/>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Ÿ"/>
      <w:numFmt w:val="bullet"/>
      <w:start w:val="1"/>
    </w:lvl>
  </w:abstractNum>
  <w:abstractNum w:abstractNumId="11">
    <w:nsid w:val="628C895D"/>
    <w:multiLevelType w:val="hybridMultilevel"/>
    <w:lvl w:ilvl="0">
      <w:lvlJc w:val="left"/>
      <w:lvlText w:val="Ÿ"/>
      <w:numFmt w:val="bullet"/>
      <w:start w:val="1"/>
    </w:lvl>
  </w:abstractNum>
  <w:abstractNum w:abstractNumId="12">
    <w:nsid w:val="333AB105"/>
    <w:multiLevelType w:val="hybridMultilevel"/>
    <w:lvl w:ilvl="0">
      <w:lvlJc w:val="left"/>
      <w:lvlText w:val="Ÿ"/>
      <w:numFmt w:val="bullet"/>
      <w:start w:val="1"/>
    </w:lvl>
  </w:abstractNum>
  <w:abstractNum w:abstractNumId="13">
    <w:nsid w:val="721DA317"/>
    <w:multiLevelType w:val="hybridMultilevel"/>
    <w:lvl w:ilvl="0">
      <w:lvlJc w:val="left"/>
      <w:lvlText w:val="Ÿ"/>
      <w:numFmt w:val="bullet"/>
      <w:start w:val="1"/>
    </w:lvl>
  </w:abstractNum>
  <w:abstractNum w:abstractNumId="14">
    <w:nsid w:val="2443A858"/>
    <w:multiLevelType w:val="hybridMultilevel"/>
    <w:lvl w:ilvl="0">
      <w:lvlJc w:val="left"/>
      <w:lvlText w:val="Ÿ"/>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Roman"/>
      <w:start w:val="4"/>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2019-12-29T04:40:08Z</dcterms:created>
  <dcterms:modified xsi:type="dcterms:W3CDTF">2019-12-29T04:40:08Z</dcterms:modified>
</cp:coreProperties>
</file>