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(Mark One)</w:t>
      </w:r>
    </w:p>
    <w:p>
      <w:pPr>
        <w:spacing w:after="0" w:line="69" w:lineRule="exact"/>
        <w:rPr>
          <w:sz w:val="24"/>
          <w:szCs w:val="24"/>
          <w:color w:val="auto"/>
        </w:rPr>
      </w:pPr>
    </w:p>
    <w:p>
      <w:pPr>
        <w:ind w:left="260" w:right="2120" w:hanging="225"/>
        <w:spacing w:after="0" w:line="322"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September 30, 2019</w:t>
      </w:r>
    </w:p>
    <w:p>
      <w:pPr>
        <w:ind w:left="1300"/>
        <w:spacing w:after="0"/>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260" w:right="2120" w:hanging="225"/>
        <w:spacing w:after="0" w:line="369" w:lineRule="auto"/>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Commission File Number: 0-19034</w:t>
      </w:r>
    </w:p>
    <w:p>
      <w:pPr>
        <w:spacing w:after="0" w:line="29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63"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2920" w:type="dxa"/>
            <w:vAlign w:val="bottom"/>
            <w:gridSpan w:val="2"/>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2"/>
          </w:tcPr>
          <w:p>
            <w:pPr>
              <w:jc w:val="right"/>
              <w:ind w:right="1103"/>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5080" w:type="dxa"/>
            <w:vAlign w:val="bottom"/>
            <w:gridSpan w:val="3"/>
          </w:tcPr>
          <w:p>
            <w:pPr>
              <w:jc w:val="center"/>
              <w:ind w:left="53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c>
          <w:tcPr>
            <w:tcW w:w="440" w:type="dxa"/>
            <w:vAlign w:val="bottom"/>
          </w:tcPr>
          <w:p>
            <w:pPr>
              <w:spacing w:after="0"/>
              <w:rPr>
                <w:sz w:val="23"/>
                <w:szCs w:val="23"/>
                <w:color w:val="auto"/>
              </w:rPr>
            </w:pPr>
          </w:p>
        </w:tc>
      </w:tr>
      <w:tr>
        <w:trPr>
          <w:trHeight w:val="405"/>
        </w:trPr>
        <w:tc>
          <w:tcPr>
            <w:tcW w:w="2160" w:type="dxa"/>
            <w:vAlign w:val="bottom"/>
          </w:tcPr>
          <w:p>
            <w:pPr>
              <w:spacing w:after="0"/>
              <w:rPr>
                <w:sz w:val="24"/>
                <w:szCs w:val="24"/>
                <w:color w:val="auto"/>
              </w:rPr>
            </w:pPr>
          </w:p>
        </w:tc>
        <w:tc>
          <w:tcPr>
            <w:tcW w:w="4260" w:type="dxa"/>
            <w:vAlign w:val="bottom"/>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777 Old Saw Mill River Road Tarrytown,</w:t>
            </w:r>
          </w:p>
        </w:tc>
        <w:tc>
          <w:tcPr>
            <w:tcW w:w="38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New York 10591-6707</w:t>
            </w:r>
          </w:p>
        </w:tc>
        <w:tc>
          <w:tcPr>
            <w:tcW w:w="440" w:type="dxa"/>
            <w:vAlign w:val="bottom"/>
          </w:tcPr>
          <w:p>
            <w:pPr>
              <w:spacing w:after="0"/>
              <w:rPr>
                <w:sz w:val="24"/>
                <w:szCs w:val="24"/>
                <w:color w:val="auto"/>
              </w:rPr>
            </w:pPr>
          </w:p>
        </w:tc>
      </w:tr>
      <w:tr>
        <w:trPr>
          <w:trHeight w:val="270"/>
        </w:trPr>
        <w:tc>
          <w:tcPr>
            <w:tcW w:w="2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760" w:type="dxa"/>
            <w:vAlign w:val="bottom"/>
            <w:gridSpan w:val="7"/>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40" w:type="dxa"/>
            <w:vAlign w:val="bottom"/>
          </w:tcPr>
          <w:p>
            <w:pPr>
              <w:spacing w:after="0"/>
              <w:rPr>
                <w:sz w:val="23"/>
                <w:szCs w:val="23"/>
                <w:color w:val="auto"/>
              </w:rPr>
            </w:pPr>
          </w:p>
        </w:tc>
      </w:tr>
      <w:tr>
        <w:trPr>
          <w:trHeight w:val="439"/>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6"/>
        </w:trPr>
        <w:tc>
          <w:tcPr>
            <w:tcW w:w="2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760" w:type="dxa"/>
            <w:vAlign w:val="bottom"/>
            <w:gridSpan w:val="7"/>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760" w:type="dxa"/>
            <w:vAlign w:val="bottom"/>
            <w:gridSpan w:val="7"/>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40" w:type="dxa"/>
            <w:vAlign w:val="bottom"/>
          </w:tcPr>
          <w:p>
            <w:pPr>
              <w:spacing w:after="0"/>
              <w:rPr>
                <w:sz w:val="24"/>
                <w:szCs w:val="24"/>
                <w:color w:val="auto"/>
              </w:rPr>
            </w:pPr>
          </w:p>
        </w:tc>
      </w:tr>
      <w:tr>
        <w:trPr>
          <w:trHeight w:val="338"/>
        </w:trPr>
        <w:tc>
          <w:tcPr>
            <w:tcW w:w="21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80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40" w:type="dxa"/>
            <w:vAlign w:val="bottom"/>
          </w:tcPr>
          <w:p>
            <w:pPr>
              <w:spacing w:after="0"/>
              <w:rPr>
                <w:sz w:val="24"/>
                <w:szCs w:val="24"/>
                <w:color w:val="auto"/>
              </w:rPr>
            </w:pPr>
          </w:p>
        </w:tc>
      </w:tr>
      <w:tr>
        <w:trPr>
          <w:trHeight w:val="20"/>
        </w:trPr>
        <w:tc>
          <w:tcPr>
            <w:tcW w:w="2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5080" w:type="dxa"/>
            <w:vAlign w:val="bottom"/>
            <w:gridSpan w:val="3"/>
          </w:tcPr>
          <w:p>
            <w:pPr>
              <w:jc w:val="center"/>
              <w:ind w:left="45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80" w:type="dxa"/>
            <w:vAlign w:val="bottom"/>
          </w:tcPr>
          <w:p>
            <w:pPr>
              <w:spacing w:after="0"/>
              <w:rPr>
                <w:sz w:val="24"/>
                <w:szCs w:val="2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580" w:type="dxa"/>
            <w:vAlign w:val="bottom"/>
          </w:tcPr>
          <w:p>
            <w:pPr>
              <w:spacing w:after="0"/>
              <w:rPr>
                <w:sz w:val="24"/>
                <w:szCs w:val="24"/>
                <w:color w:val="auto"/>
              </w:rPr>
            </w:pPr>
          </w:p>
        </w:tc>
        <w:tc>
          <w:tcPr>
            <w:tcW w:w="32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NASDAQ Global Select Market</w:t>
            </w:r>
          </w:p>
        </w:tc>
        <w:tc>
          <w:tcPr>
            <w:tcW w:w="440" w:type="dxa"/>
            <w:vAlign w:val="bottom"/>
          </w:tcPr>
          <w:p>
            <w:pPr>
              <w:spacing w:after="0"/>
              <w:rPr>
                <w:sz w:val="24"/>
                <w:szCs w:val="24"/>
                <w:color w:val="auto"/>
              </w:rPr>
            </w:pPr>
          </w:p>
        </w:tc>
      </w:tr>
      <w:tr>
        <w:trPr>
          <w:trHeight w:val="594"/>
        </w:trPr>
        <w:tc>
          <w:tcPr>
            <w:tcW w:w="102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40" w:type="dxa"/>
            <w:vAlign w:val="bottom"/>
          </w:tcPr>
          <w:p>
            <w:pPr>
              <w:spacing w:after="0"/>
              <w:rPr>
                <w:sz w:val="24"/>
                <w:szCs w:val="24"/>
                <w:color w:val="auto"/>
              </w:rPr>
            </w:pPr>
          </w:p>
        </w:tc>
      </w:tr>
      <w:tr>
        <w:trPr>
          <w:trHeight w:val="162"/>
        </w:trPr>
        <w:tc>
          <w:tcPr>
            <w:tcW w:w="1022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40" w:type="dxa"/>
            <w:vAlign w:val="bottom"/>
          </w:tcPr>
          <w:p>
            <w:pPr>
              <w:spacing w:after="0"/>
              <w:rPr>
                <w:sz w:val="14"/>
                <w:szCs w:val="14"/>
                <w:color w:val="auto"/>
              </w:rPr>
            </w:pPr>
          </w:p>
        </w:tc>
      </w:tr>
      <w:tr>
        <w:trPr>
          <w:trHeight w:val="28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2"/>
          </w:tcPr>
          <w:p>
            <w:pPr>
              <w:ind w:left="2600"/>
              <w:spacing w:after="0" w:line="207"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8"/>
                <w:szCs w:val="18"/>
                <w:color w:val="auto"/>
              </w:rPr>
              <w:t>☒</w:t>
            </w:r>
          </w:p>
        </w:tc>
        <w:tc>
          <w:tcPr>
            <w:tcW w:w="44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auto"/>
                <w:w w:val="96"/>
              </w:rPr>
              <w:t xml:space="preserve">No </w:t>
            </w:r>
            <w:r>
              <w:rPr>
                <w:rFonts w:ascii="MS PGothic" w:cs="MS PGothic" w:eastAsia="MS PGothic" w:hAnsi="MS PGothic"/>
                <w:sz w:val="18"/>
                <w:szCs w:val="18"/>
                <w:color w:val="auto"/>
                <w:w w:val="96"/>
              </w:rPr>
              <w:t>☐</w:t>
            </w:r>
          </w:p>
        </w:tc>
      </w:tr>
      <w:tr>
        <w:trPr>
          <w:trHeight w:val="338"/>
        </w:trPr>
        <w:tc>
          <w:tcPr>
            <w:tcW w:w="102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40" w:type="dxa"/>
            <w:vAlign w:val="bottom"/>
          </w:tcPr>
          <w:p>
            <w:pPr>
              <w:spacing w:after="0"/>
              <w:rPr>
                <w:sz w:val="24"/>
                <w:szCs w:val="24"/>
                <w:color w:val="auto"/>
              </w:rPr>
            </w:pPr>
          </w:p>
        </w:tc>
      </w:tr>
      <w:tr>
        <w:trPr>
          <w:trHeight w:val="162"/>
        </w:trPr>
        <w:tc>
          <w:tcPr>
            <w:tcW w:w="10220" w:type="dxa"/>
            <w:vAlign w:val="bottom"/>
            <w:gridSpan w:val="9"/>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40" w:type="dxa"/>
            <w:vAlign w:val="bottom"/>
          </w:tcPr>
          <w:p>
            <w:pPr>
              <w:spacing w:after="0"/>
              <w:rPr>
                <w:sz w:val="14"/>
                <w:szCs w:val="14"/>
                <w:color w:val="auto"/>
              </w:rPr>
            </w:pPr>
          </w:p>
        </w:tc>
      </w:tr>
      <w:tr>
        <w:trPr>
          <w:trHeight w:val="283"/>
        </w:trPr>
        <w:tc>
          <w:tcPr>
            <w:tcW w:w="5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20" w:type="dxa"/>
            <w:vAlign w:val="bottom"/>
            <w:gridSpan w:val="2"/>
          </w:tcPr>
          <w:p>
            <w:pPr>
              <w:ind w:left="2600"/>
              <w:spacing w:after="0" w:line="207"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8"/>
                <w:szCs w:val="18"/>
                <w:color w:val="auto"/>
              </w:rPr>
              <w:t>☒</w:t>
            </w:r>
          </w:p>
        </w:tc>
        <w:tc>
          <w:tcPr>
            <w:tcW w:w="440" w:type="dxa"/>
            <w:vAlign w:val="bottom"/>
          </w:tcPr>
          <w:p>
            <w:pPr>
              <w:ind w:left="60"/>
              <w:spacing w:after="0" w:line="207" w:lineRule="exact"/>
              <w:rPr>
                <w:sz w:val="20"/>
                <w:szCs w:val="20"/>
                <w:color w:val="auto"/>
              </w:rPr>
            </w:pPr>
            <w:r>
              <w:rPr>
                <w:rFonts w:ascii="Times New Roman" w:cs="Times New Roman" w:eastAsia="Times New Roman" w:hAnsi="Times New Roman"/>
                <w:sz w:val="13"/>
                <w:szCs w:val="13"/>
                <w:color w:val="auto"/>
                <w:w w:val="96"/>
              </w:rPr>
              <w:t xml:space="preserve">No </w:t>
            </w:r>
            <w:r>
              <w:rPr>
                <w:rFonts w:ascii="MS PGothic" w:cs="MS PGothic" w:eastAsia="MS PGothic" w:hAnsi="MS PGothic"/>
                <w:sz w:val="18"/>
                <w:szCs w:val="18"/>
                <w:color w:val="auto"/>
                <w:w w:val="96"/>
              </w:rPr>
              <w:t>☐</w:t>
            </w:r>
          </w:p>
        </w:tc>
      </w:tr>
    </w:tbl>
    <w:p>
      <w:pPr>
        <w:spacing w:after="0" w:line="149" w:lineRule="exact"/>
        <w:rPr>
          <w:sz w:val="24"/>
          <w:szCs w:val="24"/>
          <w:color w:val="auto"/>
        </w:rPr>
      </w:pPr>
    </w:p>
    <w:p>
      <w:pPr>
        <w:jc w:val="both"/>
        <w:ind w:lef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1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Large accelerated</w:t>
            </w:r>
          </w:p>
        </w:tc>
        <w:tc>
          <w:tcPr>
            <w:tcW w:w="2440" w:type="dxa"/>
            <w:vAlign w:val="bottom"/>
            <w:vMerge w:val="restart"/>
          </w:tcPr>
          <w:p>
            <w:pPr>
              <w:ind w:left="340"/>
              <w:spacing w:after="0" w:line="207"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8"/>
                <w:szCs w:val="18"/>
                <w:color w:val="auto"/>
              </w:rPr>
              <w:t>☐</w:t>
            </w:r>
          </w:p>
        </w:tc>
        <w:tc>
          <w:tcPr>
            <w:tcW w:w="23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Smaller reporting</w:t>
            </w:r>
          </w:p>
        </w:tc>
        <w:tc>
          <w:tcPr>
            <w:tcW w:w="2220" w:type="dxa"/>
            <w:vAlign w:val="bottom"/>
            <w:gridSpan w:val="2"/>
          </w:tcPr>
          <w:p>
            <w:pPr>
              <w:jc w:val="right"/>
              <w:ind w:right="963"/>
              <w:spacing w:after="0"/>
              <w:rPr>
                <w:sz w:val="20"/>
                <w:szCs w:val="20"/>
                <w:color w:val="auto"/>
              </w:rPr>
            </w:pPr>
            <w:r>
              <w:rPr>
                <w:rFonts w:ascii="Times New Roman" w:cs="Times New Roman" w:eastAsia="Times New Roman" w:hAnsi="Times New Roman"/>
                <w:sz w:val="16"/>
                <w:szCs w:val="16"/>
                <w:color w:val="auto"/>
              </w:rPr>
              <w:t>Emerging growth</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140" w:type="dxa"/>
            <w:vAlign w:val="bottom"/>
            <w:gridSpan w:val="2"/>
          </w:tcPr>
          <w:p>
            <w:pPr>
              <w:ind w:left="1120"/>
              <w:spacing w:after="0" w:line="207"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8"/>
                <w:szCs w:val="18"/>
                <w:color w:val="auto"/>
              </w:rPr>
              <w:t>☐</w:t>
            </w:r>
          </w:p>
        </w:tc>
        <w:tc>
          <w:tcPr>
            <w:tcW w:w="24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ind w:left="480"/>
              <w:spacing w:after="0" w:line="207" w:lineRule="exact"/>
              <w:rPr>
                <w:sz w:val="20"/>
                <w:szCs w:val="20"/>
                <w:color w:val="auto"/>
              </w:rPr>
            </w:pPr>
            <w:r>
              <w:rPr>
                <w:rFonts w:ascii="Times New Roman" w:cs="Times New Roman" w:eastAsia="Times New Roman" w:hAnsi="Times New Roman"/>
                <w:sz w:val="16"/>
                <w:szCs w:val="16"/>
                <w:color w:val="auto"/>
              </w:rPr>
              <w:t xml:space="preserve">company </w:t>
            </w:r>
            <w:r>
              <w:rPr>
                <w:rFonts w:ascii="MS PGothic" w:cs="MS PGothic" w:eastAsia="MS PGothic" w:hAnsi="MS PGothic"/>
                <w:sz w:val="18"/>
                <w:szCs w:val="18"/>
                <w:color w:val="auto"/>
              </w:rPr>
              <w:t>☐</w:t>
            </w:r>
          </w:p>
        </w:tc>
        <w:tc>
          <w:tcPr>
            <w:tcW w:w="2220" w:type="dxa"/>
            <w:vAlign w:val="bottom"/>
            <w:gridSpan w:val="2"/>
          </w:tcPr>
          <w:p>
            <w:pPr>
              <w:jc w:val="right"/>
              <w:ind w:right="743"/>
              <w:spacing w:after="0" w:line="207" w:lineRule="exact"/>
              <w:rPr>
                <w:sz w:val="20"/>
                <w:szCs w:val="20"/>
                <w:color w:val="auto"/>
              </w:rPr>
            </w:pPr>
            <w:r>
              <w:rPr>
                <w:rFonts w:ascii="Times New Roman" w:cs="Times New Roman" w:eastAsia="Times New Roman" w:hAnsi="Times New Roman"/>
                <w:sz w:val="16"/>
                <w:szCs w:val="16"/>
                <w:color w:val="auto"/>
              </w:rPr>
              <w:t xml:space="preserve">company </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180" w:type="dxa"/>
            <w:vAlign w:val="bottom"/>
            <w:gridSpan w:val="7"/>
          </w:tcPr>
          <w:p>
            <w:pPr>
              <w:ind w:left="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1140" w:type="dxa"/>
            <w:vAlign w:val="bottom"/>
          </w:tcPr>
          <w:p>
            <w:pPr>
              <w:spacing w:after="0"/>
              <w:rPr>
                <w:sz w:val="24"/>
                <w:szCs w:val="24"/>
                <w:color w:val="auto"/>
              </w:rPr>
            </w:pPr>
          </w:p>
        </w:tc>
        <w:tc>
          <w:tcPr>
            <w:tcW w:w="1080" w:type="dxa"/>
            <w:vAlign w:val="bottom"/>
          </w:tcPr>
          <w:p>
            <w:pPr>
              <w:jc w:val="right"/>
              <w:ind w:right="63"/>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96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140" w:type="dxa"/>
            <w:vAlign w:val="bottom"/>
          </w:tcPr>
          <w:p>
            <w:pPr>
              <w:spacing w:after="0"/>
              <w:rPr>
                <w:sz w:val="24"/>
                <w:szCs w:val="24"/>
                <w:color w:val="auto"/>
              </w:rPr>
            </w:pPr>
          </w:p>
        </w:tc>
        <w:tc>
          <w:tcPr>
            <w:tcW w:w="1080" w:type="dxa"/>
            <w:vAlign w:val="bottom"/>
          </w:tcPr>
          <w:p>
            <w:pPr>
              <w:jc w:val="right"/>
              <w:ind w:right="63"/>
              <w:spacing w:after="0" w:line="207"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8"/>
                <w:szCs w:val="18"/>
                <w:color w:val="auto"/>
              </w:rPr>
              <w:t>☐</w:t>
            </w:r>
          </w:p>
        </w:tc>
        <w:tc>
          <w:tcPr>
            <w:tcW w:w="520" w:type="dxa"/>
            <w:vAlign w:val="bottom"/>
          </w:tcPr>
          <w:p>
            <w:pPr>
              <w:ind w:left="140"/>
              <w:spacing w:after="0" w:line="207" w:lineRule="exact"/>
              <w:rPr>
                <w:sz w:val="20"/>
                <w:szCs w:val="20"/>
                <w:color w:val="auto"/>
              </w:rPr>
            </w:pPr>
            <w:r>
              <w:rPr>
                <w:rFonts w:ascii="Times New Roman" w:cs="Times New Roman" w:eastAsia="Times New Roman" w:hAnsi="Times New Roman"/>
                <w:sz w:val="13"/>
                <w:szCs w:val="13"/>
                <w:color w:val="auto"/>
                <w:w w:val="96"/>
              </w:rPr>
              <w:t xml:space="preserve">No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420"/>
        </w:trPr>
        <w:tc>
          <w:tcPr>
            <w:tcW w:w="7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24, 2019:</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4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Class of Common Stock</w:t>
            </w:r>
          </w:p>
        </w:tc>
        <w:tc>
          <w:tcPr>
            <w:tcW w:w="340" w:type="dxa"/>
            <w:vAlign w:val="bottom"/>
          </w:tcPr>
          <w:p>
            <w:pPr>
              <w:spacing w:after="0"/>
              <w:rPr>
                <w:sz w:val="24"/>
                <w:szCs w:val="24"/>
                <w:color w:val="auto"/>
              </w:rPr>
            </w:pPr>
          </w:p>
        </w:tc>
        <w:tc>
          <w:tcPr>
            <w:tcW w:w="4260" w:type="dxa"/>
            <w:vAlign w:val="bottom"/>
            <w:gridSpan w:val="3"/>
          </w:tcPr>
          <w:p>
            <w:pPr>
              <w:jc w:val="right"/>
              <w:ind w:right="2003"/>
              <w:spacing w:after="0"/>
              <w:rPr>
                <w:sz w:val="20"/>
                <w:szCs w:val="20"/>
                <w:color w:val="auto"/>
              </w:rPr>
            </w:pPr>
            <w:r>
              <w:rPr>
                <w:rFonts w:ascii="Times New Roman" w:cs="Times New Roman" w:eastAsia="Times New Roman" w:hAnsi="Times New Roman"/>
                <w:sz w:val="16"/>
                <w:szCs w:val="16"/>
                <w:color w:val="auto"/>
              </w:rPr>
              <w:t>Number of Shares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3240" w:type="dxa"/>
            <w:vAlign w:val="bottom"/>
            <w:tcBorders>
              <w:bottom w:val="single" w:sz="8" w:color="auto"/>
            </w:tcBorders>
            <w:gridSpan w:val="2"/>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40" w:type="dxa"/>
            <w:vAlign w:val="bottom"/>
          </w:tcPr>
          <w:p>
            <w:pPr>
              <w:spacing w:after="0"/>
              <w:rPr>
                <w:sz w:val="18"/>
                <w:szCs w:val="18"/>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23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1,848,970</w:t>
            </w: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3"/>
                <w:szCs w:val="23"/>
                <w:color w:val="auto"/>
              </w:rPr>
            </w:pPr>
          </w:p>
        </w:tc>
        <w:tc>
          <w:tcPr>
            <w:tcW w:w="32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107,946,794</w:t>
            </w:r>
          </w:p>
        </w:tc>
        <w:tc>
          <w:tcPr>
            <w:tcW w:w="1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68" w:right="5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8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INFORMATION</w:t>
              </w:r>
            </w:hyperlink>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1100" w:type="dxa"/>
            <w:vAlign w:val="bottom"/>
            <w:gridSpan w:val="5"/>
            <w:shd w:val="clear" w:color="auto" w:fill="CCEEFF"/>
          </w:tcPr>
          <w:p>
            <w:pPr>
              <w:jc w:val="center"/>
              <w:ind w:left="81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2019 and December 31, 2018</w:t>
              </w:r>
            </w:hyperlink>
          </w:p>
        </w:tc>
        <w:tc>
          <w:tcPr>
            <w:tcW w:w="1100" w:type="dxa"/>
            <w:vAlign w:val="bottom"/>
            <w:gridSpan w:val="5"/>
            <w:shd w:val="clear" w:color="auto" w:fill="CCEEFF"/>
          </w:tcPr>
          <w:p>
            <w:pPr>
              <w:jc w:val="center"/>
              <w:ind w:left="810"/>
              <w:spacing w:after="0" w:line="202" w:lineRule="exact"/>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2</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720" w:type="dxa"/>
            <w:vAlign w:val="bottom"/>
            <w:gridSpan w:val="17"/>
            <w:shd w:val="clear" w:color="auto" w:fill="CCEEFF"/>
          </w:tcPr>
          <w:p>
            <w:pPr>
              <w:spacing w:after="0" w:line="202"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and Comprehensive Income for the Three</w:t>
              </w:r>
            </w:hyperlink>
          </w:p>
        </w:tc>
        <w:tc>
          <w:tcPr>
            <w:tcW w:w="540" w:type="dxa"/>
            <w:vAlign w:val="bottom"/>
            <w:gridSpan w:val="2"/>
            <w:shd w:val="clear" w:color="auto" w:fill="CCEEFF"/>
          </w:tcPr>
          <w:p>
            <w:pPr>
              <w:spacing w:after="0"/>
              <w:rPr>
                <w:sz w:val="17"/>
                <w:szCs w:val="17"/>
                <w:color w:val="auto"/>
              </w:rPr>
            </w:pPr>
          </w:p>
        </w:tc>
        <w:tc>
          <w:tcPr>
            <w:tcW w:w="1100" w:type="dxa"/>
            <w:vAlign w:val="bottom"/>
            <w:gridSpan w:val="5"/>
            <w:shd w:val="clear" w:color="auto" w:fill="CCEEFF"/>
          </w:tcPr>
          <w:p>
            <w:pPr>
              <w:jc w:val="center"/>
              <w:ind w:left="81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Nine Months Ended September 30, 2019 and 2018</w:t>
              </w:r>
            </w:hyperlink>
          </w:p>
        </w:tc>
        <w:tc>
          <w:tcPr>
            <w:tcW w:w="540" w:type="dxa"/>
            <w:vAlign w:val="bottom"/>
            <w:tcBorders>
              <w:top w:val="single" w:sz="8" w:color="CCEEFF"/>
            </w:tcBorders>
            <w:gridSpan w:val="2"/>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60" w:type="dxa"/>
            <w:vAlign w:val="bottom"/>
            <w:gridSpan w:val="16"/>
            <w:shd w:val="clear" w:color="auto" w:fill="CCEEFF"/>
          </w:tcPr>
          <w:p>
            <w:pPr>
              <w:spacing w:after="0" w:line="202"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Stockholders' Equity for the Three and Nine Months</w:t>
              </w:r>
            </w:hyperlink>
          </w:p>
        </w:tc>
        <w:tc>
          <w:tcPr>
            <w:tcW w:w="600" w:type="dxa"/>
            <w:vAlign w:val="bottom"/>
            <w:gridSpan w:val="3"/>
            <w:shd w:val="clear" w:color="auto" w:fill="CCEEFF"/>
          </w:tcPr>
          <w:p>
            <w:pPr>
              <w:spacing w:after="0"/>
              <w:rPr>
                <w:sz w:val="17"/>
                <w:szCs w:val="17"/>
                <w:color w:val="auto"/>
              </w:rPr>
            </w:pPr>
          </w:p>
        </w:tc>
        <w:tc>
          <w:tcPr>
            <w:tcW w:w="1100" w:type="dxa"/>
            <w:vAlign w:val="bottom"/>
            <w:gridSpan w:val="5"/>
            <w:shd w:val="clear" w:color="auto" w:fill="CCEEFF"/>
          </w:tcPr>
          <w:p>
            <w:pPr>
              <w:jc w:val="center"/>
              <w:ind w:left="810"/>
              <w:spacing w:after="0" w:line="202"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4</w:t>
              </w:r>
            </w:hyperlink>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666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Ended September 30, 2019 and 2018</w:t>
              </w:r>
            </w:hyperlink>
          </w:p>
        </w:tc>
        <w:tc>
          <w:tcPr>
            <w:tcW w:w="600" w:type="dxa"/>
            <w:vAlign w:val="bottom"/>
            <w:tcBorders>
              <w:top w:val="single" w:sz="8" w:color="CCEEFF"/>
            </w:tcBorders>
            <w:gridSpan w:val="3"/>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8"/>
            <w:shd w:val="clear" w:color="auto" w:fill="CCEEFF"/>
          </w:tcPr>
          <w:p>
            <w:pPr>
              <w:spacing w:after="0" w:line="202"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Cash Flows for the Nine Months Ended September 30,</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2019 and 2018</w:t>
              </w:r>
            </w:hyperlink>
          </w:p>
        </w:tc>
        <w:tc>
          <w:tcPr>
            <w:tcW w:w="1100" w:type="dxa"/>
            <w:vAlign w:val="bottom"/>
            <w:gridSpan w:val="5"/>
            <w:shd w:val="clear" w:color="auto" w:fill="CCEEFF"/>
          </w:tcPr>
          <w:p>
            <w:pPr>
              <w:jc w:val="center"/>
              <w:ind w:left="810"/>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1100" w:type="dxa"/>
            <w:vAlign w:val="bottom"/>
            <w:gridSpan w:val="5"/>
            <w:shd w:val="clear" w:color="auto" w:fill="CCEEFF"/>
          </w:tcPr>
          <w:p>
            <w:pPr>
              <w:jc w:val="center"/>
              <w:ind w:left="810"/>
              <w:spacing w:after="0" w:line="202"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2.</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24</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3.</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Quantitative and Qualitative Disclosures About Market Risk</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4.</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Controls and Procedures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PART II</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OTHER INFORMATION</w:t>
              </w:r>
            </w:hyperlink>
          </w:p>
        </w:tc>
        <w:tc>
          <w:tcPr>
            <w:tcW w:w="4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1A.</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44</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1140" w:type="dxa"/>
            <w:vAlign w:val="bottom"/>
            <w:gridSpan w:val="5"/>
            <w:shd w:val="clear" w:color="auto" w:fill="CCEEFF"/>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2.</w:t>
              </w:r>
            </w:hyperlink>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Unregistered Sales of Equity Securities and Use of Proceeds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73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Item 6.</w:t>
              </w:r>
            </w:hyperlink>
          </w:p>
        </w:tc>
        <w:tc>
          <w:tcPr>
            <w:tcW w:w="620" w:type="dxa"/>
            <w:vAlign w:val="bottom"/>
            <w:gridSpan w:val="4"/>
            <w:shd w:val="clear" w:color="auto" w:fill="CCEEFF"/>
          </w:tcPr>
          <w:p>
            <w:pPr>
              <w:spacing w:after="0"/>
              <w:rPr>
                <w:sz w:val="21"/>
                <w:szCs w:val="21"/>
                <w:color w:val="auto"/>
              </w:rPr>
            </w:pPr>
          </w:p>
        </w:tc>
        <w:tc>
          <w:tcPr>
            <w:tcW w:w="7260" w:type="dxa"/>
            <w:vAlign w:val="bottom"/>
            <w:gridSpan w:val="19"/>
            <w:shd w:val="clear" w:color="auto" w:fill="CCEEFF"/>
          </w:tcPr>
          <w:p>
            <w:pPr>
              <w:spacing w:after="0" w:line="202"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Exhibits</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73</w:t>
              </w:r>
            </w:hyperlink>
          </w:p>
        </w:tc>
        <w:tc>
          <w:tcPr>
            <w:tcW w:w="22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8400" w:type="dxa"/>
            <w:vAlign w:val="bottom"/>
            <w:gridSpan w:val="24"/>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76">
              <w:r>
                <w:rPr>
                  <w:rFonts w:ascii="Times New Roman" w:cs="Times New Roman" w:eastAsia="Times New Roman" w:hAnsi="Times New Roman"/>
                  <w:sz w:val="18"/>
                  <w:szCs w:val="18"/>
                  <w:b w:val="1"/>
                  <w:bCs w:val="1"/>
                  <w:color w:val="0000EE"/>
                </w:rPr>
                <w:t>SIGNATURE PAGE</w:t>
              </w:r>
            </w:hyperlink>
          </w:p>
        </w:tc>
        <w:tc>
          <w:tcPr>
            <w:tcW w:w="1560" w:type="dxa"/>
            <w:vAlign w:val="bottom"/>
            <w:gridSpan w:val="6"/>
            <w:shd w:val="clear" w:color="auto" w:fill="CCEEFF"/>
          </w:tcPr>
          <w:p>
            <w:pPr>
              <w:jc w:val="center"/>
              <w:ind w:left="370"/>
              <w:spacing w:after="0" w:line="202"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74</w:t>
              </w:r>
            </w:hyperlink>
          </w:p>
        </w:tc>
        <w:tc>
          <w:tcPr>
            <w:tcW w:w="2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(in the United States), "Regeneron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"Regeneron Genetics Center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"Veloci-Bi</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"VelocImmune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"VelociMouse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140"/>
          </w:cols>
          <w:pgMar w:left="380" w:top="360" w:right="379" w:bottom="1440" w:gutter="0" w:footer="0" w:header="0"/>
        </w:sectPr>
      </w:pPr>
    </w:p>
    <w:bookmarkStart w:id="2" w:name="page3"/>
    <w:bookmarkEnd w:id="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share data)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1,467.7</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 trade,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1,723.7</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226.4</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from Bayer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293.1</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1,151.2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7,109.1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6,447.6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1,755.0</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2,575.8</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828.7</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127.4</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13,939.3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11,734.5</w:t>
            </w:r>
          </w:p>
        </w:tc>
      </w:tr>
      <w:tr>
        <w:trPr>
          <w:trHeight w:val="67"/>
        </w:trPr>
        <w:tc>
          <w:tcPr>
            <w:tcW w:w="8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64"/>
        </w:trPr>
        <w:tc>
          <w:tcPr>
            <w:tcW w:w="8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81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772.1</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 - other</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205.8</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1,442.8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84"/>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708.5</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 from Sanofi</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279.3</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 - other</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361.7</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3,434.9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2,977.2</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8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Preferred Stock, $.01 par value; 30,000,000 shares authorized; issued and outstanding - none</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Class A Stock, convertible, $.001 par value; 40,000,000 shares authorized; shares issued and outstanding -</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4"/>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1,848,970 in 2019 and 1,911,354 in 2018</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8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Common Stock, $.001 par value; 320,000,000 shares authorized; shares issued - 112,039,746 in 2019 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111,084,951 in 2018</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3,911.6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5,254.3</w:t>
            </w:r>
          </w:p>
        </w:tc>
      </w:tr>
      <w:tr>
        <w:trPr>
          <w:trHeight w:val="243"/>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4,167,018 shares in 2019 and 3,990,021 shares in 2018</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8,757.3</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11,734.5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26" w:right="259" w:bottom="725"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126" w:right="259" w:bottom="725"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900" w:type="dxa"/>
            <w:vAlign w:val="bottom"/>
            <w:gridSpan w:val="3"/>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33"/>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38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12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8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2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product sales</w:t>
            </w:r>
          </w:p>
        </w:tc>
        <w:tc>
          <w:tcPr>
            <w:tcW w:w="2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3,009.8</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Sanofi collaboration revenue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683.5</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Bayer collaboration revenue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775.2</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revenue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314.5</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4,783.0</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1,584.8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1,064.9</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w:t>
            </w: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4,159.8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2,966.7</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1,816.3</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740" w:type="dxa"/>
            <w:vAlign w:val="bottom"/>
            <w:tcBorders>
              <w:bottom w:val="single" w:sz="8" w:color="CCEEFF"/>
            </w:tcBorders>
            <w:shd w:val="clear" w:color="auto" w:fill="CCEEFF"/>
          </w:tcPr>
          <w:p>
            <w:pPr>
              <w:spacing w:after="0"/>
              <w:rPr>
                <w:sz w:val="22"/>
                <w:szCs w:val="22"/>
                <w:color w:val="auto"/>
              </w:rPr>
            </w:pPr>
          </w:p>
        </w:tc>
        <w:tc>
          <w:tcPr>
            <w:tcW w:w="2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1,877.3</w:t>
            </w: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1,624.0</w:t>
            </w: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8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15.06</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14.14</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r>
      <w:tr>
        <w:trPr>
          <w:trHeight w:val="28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Unrealized gain (loss) on debt securities</w:t>
            </w:r>
          </w:p>
        </w:tc>
        <w:tc>
          <w:tcPr>
            <w:tcW w:w="2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26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57"/>
        </w:trPr>
        <w:tc>
          <w:tcPr>
            <w:tcW w:w="20" w:type="dxa"/>
            <w:vAlign w:val="bottom"/>
          </w:tcPr>
          <w:p>
            <w:pPr>
              <w:spacing w:after="0"/>
              <w:rPr>
                <w:sz w:val="22"/>
                <w:szCs w:val="22"/>
                <w:color w:val="auto"/>
              </w:rPr>
            </w:pPr>
          </w:p>
        </w:tc>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1,352.6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1,619.5</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36830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53975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118" w:right="259" w:bottom="1440" w:gutter="0" w:footer="0" w:header="0"/>
          <w:type w:val="continuous"/>
        </w:sectPr>
      </w:pPr>
    </w:p>
    <w:bookmarkStart w:id="4" w:name="page5"/>
    <w:bookmarkEnd w:id="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55"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4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$ 3,911.6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$5,254.3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(396.4)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8,757.3</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 and vesting of restricted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Issuance/distribution of Common Stock in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connection with 401(k) Savings Plan</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from Sanofi</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upon adoption of new</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accounting standard</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461.1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gain, net of tax</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2019</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111.7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4,160.9</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5,725.1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9,444.7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and vesting of restricted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Issuance/distribution of Common Stock in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connection with 401(k) Savings Plan</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 net of tax</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2019</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4,263.6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9,755.9</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 and vesting of restricted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Issuance/distribution of Common Stock in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connection with 401(k) Savings Plan</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from Sanofi</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Conversion of Class A Stock to Common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669.6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gain, net of tax</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4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2019</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112.1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$ 4,388.4</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$6,587.8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(488.4)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10,504.4</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126" w:right="359" w:bottom="1440" w:gutter="0" w:footer="0" w:header="0"/>
        </w:sectPr>
      </w:pPr>
    </w:p>
    <w:bookmarkStart w:id="5" w:name="page6"/>
    <w:bookmarkEnd w:id="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w:t>
      </w:r>
    </w:p>
    <w:p>
      <w:pPr>
        <w:spacing w:after="0" w:line="7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13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360" w:type="dxa"/>
            <w:vAlign w:val="bottom"/>
            <w:gridSpan w:val="4"/>
            <w:vMerge w:val="continue"/>
          </w:tcPr>
          <w:p>
            <w:pPr>
              <w:spacing w:after="0"/>
              <w:rPr>
                <w:sz w:val="17"/>
                <w:szCs w:val="17"/>
                <w:color w:val="auto"/>
              </w:rPr>
            </w:pPr>
          </w:p>
        </w:tc>
        <w:tc>
          <w:tcPr>
            <w:tcW w:w="1360" w:type="dxa"/>
            <w:vAlign w:val="bottom"/>
            <w:gridSpan w:val="5"/>
            <w:vMerge w:val="continue"/>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4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8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18"/>
                <w:szCs w:val="18"/>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2017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$ 3,512.9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$2,946.7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6,144.1</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401(k) Savings Plan</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Cumulative-effect adjustment upon adoption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new accounting standards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477.9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2018</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109.7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3,611.6</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3,287.7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6,567.5</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options and vesting of restricted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 from Sanofi</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551.4</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 net of tax</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June 30, 2018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109.9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3,712.6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3,839.1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7,186.4</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with exercise of stock options</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tendered upon exercise of</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options and vesting of restricted</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for employee tax obligations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 from Sanofi</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237"/>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594.7</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gain, net of tax</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4"/>
        </w:trPr>
        <w:tc>
          <w:tcPr>
            <w:tcW w:w="3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2018</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110.3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$ 3,841.2</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$4,433.8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(396.4)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7,868.2</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38735</wp:posOffset>
            </wp:positionV>
            <wp:extent cx="7083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3425"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55880</wp:posOffset>
            </wp:positionV>
            <wp:extent cx="70834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00"/>
          </w:cols>
          <w:pgMar w:left="240" w:top="126"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080" w:type="dxa"/>
            <w:vAlign w:val="bottom"/>
            <w:gridSpan w:val="2"/>
          </w:tcPr>
          <w:p>
            <w:pPr>
              <w:spacing w:after="0"/>
              <w:rPr>
                <w:rFonts w:ascii="Times New Roman" w:cs="Times New Roman" w:eastAsia="Times New Roman" w:hAnsi="Times New Roman"/>
                <w:sz w:val="16"/>
                <w:szCs w:val="16"/>
                <w:color w:val="0000EE"/>
              </w:rPr>
            </w:pPr>
            <w:hyperlink w:anchor="page2">
              <w:r>
                <w:rPr>
                  <w:rFonts w:ascii="Times New Roman" w:cs="Times New Roman" w:eastAsia="Times New Roman" w:hAnsi="Times New Roman"/>
                  <w:sz w:val="16"/>
                  <w:szCs w:val="16"/>
                  <w:color w:val="0000EE"/>
                </w:rPr>
                <w:t>Table of Contents</w:t>
              </w:r>
            </w:hyperlink>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33"/>
        </w:trPr>
        <w:tc>
          <w:tcPr>
            <w:tcW w:w="1160" w:type="dxa"/>
            <w:vAlign w:val="bottom"/>
            <w:tcBorders>
              <w:top w:val="single" w:sz="8" w:color="0000EE"/>
            </w:tcBorders>
          </w:tcPr>
          <w:p>
            <w:pPr>
              <w:spacing w:after="0"/>
              <w:rPr>
                <w:sz w:val="24"/>
                <w:szCs w:val="24"/>
                <w:color w:val="auto"/>
              </w:rPr>
            </w:pPr>
          </w:p>
        </w:tc>
        <w:tc>
          <w:tcPr>
            <w:tcW w:w="69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48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692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6"/>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1,624.0</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300.7</w:t>
            </w:r>
          </w:p>
        </w:tc>
      </w:tr>
      <w:tr>
        <w:trPr>
          <w:trHeight w:val="243"/>
        </w:trPr>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non-cash items, net</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8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r>
      <w:tr>
        <w:trPr>
          <w:trHeight w:val="243"/>
        </w:trPr>
        <w:tc>
          <w:tcPr>
            <w:tcW w:w="8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Increase in inventories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43"/>
        </w:trPr>
        <w:tc>
          <w:tcPr>
            <w:tcW w:w="8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179.9</w:t>
            </w:r>
          </w:p>
        </w:tc>
      </w:tr>
      <w:tr>
        <w:trPr>
          <w:trHeight w:val="237"/>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318.8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1,466.3</w:t>
            </w:r>
          </w:p>
        </w:tc>
      </w:tr>
      <w:tr>
        <w:trPr>
          <w:trHeight w:val="277"/>
        </w:trPr>
        <w:tc>
          <w:tcPr>
            <w:tcW w:w="11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8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644.1</w:t>
            </w: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7"/>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(1,197.1)</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w:t>
            </w:r>
          </w:p>
        </w:tc>
      </w:tr>
      <w:tr>
        <w:trPr>
          <w:trHeight w:val="243"/>
        </w:trPr>
        <w:tc>
          <w:tcPr>
            <w:tcW w:w="8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275.1</w:t>
            </w:r>
          </w:p>
        </w:tc>
      </w:tr>
      <w:tr>
        <w:trPr>
          <w:trHeight w:val="27"/>
        </w:trPr>
        <w:tc>
          <w:tcPr>
            <w:tcW w:w="11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1,480.2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825.2</w:t>
            </w:r>
          </w:p>
        </w:tc>
      </w:tr>
      <w:tr>
        <w:trPr>
          <w:trHeight w:val="27"/>
        </w:trPr>
        <w:tc>
          <w:tcPr>
            <w:tcW w:w="116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8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1,397.3</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1,100.3</w:t>
            </w:r>
          </w:p>
        </w:tc>
      </w:tr>
      <w:tr>
        <w:trPr>
          <w:trHeight w:val="20"/>
        </w:trPr>
        <w:tc>
          <w:tcPr>
            <w:tcW w:w="11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240" w:top="118" w:right="579" w:bottom="1440" w:gutter="0" w:footer="0" w:header="0"/>
        </w:sectPr>
      </w:pPr>
    </w:p>
    <w:bookmarkStart w:id="7" w:name="page8"/>
    <w:bookmarkEnd w:id="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2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2018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with the current period's presentation.</w:t>
      </w: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adopted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on January 1, 2019 (the "effective date") and used the effective date as our date of initial application. See Note 8. The new standard requires a lessee to recognize on its balance sheet (for both finance and operating leases) a liability for future lease payments and a right-of-use asset representing its right to use the underlying asset over the lease term. We elected the practical expedients upon transition, which permitted companies to not reassess lease identification, classification, and initial direct costs under the new standard for leases that commenced prior to the effective date. Upon adoption of the new standard, we recognized right-of-use assets of $33.2 million related to operating leases as of January 1, 2019. The impact of adopting the standard for the facilities that we had historically applied build-to-suit and capital lease accounting was not material to our Condensed Consolidated Financial Statements. Prior period amounts have not been adjusted in connection with the adoption of this standard.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 Product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1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Product Sales in the United States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360" w:type="dxa"/>
            <w:vAlign w:val="bottom"/>
            <w:tcBorders>
              <w:right w:val="single" w:sz="8" w:color="CCEEFF"/>
            </w:tcBorders>
          </w:tcPr>
          <w:p>
            <w:pPr>
              <w:spacing w:after="0"/>
              <w:rPr>
                <w:sz w:val="22"/>
                <w:szCs w:val="22"/>
                <w:color w:val="auto"/>
              </w:rPr>
            </w:pPr>
          </w:p>
        </w:tc>
        <w:tc>
          <w:tcPr>
            <w:tcW w:w="3820" w:type="dxa"/>
            <w:vAlign w:val="bottom"/>
            <w:gridSpan w:val="2"/>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2,997.8</w:t>
            </w: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38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5"/>
                <w:szCs w:val="25"/>
                <w:color w:val="auto"/>
                <w:vertAlign w:val="superscript"/>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360" w:type="dxa"/>
            <w:vAlign w:val="bottom"/>
            <w:tcBorders>
              <w:right w:val="single" w:sz="8" w:color="CCEEFF"/>
            </w:tcBorders>
          </w:tcPr>
          <w:p>
            <w:pPr>
              <w:spacing w:after="0"/>
              <w:rPr>
                <w:sz w:val="23"/>
                <w:szCs w:val="23"/>
                <w:color w:val="auto"/>
              </w:rPr>
            </w:pPr>
          </w:p>
        </w:tc>
        <w:tc>
          <w:tcPr>
            <w:tcW w:w="382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color w:val="auto"/>
                <w:vertAlign w:val="superscript"/>
              </w:rPr>
              <w:t>®</w:t>
            </w: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3,009.8</w:t>
            </w: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accounted for more than 10% of total gross product revenue for each of the three and nine months ended September 30, 2019 and 2018. Sales to each of these customers as a percentage of the Company's total gross product revenue are as follows:</w:t>
      </w:r>
    </w:p>
    <w:p>
      <w:pPr>
        <w:spacing w:after="0" w:line="37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320" w:type="dxa"/>
            <w:vAlign w:val="bottom"/>
          </w:tcPr>
          <w:p>
            <w:pPr>
              <w:spacing w:after="0"/>
              <w:rPr>
                <w:sz w:val="20"/>
                <w:szCs w:val="20"/>
                <w:color w:val="auto"/>
              </w:rPr>
            </w:pPr>
          </w:p>
        </w:tc>
        <w:tc>
          <w:tcPr>
            <w:tcW w:w="20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4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5"/>
        </w:trPr>
        <w:tc>
          <w:tcPr>
            <w:tcW w:w="4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Besse Medical, a subsidiary of AmerisourceBergen</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41"/>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bl>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provisions, and credits/payments, for sales-related deductions during the nine months ended September 30, 2019 and 2018.</w:t>
      </w:r>
    </w:p>
    <w:p>
      <w:pPr>
        <w:sectPr>
          <w:pgSz w:w="11900" w:h="16838" w:orient="portrait"/>
          <w:cols w:equalWidth="0" w:num="1">
            <w:col w:w="11420"/>
          </w:cols>
          <w:pgMar w:left="240" w:top="126"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6" w:right="239" w:bottom="1440" w:gutter="0" w:footer="0" w:header="0"/>
          <w:type w:val="continuous"/>
        </w:sectPr>
      </w:pPr>
    </w:p>
    <w:bookmarkStart w:id="8" w:name="page9"/>
    <w:bookmarkEnd w:id="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Chargebacks, and</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2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w:t>
            </w:r>
          </w:p>
        </w:tc>
      </w:tr>
      <w:tr>
        <w:trPr>
          <w:trHeight w:val="311"/>
        </w:trPr>
        <w:tc>
          <w:tcPr>
            <w:tcW w:w="3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344.3</w:t>
            </w:r>
          </w:p>
        </w:tc>
      </w:tr>
      <w:tr>
        <w:trPr>
          <w:trHeight w:val="243"/>
        </w:trPr>
        <w:tc>
          <w:tcPr>
            <w:tcW w:w="3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Credits/payments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r>
      <w:tr>
        <w:trPr>
          <w:trHeight w:val="27"/>
        </w:trPr>
        <w:tc>
          <w:tcPr>
            <w:tcW w:w="3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collaboration revenue we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Sanofi Collaboration Revenue</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commercialization-related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for Regeneron's manufacturing</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of commercial supplies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Regeneron's share of profits (losses) in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connection with commercialization of</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antibodies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Antibody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Immuno-oncology: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development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Reimbursement of Regeneron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commercialization-related expenses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recognized in connection with up-front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payments received</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Immuno-oncology</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20"/>
          </w:cols>
          <w:pgMar w:left="240" w:top="126" w:right="839" w:bottom="1440" w:gutter="0" w:footer="0" w:header="0"/>
        </w:sectPr>
      </w:pPr>
    </w:p>
    <w:p>
      <w:pPr>
        <w:spacing w:after="0" w:line="3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20"/>
          </w:cols>
          <w:pgMar w:left="240" w:top="126" w:right="839" w:bottom="1440" w:gutter="0" w:footer="0" w:header="0"/>
          <w:type w:val="continuous"/>
        </w:sectPr>
      </w:pPr>
    </w:p>
    <w:bookmarkStart w:id="9" w:name="page10"/>
    <w:bookmarkEnd w:id="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28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discover, develop, and commercialize fully human monoclonal antibodies (the "Antibody Collaboration")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Under the companies' Antibody License and Collaboration Agreement, following receipt of the first positive Phase 3 trial results for a co-developed drug candidate, subsequent Phase 3 trial-related costs for that drug candidate ("Shared Phase 3 Trial Costs") are shared 80% by Sanofi and 20% by Regeneron. All other agreed-upon worldwide development expenses incurred by both companies are funded by Sanofi. The Company recognized as research and development expense $10.2 million and $13.4 million during the three months ended September 30, 2019 and 2018, respectively, and during the nine months ended September 30, 2019 and 2018, the Company recognized as research and development expense $29.8 million and $37.2 million, respectively, its share of antibody development expenses that Sanofi incurred related to Dupixent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(dupilumab), Praluent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(alirocumab), and Kevzara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(sarilumab).</w:t>
      </w:r>
    </w:p>
    <w:p>
      <w:pPr>
        <w:spacing w:after="0" w:line="2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7, 2018, the Company and Sanofi entered into a letter agreement (the "Letter Agreement") in connection with, among other matters, the allocation of additional funds to certain activities relating to dupilumab and REGN3500 (collectively, the "Dupilumab/REGN3500 Eligible Investments"). Refer to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for further details regarding the Letter Agreement. During the three months ended September 30, 2019, Sanofi elected to sell, and we elected to purchase (in cash), 69,143 shares of the Company's Common Stock in connection with Sanofi's funding obligation for Dupilumab/REGN3500 Eligible Investments. Consequently, we recorded the cost of the shares received, or $19.4 million, as Treasury Stock during the three months ended September 30, 2019.</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Sanofi leads commercialization activities for products developed under the Antibody Collaboration, subject to the Company's right to co-commercialize such products. In addition to profit and loss sharing, the Company is entitled to receive up to $250.0 million in sales milestone payments, with milestone payments commencing only if and after aggregate annual sales outside the United States exceed $1.0 billion on a rolling twelve-month basis. The amount of variable consideration related to our share of profits and losses, as well as sales milestones, is deemed to be constrained as of September 30, 2019, and therefore has not been included in the transaction price.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Antibody Collaboration with Sanofi:</w:t>
      </w:r>
    </w:p>
    <w:p>
      <w:pPr>
        <w:spacing w:after="0" w:line="302" w:lineRule="exact"/>
        <w:rPr>
          <w:sz w:val="20"/>
          <w:szCs w:val="20"/>
          <w:color w:val="auto"/>
        </w:rPr>
      </w:pPr>
    </w:p>
    <w:tbl>
      <w:tblPr>
        <w:tblLayout w:type="fixed"/>
        <w:tblInd w:w="23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3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4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shipments of commercial supplies to Sanofi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294.3</w:t>
            </w:r>
          </w:p>
        </w:tc>
      </w:tr>
      <w:tr>
        <w:trPr>
          <w:trHeight w:val="225"/>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18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34"/>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Sanofi antibody collaboration revenue in an amount equal to the amount we have the right to invoice and such amount corresponds directly with the value to Sanofi of our performance to date. Therefore, we do not disclose the value of the transaction price allocated to our remaining unsatisfied performance obligations.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2015, the Company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an Amended IO Discovery Agreement, which narrowed the scope of the existing discovery and development activities conducted by the Company ("IO Development Activities") under the</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Sanofi exercises its option to license rights to a BCMAxCD3 Program antibody or MUC16xCD3 Program antibody thereunder, it will co-develop these drug candidates with the Company through product approval.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co-developing and co-commercializing Libtayo (cemiplimab), an antibody targeting the receptor known as programmed cell death protein 1 (PD-1). The parties share equally, on an ongoing basis, agreed-upon development and commercialization expenses for Libtayo. Pursuant to the Letter Agreement, the Libtayo development budget was increased and the Company has agreed to allow Sanofi to satisfy in whole or in part its funding obligations with respect to the Libtayo development and Dupilumab/REGN3500 Eligible Investments by selling up to an aggregate of 1,400,000 shares (of which 869,828 currently remains available) of our Common Stock directly or indirectly owned by Sanofi through September 30, 2020.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During the three months ended September 30, 2019, Sanofi elected to sell, and we elected to purchase (by issuing a credit towards the amount owed by Sanofi), 103,761 shares of the Company's Common Stock to satisfy Sanofi's funding obligation related to Libtayo development costs. Consequently, we recorded the cost of the shares received, or $29.2 million, as Treasury Stock during the three months ended September 30, 2019. Refer to the "</w:t>
      </w:r>
      <w:r>
        <w:rPr>
          <w:rFonts w:ascii="Times New Roman" w:cs="Times New Roman" w:eastAsia="Times New Roman" w:hAnsi="Times New Roman"/>
          <w:sz w:val="18"/>
          <w:szCs w:val="18"/>
          <w:i w:val="1"/>
          <w:iCs w:val="1"/>
          <w:color w:val="auto"/>
        </w:rPr>
        <w:t>Antibody</w:t>
      </w:r>
      <w:r>
        <w:rPr>
          <w:rFonts w:ascii="Times New Roman" w:cs="Times New Roman" w:eastAsia="Times New Roman" w:hAnsi="Times New Roman"/>
          <w:sz w:val="18"/>
          <w:szCs w:val="18"/>
          <w:color w:val="auto"/>
        </w:rPr>
        <w:t>" section above for a description of share transactions related to Dupilumab/REGN3500 Eligible Investments.</w:t>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principal control over the development of Libtayo and leads commercialization activities in the United States, while Sanofi leads commercialization activities outside of the United States and the parties equally share profits and losses from worldwide sales. As it relates to revenue earned in connection with the IO Collaboration, "Reimbursement of Regeneron commercialization-related expenses" represents reimbursement of costs by Sanofi in connection with the commercialization of Libtayo outside of the United States.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IO Collaboration with Sanofi:</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r>
      <w:tr>
        <w:trPr>
          <w:trHeight w:val="270"/>
        </w:trPr>
        <w:tc>
          <w:tcPr>
            <w:tcW w:w="23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3"/>
                <w:szCs w:val="23"/>
                <w:color w:val="auto"/>
              </w:rPr>
            </w:pPr>
          </w:p>
        </w:tc>
      </w:tr>
      <w:tr>
        <w:trPr>
          <w:trHeight w:val="27"/>
        </w:trPr>
        <w:tc>
          <w:tcPr>
            <w:tcW w:w="238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38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00" w:type="dxa"/>
            <w:vAlign w:val="bottom"/>
            <w:tcBorders>
              <w:bottom w:val="single" w:sz="8" w:color="CCEEFF"/>
            </w:tcBorders>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21"/>
                <w:szCs w:val="21"/>
                <w:color w:val="auto"/>
              </w:rPr>
            </w:pPr>
          </w:p>
        </w:tc>
      </w:tr>
      <w:tr>
        <w:trPr>
          <w:trHeight w:val="243"/>
        </w:trPr>
        <w:tc>
          <w:tcPr>
            <w:tcW w:w="238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70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20" w:type="dxa"/>
            <w:vAlign w:val="bottom"/>
          </w:tcPr>
          <w:p>
            <w:pPr>
              <w:spacing w:after="0"/>
              <w:rPr>
                <w:sz w:val="21"/>
                <w:szCs w:val="21"/>
                <w:color w:val="auto"/>
              </w:rPr>
            </w:pPr>
          </w:p>
        </w:tc>
      </w:tr>
      <w:tr>
        <w:trPr>
          <w:trHeight w:val="37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Significant changes in deferred revenue balances are as follows:</w:t>
            </w: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6"/>
        </w:trPr>
        <w:tc>
          <w:tcPr>
            <w:tcW w:w="2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24"/>
                <w:szCs w:val="24"/>
                <w:color w:val="auto"/>
              </w:rPr>
            </w:pPr>
          </w:p>
        </w:tc>
      </w:tr>
      <w:tr>
        <w:trPr>
          <w:trHeight w:val="238"/>
        </w:trPr>
        <w:tc>
          <w:tcPr>
            <w:tcW w:w="2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 2019</w:t>
            </w:r>
          </w:p>
        </w:tc>
        <w:tc>
          <w:tcPr>
            <w:tcW w:w="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444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5"/>
        </w:trPr>
        <w:tc>
          <w:tcPr>
            <w:tcW w:w="2380" w:type="dxa"/>
            <w:vAlign w:val="bottom"/>
            <w:tcBorders>
              <w:right w:val="single" w:sz="8" w:color="CCEEFF"/>
            </w:tcBorders>
          </w:tcPr>
          <w:p>
            <w:pPr>
              <w:spacing w:after="0"/>
              <w:rPr>
                <w:sz w:val="17"/>
                <w:szCs w:val="17"/>
                <w:color w:val="auto"/>
              </w:rPr>
            </w:pPr>
          </w:p>
        </w:tc>
        <w:tc>
          <w:tcPr>
            <w:tcW w:w="4440" w:type="dxa"/>
            <w:vAlign w:val="bottom"/>
            <w:gridSpan w:val="3"/>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Increase as a result of payment received from Sanofi in</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1"/>
        </w:trPr>
        <w:tc>
          <w:tcPr>
            <w:tcW w:w="2380" w:type="dxa"/>
            <w:vAlign w:val="bottom"/>
            <w:tcBorders>
              <w:right w:val="single" w:sz="8" w:color="CCEEFF"/>
            </w:tcBorders>
          </w:tcPr>
          <w:p>
            <w:pPr>
              <w:spacing w:after="0"/>
              <w:rPr>
                <w:sz w:val="20"/>
                <w:szCs w:val="20"/>
                <w:color w:val="auto"/>
              </w:rPr>
            </w:pPr>
          </w:p>
        </w:tc>
        <w:tc>
          <w:tcPr>
            <w:tcW w:w="4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connection with the Amended IO Discovery Agreement</w:t>
            </w: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5"/>
        </w:trPr>
        <w:tc>
          <w:tcPr>
            <w:tcW w:w="2380" w:type="dxa"/>
            <w:vAlign w:val="bottom"/>
          </w:tcPr>
          <w:p>
            <w:pPr>
              <w:spacing w:after="0"/>
              <w:rPr>
                <w:sz w:val="19"/>
                <w:szCs w:val="19"/>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6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20"/>
                <w:szCs w:val="20"/>
                <w:color w:val="auto"/>
              </w:rPr>
            </w:pPr>
          </w:p>
        </w:tc>
      </w:tr>
      <w:tr>
        <w:trPr>
          <w:trHeight w:val="27"/>
        </w:trPr>
        <w:tc>
          <w:tcPr>
            <w:tcW w:w="2380" w:type="dxa"/>
            <w:vAlign w:val="bottom"/>
          </w:tcPr>
          <w:p>
            <w:pPr>
              <w:spacing w:after="0"/>
              <w:rPr>
                <w:sz w:val="2"/>
                <w:szCs w:val="2"/>
                <w:color w:val="auto"/>
              </w:rPr>
            </w:pPr>
          </w:p>
        </w:tc>
        <w:tc>
          <w:tcPr>
            <w:tcW w:w="4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2380" w:type="dxa"/>
            <w:vAlign w:val="bottom"/>
            <w:tcBorders>
              <w:right w:val="single" w:sz="8" w:color="CCEEFF"/>
            </w:tcBorders>
          </w:tcPr>
          <w:p>
            <w:pPr>
              <w:spacing w:after="0"/>
              <w:rPr>
                <w:sz w:val="19"/>
                <w:szCs w:val="19"/>
                <w:color w:val="auto"/>
              </w:rPr>
            </w:pPr>
          </w:p>
        </w:tc>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that was added to deferred revenue</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41"/>
        </w:trPr>
        <w:tc>
          <w:tcPr>
            <w:tcW w:w="2380" w:type="dxa"/>
            <w:vAlign w:val="bottom"/>
            <w:tcBorders>
              <w:right w:val="single" w:sz="8" w:color="CCEEFF"/>
            </w:tcBorders>
          </w:tcPr>
          <w:p>
            <w:pPr>
              <w:spacing w:after="0"/>
              <w:rPr>
                <w:sz w:val="20"/>
                <w:szCs w:val="20"/>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during the period</w:t>
            </w:r>
          </w:p>
        </w:tc>
        <w:tc>
          <w:tcPr>
            <w:tcW w:w="6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 w:type="dxa"/>
            <w:vAlign w:val="bottom"/>
            <w:tcBorders>
              <w:bottom w:val="single" w:sz="8" w:color="CCEEFF"/>
            </w:tcBorders>
            <w:shd w:val="clear" w:color="auto" w:fill="CCEEFF"/>
          </w:tcPr>
          <w:p>
            <w:pPr>
              <w:spacing w:after="0"/>
              <w:rPr>
                <w:sz w:val="20"/>
                <w:szCs w:val="20"/>
                <w:color w:val="auto"/>
              </w:rPr>
            </w:pPr>
          </w:p>
        </w:tc>
      </w:tr>
      <w:tr>
        <w:trPr>
          <w:trHeight w:val="810"/>
        </w:trPr>
        <w:tc>
          <w:tcPr>
            <w:tcW w:w="23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0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under the IO Collaboration allocated to the Company's performance obligation that was unsatisfied (or partially unsatisfied) as of September 30, 2019 was $1,196.9 million. This amount is expected to be recognized as revenue over the remaining period in which the Company is obligated to satisfy its performance obligation in connection with performing development activities.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our Bayer EYLEA collaboration is as follows (note that the table excludes amounts in connection with our Bayer Ang2 antibody and PDGFR-beta antibody collaboration agreements, which were previously terminated):</w:t>
      </w:r>
    </w:p>
    <w:p>
      <w:pPr>
        <w:spacing w:after="0" w:line="374"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Bayer EYLEA Collaboration Revenue</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98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2940" w:type="dxa"/>
            <w:vAlign w:val="bottom"/>
            <w:tcBorders>
              <w:top w:val="single" w:sz="8" w:color="auto"/>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980" w:type="dxa"/>
            <w:vAlign w:val="bottom"/>
            <w:gridSpan w:val="3"/>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commercialization of EYLEA outside the United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25"/>
        </w:trPr>
        <w:tc>
          <w:tcPr>
            <w:tcW w:w="3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Reimbursement of Regeneron EYLEA development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outside the United States. Bayer markets EYLEA outside the United States, where, for countries other than Japan, the companies share equally in profits and losses from sales of EYLEA. In Japan, the Company is currently entitled to receive a tiered percentage of between 33.5% and 40.0% of EYLEA net product sales. In addition, the Company and Bayer share the funding of agreed-upon EYLEA development costs.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Teva</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2016, the Company and Teva entered into a collaboration agreement (the "Teva Collaboration Agreement") to develop and commercialize fasinumab globally, excluding certain Asian countries that are subject to our collaboration agreement with Mitsubishi Tanabe Pharma Corporation. In connection with the Teva Collaboration Agreement, Teva made a $250.0 million non-refundable up-front payment during 2016. The Company leads global development activities, and the parties share development costs equally, on an ongoing basis, under a global development plan. The Company is also responsible for the manufacture and supply of fasinumab globally.</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$57.4 million and $69.1 million of revenue for the three months ended September 30, 2019 and 2018, respectively, and $172.2 million and $196.6 million for the nine months ended September 30, 2019 and 2018, respectively, in connection with the Teva Collaboration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Teva Collaboration Agreement:</w:t>
      </w:r>
    </w:p>
    <w:p>
      <w:pPr>
        <w:spacing w:after="0" w:line="302" w:lineRule="exact"/>
        <w:rPr>
          <w:sz w:val="20"/>
          <w:szCs w:val="20"/>
          <w:color w:val="auto"/>
        </w:rPr>
      </w:pPr>
    </w:p>
    <w:tbl>
      <w:tblPr>
        <w:tblLayout w:type="fixed"/>
        <w:tblInd w:w="196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4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5"/>
        </w:trPr>
        <w:tc>
          <w:tcPr>
            <w:tcW w:w="4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Accounts receivable (recorded within Prepaid expenses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deferred revenue balances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4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5"/>
        </w:trPr>
        <w:tc>
          <w:tcPr>
            <w:tcW w:w="46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Revenue recognized that was included in deferred revenue at</w:t>
            </w: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4"/>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beginning of the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7"/>
        </w:trPr>
        <w:tc>
          <w:tcPr>
            <w:tcW w:w="4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6" w:right="239" w:bottom="1440" w:gutter="0" w:footer="0" w:header="0"/>
          <w:type w:val="continuous"/>
        </w:sectPr>
      </w:pPr>
    </w:p>
    <w:bookmarkStart w:id="12" w:name="page13"/>
    <w:bookmarkEnd w:id="1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under the Teva Collaboration Agreement allocated to the Company's performance obligation that was unsatisfied (or partially unsatisfied) as of September 30, 2019 was $300.6 million. This amount is expected to be recognized as revenue over the remaining period in which the Company is obligated to satisfy its performance obligation in connection with performing development activities.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Alnylam</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2019, the Company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which was recorded in Research and development expense during the second quarter of 2019.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collaboration, we and Alnylam also entered into a Stock Purchase Agreement. Pursuant to the terms of the Stock Purchase Agreement, we purchased shares of Alnylam common stock for aggregate cash consideration of $400.0 million.</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is consistent with the financial terms contained in the form of the existing Co-Commercialization Collaboration Agreement with Alnylam and the parties will share in development expenses equally.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6" w:right="23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65"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3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r>
      <w:tr>
        <w:trPr>
          <w:trHeight w:val="324"/>
        </w:trPr>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7"/>
        </w:trPr>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3"/>
        </w:trPr>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1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2520" w:type="dxa"/>
            <w:vAlign w:val="bottom"/>
          </w:tcPr>
          <w:p>
            <w:pPr>
              <w:spacing w:after="0"/>
              <w:rPr>
                <w:sz w:val="20"/>
                <w:szCs w:val="20"/>
                <w:color w:val="auto"/>
              </w:rPr>
            </w:pPr>
          </w:p>
        </w:tc>
        <w:tc>
          <w:tcPr>
            <w:tcW w:w="2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20" w:type="dxa"/>
            <w:vAlign w:val="bottom"/>
            <w:vMerge w:val="continue"/>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No shares have been repurchased under the program to date, and there can be no assurance as to the timing or number of shares of any repurchases in the future.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September 30, 2019 and December 31, 2018 consist of both available-for-sale debt securities of investment grade issuers (see below and Note 6) as well as equity securities of publicly traded companies (see Note 6).</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6" w:right="239" w:bottom="1440" w:gutter="0" w:footer="0" w:header="0"/>
          <w:type w:val="continuous"/>
        </w:sectPr>
      </w:pPr>
    </w:p>
    <w:bookmarkStart w:id="14" w:name="page15"/>
    <w:bookmarkEnd w:id="1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7"/>
        </w:trPr>
        <w:tc>
          <w:tcPr>
            <w:tcW w:w="5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160" w:type="dxa"/>
            <w:vAlign w:val="bottom"/>
          </w:tcPr>
          <w:p>
            <w:pPr>
              <w:spacing w:after="0"/>
              <w:rPr>
                <w:sz w:val="2"/>
                <w:szCs w:val="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96"/>
        </w:trPr>
        <w:tc>
          <w:tcPr>
            <w:tcW w:w="528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3,880.6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3,907.0</w:t>
            </w:r>
          </w:p>
        </w:tc>
        <w:tc>
          <w:tcPr>
            <w:tcW w:w="0" w:type="dxa"/>
            <w:vAlign w:val="bottom"/>
          </w:tcPr>
          <w:p>
            <w:pPr>
              <w:spacing w:after="0"/>
              <w:rPr>
                <w:sz w:val="1"/>
                <w:szCs w:val="1"/>
                <w:color w:val="auto"/>
              </w:rPr>
            </w:pPr>
          </w:p>
        </w:tc>
      </w:tr>
      <w:tr>
        <w:trPr>
          <w:trHeight w:val="24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4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4,148.9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4,176.0</w:t>
            </w:r>
          </w:p>
        </w:tc>
        <w:tc>
          <w:tcPr>
            <w:tcW w:w="0" w:type="dxa"/>
            <w:vAlign w:val="bottom"/>
          </w:tcPr>
          <w:p>
            <w:pPr>
              <w:spacing w:after="0"/>
              <w:rPr>
                <w:sz w:val="1"/>
                <w:szCs w:val="1"/>
                <w:color w:val="auto"/>
              </w:rPr>
            </w:pP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33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2,718.4</w:t>
            </w:r>
          </w:p>
        </w:tc>
        <w:tc>
          <w:tcPr>
            <w:tcW w:w="0" w:type="dxa"/>
            <w:vAlign w:val="bottom"/>
          </w:tcPr>
          <w:p>
            <w:pPr>
              <w:spacing w:after="0"/>
              <w:rPr>
                <w:sz w:val="1"/>
                <w:szCs w:val="1"/>
                <w:color w:val="auto"/>
              </w:rPr>
            </w:pPr>
          </w:p>
        </w:tc>
      </w:tr>
      <w:tr>
        <w:trPr>
          <w:trHeight w:val="24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Sovereign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5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3,026.6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listed as of September 30, 2019 mature at various dates through September 2024. The fair values of available-for-sale debt security investments by contractual maturity consist of the following:</w:t>
      </w:r>
    </w:p>
    <w:p>
      <w:pPr>
        <w:spacing w:after="0" w:line="388" w:lineRule="exact"/>
        <w:rPr>
          <w:sz w:val="20"/>
          <w:szCs w:val="20"/>
          <w:color w:val="auto"/>
        </w:rPr>
      </w:pPr>
    </w:p>
    <w:tbl>
      <w:tblPr>
        <w:tblLayout w:type="fixed"/>
        <w:tblInd w:w="204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7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3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5" w:name="page16"/>
    <w:bookmarkEnd w:id="1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available-for-sale debt securities that have unrealized losses and that are deemed to be only temporarily impaired, aggregated by investment category and length of time that the individual securities have been in a continuous unrealized loss position.</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5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198"/>
        </w:trPr>
        <w:tc>
          <w:tcPr>
            <w:tcW w:w="20" w:type="dxa"/>
            <w:vAlign w:val="bottom"/>
          </w:tcPr>
          <w:p>
            <w:pPr>
              <w:spacing w:after="0"/>
              <w:rPr>
                <w:sz w:val="17"/>
                <w:szCs w:val="17"/>
                <w:color w:val="auto"/>
              </w:rPr>
            </w:pPr>
          </w:p>
        </w:tc>
        <w:tc>
          <w:tcPr>
            <w:tcW w:w="32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160" w:type="dxa"/>
            <w:vAlign w:val="bottom"/>
          </w:tcPr>
          <w:p>
            <w:pPr>
              <w:spacing w:after="0"/>
              <w:rPr>
                <w:sz w:val="17"/>
                <w:szCs w:val="17"/>
                <w:color w:val="auto"/>
              </w:rPr>
            </w:pPr>
          </w:p>
        </w:tc>
        <w:tc>
          <w:tcPr>
            <w:tcW w:w="120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7"/>
                <w:szCs w:val="17"/>
                <w:color w:val="auto"/>
              </w:rPr>
            </w:pPr>
          </w:p>
        </w:tc>
        <w:tc>
          <w:tcPr>
            <w:tcW w:w="11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0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5"/>
        </w:trPr>
        <w:tc>
          <w:tcPr>
            <w:tcW w:w="20" w:type="dxa"/>
            <w:vAlign w:val="bottom"/>
          </w:tcPr>
          <w:p>
            <w:pPr>
              <w:spacing w:after="0"/>
              <w:rPr>
                <w:sz w:val="19"/>
                <w:szCs w:val="19"/>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of December 31, 2018</w:t>
            </w:r>
          </w:p>
        </w:tc>
        <w:tc>
          <w:tcPr>
            <w:tcW w:w="134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3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900.7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2,383.3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realized losses on sales of marketable securities, and realized gains were not material, for the three and nine months ended September 30, 2019. Realized gains and losses on sales of marketable securities were not material for the three and nine months ended September 30, 2018.</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marketable securities, for the three and nine months ended September 30, 2019 and 2018, amounts reclassified from Accumulated other comprehensive income (loss) into Other income (expense), net were related to realized gains and losses on sales of available-for-sale debt securities.</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6" w:right="239" w:bottom="1440" w:gutter="0" w:footer="0" w:header="0"/>
        </w:sectPr>
      </w:pPr>
    </w:p>
    <w:bookmarkStart w:id="16" w:name="page17"/>
    <w:bookmarkEnd w:id="1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 Date</w:t>
            </w:r>
          </w:p>
        </w:tc>
      </w:t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Using</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for Identical</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Significant Other</w:t>
            </w: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Observable Inputs</w:t>
            </w:r>
          </w:p>
        </w:tc>
      </w:tr>
      <w:tr>
        <w:trPr>
          <w:trHeight w:val="198"/>
        </w:trPr>
        <w:tc>
          <w:tcPr>
            <w:tcW w:w="20" w:type="dxa"/>
            <w:vAlign w:val="bottom"/>
          </w:tcPr>
          <w:p>
            <w:pPr>
              <w:spacing w:after="0"/>
              <w:rPr>
                <w:sz w:val="17"/>
                <w:szCs w:val="17"/>
                <w:color w:val="auto"/>
              </w:rPr>
            </w:pPr>
          </w:p>
        </w:tc>
        <w:tc>
          <w:tcPr>
            <w:tcW w:w="5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September 30, 2019</w:t>
            </w:r>
          </w:p>
        </w:tc>
        <w:tc>
          <w:tcPr>
            <w:tcW w:w="280" w:type="dxa"/>
            <w:vAlign w:val="bottom"/>
          </w:tcPr>
          <w:p>
            <w:pPr>
              <w:spacing w:after="0"/>
              <w:rPr>
                <w:sz w:val="17"/>
                <w:szCs w:val="17"/>
                <w:color w:val="auto"/>
              </w:rPr>
            </w:pPr>
          </w:p>
        </w:tc>
        <w:tc>
          <w:tcPr>
            <w:tcW w:w="1540" w:type="dxa"/>
            <w:vAlign w:val="bottom"/>
            <w:gridSpan w:val="2"/>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17"/>
                <w:szCs w:val="17"/>
                <w:color w:val="auto"/>
              </w:rPr>
            </w:pPr>
          </w:p>
        </w:tc>
        <w:tc>
          <w:tcPr>
            <w:tcW w:w="164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7"/>
                <w:szCs w:val="17"/>
                <w:color w:val="auto"/>
              </w:rPr>
            </w:pPr>
          </w:p>
        </w:tc>
        <w:tc>
          <w:tcPr>
            <w:tcW w:w="158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b w:val="1"/>
                <w:bCs w:val="1"/>
                <w:color w:val="auto"/>
                <w:w w:val="97"/>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88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3,907.0</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Sovereign bonds</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333.5</w:t>
            </w:r>
          </w:p>
        </w:tc>
      </w:tr>
      <w:tr>
        <w:trPr>
          <w:trHeight w:val="27"/>
        </w:trPr>
        <w:tc>
          <w:tcPr>
            <w:tcW w:w="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534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2018</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2,718.4</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Sovereign bonds</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20" w:type="dxa"/>
            <w:vAlign w:val="bottom"/>
          </w:tcPr>
          <w:p>
            <w:pPr>
              <w:spacing w:after="0"/>
              <w:rPr>
                <w:sz w:val="21"/>
                <w:szCs w:val="21"/>
                <w:color w:val="auto"/>
              </w:rPr>
            </w:pPr>
          </w:p>
        </w:tc>
        <w:tc>
          <w:tcPr>
            <w:tcW w:w="53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20" w:type="dxa"/>
            <w:vAlign w:val="bottom"/>
          </w:tcPr>
          <w:p>
            <w:pPr>
              <w:spacing w:after="0"/>
              <w:rPr>
                <w:sz w:val="21"/>
                <w:szCs w:val="21"/>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 (unrestricted)</w:t>
            </w:r>
          </w:p>
        </w:tc>
        <w:tc>
          <w:tcPr>
            <w:tcW w:w="2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(restricted)</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w:t>
            </w: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3,053.6</w:t>
            </w: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held certain restricted equity securities as of September 30, 2019, including its investment in Alnylam (see Note 3), which are subject to transfer restrictions that expire at various dates through 2023.</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we recorded $15.7 million of net unrealized gains and $58.4 million of net unrealized losses, respectively, on equity securities in Other income (expense), net. During the three and nine months ended September 30, 2018, we recorded $4.9 million of net unrealized losses and $21.0 million of net unrealized gains, respectively, on equity securities in Other income (expense), net.</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2019 and December 31, 2018, the Company had $43.1 million and $45.5 million, respectively, in equity investments that do not have a readily determinable fair value. These investments are recorded within Other noncurrent assets.</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6" w:right="239" w:bottom="1440" w:gutter="0" w:footer="0" w:header="0"/>
          <w:type w:val="continuous"/>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25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25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5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r>
      <w:tr>
        <w:trPr>
          <w:trHeight w:val="243"/>
        </w:trPr>
        <w:tc>
          <w:tcPr>
            <w:tcW w:w="254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Work-in-process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r>
      <w:tr>
        <w:trPr>
          <w:trHeight w:val="27"/>
        </w:trPr>
        <w:tc>
          <w:tcPr>
            <w:tcW w:w="2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54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2540" w:type="dxa"/>
            <w:vAlign w:val="bottom"/>
          </w:tcPr>
          <w:p>
            <w:pPr>
              <w:spacing w:after="0"/>
              <w:rPr>
                <w:sz w:val="21"/>
                <w:szCs w:val="21"/>
                <w:color w:val="auto"/>
              </w:rPr>
            </w:pPr>
          </w:p>
        </w:tc>
        <w:tc>
          <w:tcPr>
            <w:tcW w:w="3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r>
      <w:tr>
        <w:trPr>
          <w:trHeight w:val="27"/>
        </w:trPr>
        <w:tc>
          <w:tcPr>
            <w:tcW w:w="254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540" w:type="dxa"/>
            <w:vAlign w:val="bottom"/>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r>
      <w:tr>
        <w:trPr>
          <w:trHeight w:val="20"/>
        </w:trPr>
        <w:tc>
          <w:tcPr>
            <w:tcW w:w="254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 In these instances, the Company is reimbursed for its manufacturing costs as product is shipped to its collaborators; however, recognition of such cost reimbursements as revenue is deferred until the product is sold by the Company's collaborators to third-party customers.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conduct certain of our research, development, and administrative activities at leased facilities. We also lease certain warehouses and vehicles. As described in Note 1, during the first quarter of 2019, we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considering whether there is an identified asset and the contract conveys the right to control its use. Leases with an initial term of 12 months or less are not recorded on the balance sheet. Our lease terms may include options to extend or terminate a lease when it is reasonably certain that we will exercise that option. We account for lease components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rental payments) separately from non-lease components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common area maintenance costs).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Right-of-use assets and lease liabilities are recognized at lease commencement date based on the present value of lease payments over the lease term, unless there is a transfer of title or purchase option we are reasonably certain to exercise. For leases where an implicit rate is not readily determinable, we use our incremental borrowing rate based on information available at the lease commencement date to determine the present value of future lease payments. Lease expense for operating leases is recognized on a straight-line basis over the expected lease term.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recognized in our Condensed Consolidated Balance Sheets and Statements of Operations included in this report associated with operating leases were not material. Operating lease right-of-use assets are included within Other noncurrent assets, and lease liabilities are included in Accrued expenses and other current liabilities and Other noncurrent liabilities.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2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March 2017, we entered into a Participation Agreement with BA Leasing BSC, LLC, an affiliate of Banc of America Leasing &amp; Capital LLC ("BAL"), as lessor, and a syndicate of lenders (collectively, the "Participants"). In March 2017, we also entered into a Lease and Remedies Agreement with BAL, pursuant to which we have leased laboratory and office facilities in Tarrytown, New York (the "Facility") for a five-year term. The Participation Agreement, the Lease and Remedies Agreement, and certain other related agreements were amended and restated in May 2019, among other things, to revise certain covenants, representations and warranties, and events of default to be substantially similar to those set forth in the agreement governing the Company's revolving credit facility (as so amended and restated, the "Participation Agreement" and the "Lease," respectively). The Lease requires us to pay all maintenance, insurance, taxes, and other costs arising out of the use of the Facility. We are also required to make monthly payments of basic rent during the term of the Lease in an amount equal to a variable rate per annum based on the one-month LIBOR, plus an applicable margin that varies with our debt rating and total leverage ratio. 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6" w:right="239" w:bottom="1440" w:gutter="0" w:footer="0" w:header="0"/>
          <w:type w:val="continuous"/>
        </w:sectPr>
      </w:pPr>
    </w:p>
    <w:bookmarkStart w:id="18" w:name="page19"/>
    <w:bookmarkEnd w:id="1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party on behalf of BAL. The advances under the Participation Agreement mature, and all amounts outstanding thereunder will become due and payable in full, at the end of the term of the Lease.</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January 1, 2019, for certain of the premises under the Lease we were deemed, in substance, to be the owner of the buildings (collectively, the "Build-to-Suit Buildings"). Upon the adoption of ASC 842, the classification of the Build-to-Suit Buildings, for which the construction period had been completed, was reassessed and, consequently, they were derecognized and recognized as a finance lease. These premises, along with the other premises under the Lease, are classified as a finance lease as we have the option to purchase the Facility under terms that make it reasonably certain to be exercised.</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agreements governing the Lease financing contain financial and operating covenants. The Company was in compliance with all such covenants as of September 30, 2019.</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recognized in the Condensed Consolidated Balance Sheet related to the Lease are included in the table below. Other than the Lease described above, we had no leases accounted for as finance leases as of September 30, 2019.</w:t>
      </w:r>
    </w:p>
    <w:p>
      <w:pPr>
        <w:spacing w:after="0" w:line="374"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0"/>
        </w:trPr>
        <w:tc>
          <w:tcPr>
            <w:tcW w:w="3140" w:type="dxa"/>
            <w:vAlign w:val="bottom"/>
          </w:tcPr>
          <w:p>
            <w:pPr>
              <w:spacing w:after="0"/>
              <w:rPr>
                <w:sz w:val="23"/>
                <w:szCs w:val="23"/>
                <w:color w:val="auto"/>
              </w:rPr>
            </w:pPr>
          </w:p>
        </w:tc>
        <w:tc>
          <w:tcPr>
            <w:tcW w:w="36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360" w:type="dxa"/>
            <w:vAlign w:val="bottom"/>
          </w:tcPr>
          <w:p>
            <w:pPr>
              <w:spacing w:after="0"/>
              <w:rPr>
                <w:sz w:val="23"/>
                <w:szCs w:val="23"/>
                <w:color w:val="auto"/>
              </w:rPr>
            </w:pPr>
          </w:p>
        </w:tc>
        <w:tc>
          <w:tcPr>
            <w:tcW w:w="192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314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2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Property, plant, and equipment, net </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r>
      <w:tr>
        <w:trPr>
          <w:trHeight w:val="243"/>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w:t>
            </w:r>
          </w:p>
        </w:tc>
      </w:tr>
    </w:tbl>
    <w:p>
      <w:pPr>
        <w:spacing w:after="0" w:line="153" w:lineRule="exact"/>
        <w:rPr>
          <w:sz w:val="20"/>
          <w:szCs w:val="20"/>
          <w:color w:val="auto"/>
        </w:rPr>
      </w:pPr>
    </w:p>
    <w:p>
      <w:pPr>
        <w:ind w:left="1600" w:hanging="140"/>
        <w:spacing w:after="0"/>
        <w:tabs>
          <w:tab w:leader="none" w:pos="16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Finance lease right-of-use assets are recorded net of accumulated amortization of $72.5 million as of September 30, 2019.</w:t>
      </w:r>
    </w:p>
    <w:p>
      <w:pPr>
        <w:spacing w:after="0" w:line="200" w:lineRule="exact"/>
        <w:rPr>
          <w:sz w:val="20"/>
          <w:szCs w:val="20"/>
          <w:color w:val="auto"/>
        </w:rPr>
      </w:pPr>
    </w:p>
    <w:p>
      <w:pPr>
        <w:spacing w:after="0" w:line="3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2018, property, plant, and equipment, at cost, included $723.9 million of leased property under the Lease. Accumulated amortization related to these assets amounted to $61.7 million as of December 31,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costs consist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 2019</w:t>
            </w:r>
          </w:p>
        </w:tc>
        <w:tc>
          <w:tcPr>
            <w:tcW w:w="220" w:type="dxa"/>
            <w:vAlign w:val="bottom"/>
          </w:tcPr>
          <w:p>
            <w:pPr>
              <w:spacing w:after="0"/>
              <w:rPr>
                <w:sz w:val="20"/>
                <w:szCs w:val="20"/>
                <w:color w:val="auto"/>
              </w:rPr>
            </w:pPr>
          </w:p>
        </w:tc>
        <w:tc>
          <w:tcPr>
            <w:tcW w:w="20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2019</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our finance lease includes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314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0"/>
        </w:trPr>
        <w:tc>
          <w:tcPr>
            <w:tcW w:w="2400" w:type="dxa"/>
            <w:vAlign w:val="bottom"/>
          </w:tcPr>
          <w:p>
            <w:pPr>
              <w:spacing w:after="0"/>
              <w:rPr>
                <w:sz w:val="23"/>
                <w:szCs w:val="23"/>
                <w:color w:val="auto"/>
              </w:rPr>
            </w:pPr>
          </w:p>
        </w:tc>
        <w:tc>
          <w:tcPr>
            <w:tcW w:w="27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24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2760" w:type="dxa"/>
            <w:vAlign w:val="bottom"/>
            <w:tcBorders>
              <w:bottom w:val="single" w:sz="8" w:color="CCEEFF"/>
            </w:tcBorders>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2.42</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7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2.89%</w:t>
            </w:r>
          </w:p>
        </w:tc>
      </w:tr>
      <w:tr>
        <w:trPr>
          <w:trHeight w:val="837"/>
        </w:trPr>
        <w:tc>
          <w:tcPr>
            <w:tcW w:w="2400" w:type="dxa"/>
            <w:vAlign w:val="bottom"/>
          </w:tcPr>
          <w:p>
            <w:pPr>
              <w:spacing w:after="0"/>
              <w:rPr>
                <w:sz w:val="24"/>
                <w:szCs w:val="24"/>
                <w:color w:val="auto"/>
              </w:rPr>
            </w:pPr>
          </w:p>
        </w:tc>
        <w:tc>
          <w:tcPr>
            <w:tcW w:w="11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18</w:t>
            </w: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Supplemental information</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86"/>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an analysis of lease liability maturities as of September 30, 2019:</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48"/>
        </w:trPr>
        <w:tc>
          <w:tcPr>
            <w:tcW w:w="1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7"/>
        </w:trPr>
        <w:tc>
          <w:tcPr>
            <w:tcW w:w="6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4"/>
        </w:trPr>
        <w:tc>
          <w:tcPr>
            <w:tcW w:w="1980" w:type="dxa"/>
            <w:vAlign w:val="bottom"/>
          </w:tcPr>
          <w:p>
            <w:pPr>
              <w:spacing w:after="0"/>
              <w:rPr>
                <w:sz w:val="21"/>
                <w:szCs w:val="21"/>
                <w:color w:val="auto"/>
              </w:rPr>
            </w:pPr>
          </w:p>
        </w:tc>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61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6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98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43"/>
        </w:trPr>
        <w:tc>
          <w:tcPr>
            <w:tcW w:w="61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r>
      <w:tr>
        <w:trPr>
          <w:trHeight w:val="27"/>
        </w:trPr>
        <w:tc>
          <w:tcPr>
            <w:tcW w:w="6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98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98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980" w:type="dxa"/>
            <w:vAlign w:val="bottom"/>
          </w:tcPr>
          <w:p>
            <w:pPr>
              <w:spacing w:after="0"/>
              <w:rPr>
                <w:sz w:val="23"/>
                <w:szCs w:val="23"/>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19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r>
      <w:tr>
        <w:trPr>
          <w:trHeight w:val="27"/>
        </w:trPr>
        <w:tc>
          <w:tcPr>
            <w:tcW w:w="198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1980" w:type="dxa"/>
            <w:vAlign w:val="bottom"/>
          </w:tcPr>
          <w:p>
            <w:pPr>
              <w:spacing w:after="0"/>
              <w:rPr>
                <w:sz w:val="21"/>
                <w:szCs w:val="21"/>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43"/>
        </w:trPr>
        <w:tc>
          <w:tcPr>
            <w:tcW w:w="19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financing costs</w:t>
            </w:r>
          </w:p>
        </w:tc>
        <w:tc>
          <w:tcPr>
            <w:tcW w:w="1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980" w:type="dxa"/>
            <w:vAlign w:val="bottom"/>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198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r>
      <w:tr>
        <w:trPr>
          <w:trHeight w:val="20"/>
        </w:trPr>
        <w:tc>
          <w:tcPr>
            <w:tcW w:w="1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2018, the estimated future minimum noncancelable lease commitments, excluding the purchase price we would be obligated to pay if we were to exercise our option to purchase the Facility, were as follows:</w:t>
      </w:r>
    </w:p>
    <w:p>
      <w:pPr>
        <w:spacing w:after="0" w:line="37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Capital and Facility</w:t>
            </w:r>
          </w:p>
        </w:tc>
      </w:tr>
      <w:tr>
        <w:trPr>
          <w:trHeight w:val="238"/>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 Obligations</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12.9% and 6.5% for the three months ended September 30, 2019 and 2018, respectively, and 14.0% and 13.5% for the nine months ended September 30, 2019 and 2018, respectively. The Company's effective tax rate for the three and nine months ended September 30, 2019 was positively impacted, compared to the U.S. federal statutory rate, primarily by federal tax credits for research activities, the foreign-derived intangible income deduction, and income earned in foreign jurisdictions with tax rates lower than the U.S. federal statutory rate, partly offset by the taxation of certain global intangible low-taxed income and the non-deductible Branded Prescription Drug Fee.</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2018 was positively impacted, compared to the U.S. federal statutory rate, primarily by the tax benefit associated with tax planning in connection with the "Tax Cuts and Jobs Act," the federal tax credit for research activities, and, to a lesser extent, stock-based compensation and income earned in foreign jurisdictions with tax rates lower than the U.S. federal statutory rate.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6, included in our purchases of marketable securities during the nine months ended September 30, 2019 is our purchase of Alnylam common stock.</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6" w:right="239" w:bottom="1440" w:gutter="0" w:footer="0" w:header="0"/>
          <w:type w:val="continuous"/>
        </w:sectPr>
      </w:pPr>
    </w:p>
    <w:bookmarkStart w:id="20" w:name="page21"/>
    <w:bookmarkEnd w:id="2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 to the total of the same such amounts shown in the Condensed Consolidated Statement of Cash Flows:</w:t>
      </w:r>
    </w:p>
    <w:p>
      <w:pPr>
        <w:spacing w:after="0" w:line="374"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6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1,397.3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1,100.3</w:t>
            </w:r>
          </w:p>
        </w:tc>
        <w:tc>
          <w:tcPr>
            <w:tcW w:w="0" w:type="dxa"/>
            <w:vAlign w:val="bottom"/>
          </w:tcPr>
          <w:p>
            <w:pPr>
              <w:spacing w:after="0"/>
              <w:rPr>
                <w:sz w:val="1"/>
                <w:szCs w:val="1"/>
                <w:color w:val="auto"/>
              </w:rPr>
            </w:pPr>
          </w:p>
        </w:tc>
      </w:tr>
      <w:tr>
        <w:trPr>
          <w:trHeight w:val="241"/>
        </w:trPr>
        <w:tc>
          <w:tcPr>
            <w:tcW w:w="5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Consolidated Statement of Cash Flows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by financial institutions pursuant to contractual arrangements.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accounts payable, accrued expenses, and other liabilities as of September 30, 2019 and December 31, 2018 were $100.5 million and $54.5 million, respectively, of accrued capital expenditures. Included in accounts payable, accrued expenses, and other liabilities as of September 30, 2018 and December 31, 2017 were $40.5 million and $41.8 million, respectively, of accrued capital expenditures.</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3, during the nine months ended September 30, 2019, we purchased (by issuing a credit towards the amount owed by Sanofi) 210,733 shares of our Common Stock from Sanofi to satisfy Sanofi's funding obligation related to Libtayo development costs, and recorded the cost of the shares received, or $73.3 million, as Treasury Stock. During the nine months ended September 30, 2018, we purchased (by issuing a credit towards the amount owed by Sanofi) 215,387 shares of our Common Stock from Sanofi, and recorded the cost of the shares received, or $75.8 million, as Treasury Stock.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Matters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The Company recognizes accruals for loss contingencies associated with such proceedings when it is probable that a liability will be incurred and the amount of loss can be reasonably estimated. Unless otherwise noted below, the Company is unable to predict the outcome, or estimate a range of possible loss or possible gain, of the respective proceedings. If the Company were unable to prevail in any such proceedings, its consolidated financial position, results of operations, and future cash flows may be materially impacted.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'287 Patent and '163 Patent</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party to patent infringement litigation initiated by the Company involving its European Patent No. 1,360,287 (the "'287 Patent") and its European Patent No. 2,264,163 (the "'163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and the '163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'163 Patent (as applicable).</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25, 2013, the Company commenced patent infringement litigation against Kymab Ltd in the English High Court of Justice, Chancery Division, Patents Court, in London, asserting the '287 Patent and '163 Patent. Following a trial to adjudicate the claims of infringement and counterclaims of invalidity of the '287 Patent and the '163 Patent, the court issued a final judgment on February 1, 2016, finding that the asserted claims of the '287 and '163 Patents are novel, not obvious, and infringed by Kymab's genetically engineered mice. However, the court invalidated the '287 and '163 Patents on the ground of insufficiency. On appeal, the Court of Appeal (Civil Division of England and Wales) reversed the English High Court's decision and held that the '287 Patent and '163 Patent are both valid and infringed by Kymab and subsequently issued a final order, which enjoins Kymab from infringing the '287 Patent and '163 Patent (subject to certain exceptions) and requires Kymab to destroy or deliver to a third party all products and antibodies and cells engineered to produce antibodies which infringe the '287 Patent and '163 Patent (subject to certain exceptions). Thereafter, the Supreme Court of the United Kingdom granted Kymab's application for permission to appeal the order</w:t>
      </w:r>
    </w:p>
    <w:p>
      <w:pPr>
        <w:sectPr>
          <w:pgSz w:w="11900" w:h="16838" w:orient="portrait"/>
          <w:cols w:equalWidth="0" w:num="1">
            <w:col w:w="11420"/>
          </w:cols>
          <w:pgMar w:left="240" w:top="126"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6" w:right="239" w:bottom="1440" w:gutter="0" w:footer="0" w:header="0"/>
          <w:type w:val="continuous"/>
        </w:sectPr>
      </w:pPr>
    </w:p>
    <w:bookmarkStart w:id="21" w:name="page22"/>
    <w:bookmarkEnd w:id="2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made by the Court of Appeal with respect to an issue of validity of the '287 Patent and the '163 Patent and scheduled an oral hearing for February 11–12, 2020. The provisions of the final order of the Court of Appeal are stayed pending final determination of Kymab's appeal to the Supreme Court of the United Kingdom. The Company has also been awarded a portion of the legal fees incurred by it in connection with the proceedings in the English High Court and the Court of Appeal described above. On July 31, 2019, the Company filed an action in the English High Court for a calculation of damages relating to Kymab's infringement of the '287 Patent and the '163 Patent.</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8 and July 13, 2016, notices of opposition against the '163 Patent were filed in the European Patent Office (the "EPO") by Merus N.V. and Kymab and Novo Nordisk A/S, respectively. The notices assert, as applicable, lack of novelty, lack of inventive step, and insufficiency. Following an oral hearing before the Opposition Division of the EPO on February 5–7, 2018, the Opposition Division upheld the '163 Patent without amendments. Kymab, Merus, and Novo Nordisk each filed a notice of appeal of the Opposition Division's decision on February 9, 2018, May 25, 2018, and June 26, 2018, respectively. On January 7, 2019, Merus withdrew its appeal of the '163 Patent in the EPO in connection with the previously reported global settlement.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Amgen has asserted claims of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The first jury trial in this litigation (the "First Trial") was held in the United States District Court for the District of Delaware (the "District Court") from March 8 to March 16, 2016. During the course of the First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in the First Trial, finding that the asserted claims of the '165 and '741 Patents were not invalid based on either a lack of written description or a lack of enablement. On October 5, 2017, the United States Court of Appeals for the Federal Circuit (the "Federal Circuit") reversed in part the District Court's decision and remanded for a new trial on the issues of written description and enablement. In addition, it affirmed the District Court's ruling that Amgen's patents were not obvious.</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3, 2019, the District Court held oral argument in the remanded proceedings on the Company and the Sanofi defendants' motion for judgment on the pleadings regarding Amgen's willful infringement claim. On January 18, 2019, the District Court entered an order (i) denying the Company and the Sanofi defendants' motion for summary judgment on validity, (ii) denying Amgen's motion for partial summary judgment on estoppel, and (iii) granting the Company and the Sanofi defendants' cross-motion for summary judgment on estoppel. On February 8, 2019, the District Court granted the Company and the Sanofi defendants' motion for judgment on the pleadings, thereby dismissing Amgen's claim of willful infringement. The second jury trial in this litigation (the "Second Trial") was held before the District Court in February 2019 to determine the validity of Amgen's asserted patent claims. On February 25, 2019, the jury returned a verdict in the Second Trial generally in favor of Amgen, finding that two claims of the '165 Patent and one claim of the '741 Patent were not invalid. The jury also found that two claims of the '165 Patent were invalid for lack of adequate written description while rejecting the lack of enablement challenges to those two claims. On August 28, 2019, the District Court ruled as a matter of law that Amgen's asserted patent claims are invalid based on lack of enablement. The District Court also conditionally denied the Company and the Sanofi defendants' motion for a new trial. On October 23, 2019, Amgen filed a notice of appeal of the District Court's decision with the Federal Circuit.</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18, 2019, Amgen filed a renewed motion for a permanent injunction to prohibit the Company and the Sanofi defendants from Commercializing Praluent in the United States (a "Permanent Injunction"), and an oral hearing on this motion was held in June 2019. Previously, the Federal Circuit stayed and then vacated a Permanent Injunction granted by the District Court in connection with the First Trial. On August 28, 2019, the District Court dismissed as moot Amgen's renewed motion for a Permanent Injunction.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6" w:right="239" w:bottom="1440" w:gutter="0" w:footer="0" w:header="0"/>
        </w:sectPr>
      </w:pPr>
    </w:p>
    <w:bookmarkStart w:id="22" w:name="page23"/>
    <w:bookmarkEnd w:id="2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damages, an accounting of profits, and costs and interest. On February 8, 2017, the court temporarily stayed this litigation on terms mutually agreed by the parties.</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Also on July 25, 2016, Amgen filed a lawsuit for infringement of the '124 Patent against Regeneron, Sanofi-Aventis Groupe S.A., Sanofi Winthrop Industrie S.A., and Sanofi-Aventis Deutschland GmbH in the Regional Court of Düsseldorf, Germany (the "Düsseldorf Regional Court"), seeking a permanent injunction, an accounting of marketing activities, a recall of Praluent and its removal from distribution channels, and damages. On November 14, 2017, the Düsseldorf Regional Court issued a decision staying the infringement proceedings until a decision of the Opposition Division of the EPO concerning the pending opposition filed by the Company, Sanofi, and several other opponents against the '124 Patent (as discussed below). Following Amgen's request to reopen the proceedings in light of the issuance of the Preliminary Opinion (as defined below), the Düsseldorf Regional Court held an oral hearing on September 11, 2018 and ruled on December 10, 2018 that the infringement proceedings would be reopened. On July 11, 2019, the Düsseldorf Regional Court found that Praluent infringes the '124 Patent and granted an injunction prohibiting the Company and Sanofi's manufacture, sale, and marketing of Praluent in Germany (the "July 11 Decision"). On July 12, 2019, the Company and Sanofi appealed the July 11 Decision to the Higher Regional Court of Düsseldorf (the "Higher Regional Court"). An oral hearing on the merits of the appeal to the Higher Regional Court has been scheduled for April 2, 2020. On August 5, 2019 and October 31, 2019, the Higher Regional Court denied the Company and Sanofi's requests for a stay of preliminary enforcement of the July 11 Decision pending the appeal on the merits.</w:t>
      </w:r>
    </w:p>
    <w:p>
      <w:pPr>
        <w:spacing w:after="0" w:line="1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12, 2018, Sanofi-Aventis Deutschland GmbH, Sanofi-Aventis Groupe S.A., and Sanofi Winthrop Industrie S.A. filed an action in the Federal Patents Court (the "FPC") in Munich, Germany, seeking a compulsory license from Amgen based on the '124 Patent for the continued commercializing of Praluent in Germany. This compulsory license action included a request for a provisional compulsory license. The FPC held an oral hearing on September 6, 2018 and denied the Sanofi parties' request for the provisional compulsory license. On January 16, 2019, the Sanofi parties appealed the FPC's denial of the provisional compulsory license to the Federal Court of Justice (the "FCJ") of Germany. The FCJ held an oral hearing on June 4, 2019 on the appeal of the provisional compulsory license ruling and dismissed the Sanofi parties' appeal. On September 16, 2019, the Sanofi parties filed a brief to withdraw the compulsory license action with the FPC.</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26, 2016, Amgen filed a lawsuit for infringement of the '124 Patent in the Tribunal de grande instance in Paris, France against Regeneron, Sanofi-Aventis Groupe S.A., Sanofi Winthrop Industrie S.A.,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(originally scheduled for February 12, 2019) has yet to be scheduled.</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'124 Patent is also subject to opposition proceedings in the EPO seeking to invalidate certain of its claims, which were initiated by Sanofi on February 24, 2016 and, separately, by the Company, Sanofi, and several other opponents on November 24, 2016. On December 13, 2017, the Opposition Division of the EPO issued a preliminary, non-binding opinion (the "Preliminary Opinion") regarding the validity of the '124 Patent, indicating that it currently considers the claims of a new request filed by Amgen in response to the opposition to satisfy the requirements for patentability. An oral hearing on the oppositions against the '124 Patent was held on November 28–30, 2018, at which the Opposition Division upheld the validity of the '124 Patent's claims in amended form. The Company and Sanofi filed notices of appeal to the Technical Board of Appeal (the "TBA") of the EPO on November 30, 2018. An oral hearing before the TBA has been scheduled for March 24–25, 2020.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recorded an accrual for loss contingencies associated with the '124 Patent proceedings discussed above. The ultimate resolution of these proceedings is not expected to have a material impact on the Company’s financial statements.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2017, Amgen filed a lawsuit for infringement of Amgen's Japanese Patent Nos. 5,906,333 (the "'333 Patent") and 5,705,288 (the "'288 Patent") in the Tokyo District Court Civil Division (the "Tokyo District Court") against Sanofi K.K. Amgen's complaint alleges that manufacturing, selling or otherwise transferring, and offering to sell or otherwise transfer Praluent (alirocumab) in Japan (as well as importing Praluent (alirocumab) into Japan) infringe the '333 and '288 Patents. The complaint further seeks a permanent injunction, disposal of product, and court costs. The Company has not been named as a defendant in this litigation. On January 17, 2019, the Tokyo District Court upheld the validity of the '333 Patent and '288 Patent and ordered 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6" w:right="239" w:bottom="1440" w:gutter="0" w:footer="0" w:header="0"/>
        </w:sectPr>
      </w:pPr>
    </w:p>
    <w:bookmarkStart w:id="23" w:name="page24"/>
    <w:bookmarkEnd w:id="2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permanent injunction against Sanofi K.K. to stop manufacturing, selling or otherwise transferring, and offering to sell or otherwise transfer Praluent (alirocumab) in Japan (as well as importing Praluent (alirocumab) into Japan) and to dispose of all product. However, the Tokyo District Court stayed the enforcement of such injunction pending appeal to the Intellectual Property High Court of Japan (the "IPHC"). On January 30, 2019, Sanofi K.K. appealed the Tokyo District Court's decision in the infringement proceedings to the IPHC. Following an oral hearing on October 30, 2019, the IPHC affirmed the Tokyo District Court's decision in the infringement proceedings. The injunction will remain stayed pending appeal of the IPHC's decision to the Supreme Court of Japan.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Dupixent (dupilumab) Injection</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20, 2017, the Company, Sanofi-Aventis U.S. LLC, and Genzyme Corporation filed a lawsuit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23, 2017, the Company, Sanofi-Aventis U.S. LLC, and Genzyme Corporation initiated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("PTAB") of the USPTO issued a decision on the first IPR petition and declined to institute an IPR proceeding to review the validity of the '487 Patent. On February 15, 2018, the PTAB issued two decisions instituting the Company's and Sanofi's Additional IPR Petitions on all claims of the '487 Patent for which review had been requested. Oral hearings on the Additional IPR Petitions before the PTAB were held on November 14, 2018. On February 14, 2019, the PTAB issued final written decisions on the Additional IPR Petitions, invalidating all 17 claims of the '487 Patent as obvious based on one of the Additional IPR Petitions while declining to hold the challenged claims of the '487 Patent invalid based on the other. In April 2019, the parties filed notices of appeal with the Federal Circuit appealing the PTAB's respective adverse final written decisions on the Additional IPR Petitions.</w:t>
      </w: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5, 2017, Immunex Corporation filed a lawsuit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combined hearing on the construction of certain disputed claim terms of the '487 Patent and the Company and the Sanofi parties' motion for summary judgment on the issue of indefiniteness of the '487 Patent claims was held on July 12, 2018. On August 24, 2018, the court issued an order denying this motion and construed the disputed claim terms as proposed by Amgen. On February 28, 2019, the court granted a joint stipulation by the parties to stay the litigation pending resolution of the appeals of the PTAB's final written decisions on the Additional IPR Petitions discussed above.</w:t>
      </w:r>
    </w:p>
    <w:p>
      <w:pPr>
        <w:spacing w:after="0" w:line="1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30, 2016, Sanofi initiated a revocation proceeding in the United Kingdom to invalidate the U.K. counterpart of European Patent No. 2,292,665 (the "'665 Patent"), another patent owned by Immunex relating to antibodies that bind the human interleukin-4 receptor. At the joint request of the parties to the revocation proceeding, the U.K. Patents Court ordered on January 30, 2017 that the revocation action be stayed pending the final determination of the currently pending EPO opposition proceedings initiated by the Company and Sanofi in relation to the '665 Patent. The oral hearing before the EPO on the oppositions occurred on November 20, 2017, at which the claims of the '665 Patent were found invalid and the patent was revoked. A final written decision of revocation of the '665 Patent was issued by the EPO on January 4, 2018. Immunex filed a notice of appeal of the EPO's decision on January 31, 2018. On September 20, 2017 and September 21, 2017, respectively, the Company and Sanofi initiated opposition proceedings in the EPO against Immunex's European Patent No. 2,990,420 (the "'420 Patent"), a divisional patent of the '665 Patent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patent that shares the same priority date, disclosure, and patent term of the parent '665 Patent but contains claims to a different invention). The oral hearing before the EPO on the oppositions occurred on February 14–15, 2019, at which</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6" w:right="239" w:bottom="1440" w:gutter="0" w:footer="0" w:header="0"/>
        </w:sectPr>
      </w:pPr>
    </w:p>
    <w:bookmarkStart w:id="24" w:name="page25"/>
    <w:bookmarkEnd w:id="2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(Unless otherwise noted, dollars in millions, except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'420 Patent was revoked in its entirety. Immunex filed a notice of appeal of the EPO's decision on May 31, 2019. The original patent term of the Immunex patents is set to expire in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and ZALTRAP</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(ziv-aflibercept) Injection for Intravenous Infusion</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19, 2018, Novartis Vaccines and Diagnostics, Inc., Novartis Pharma AG, and Grifols Worldwide Operations Limited (collectively, the "Novartis Parties") filed a lawsuit against the Company in the United States District Court for the Southern District of New York, seeking a judgment of patent infringement of U.S. Patent No. 5,688,688 (the "'688 Patent") by the Company's manufacture of aflibercept (the active ingredient used in both EYLEA and ZALTRAP); monetary damages (together with interest) for a limited period prior to the '688 Patent expiration; an order of willful infringement of the '688 Patent (dismissed on October 24, 2018); costs and expenses of the lawsuit; and attorneys' fees. The '688 Patent expired on November 18, 2014. The Novartis Parties are not seeking an injunction in these proceedings. On March 20, 2019, the court issued its Opinion and Order on Claim Construction (the "Claim Construction Order") in the '688 Patent infringement litigation. Pursuant to the Claim Construction Order, on April 1, 2019, the court approved a joint stipulation and entered a partial judgment of noninfringement of the '688 Patent of nine asserted claims. On August 14, 2019, the court issued a second Opinion and Order on Claim Construction concerning the one remaining asserted claim in this litigation. On September 5, 2019, the court entered a stipulated judgment of noninfringement and dismissed with prejudice all of the Novartis Parties' claims of the '688 Patent, finding that the manufacture, use, offer for sale, sale, or importation into the United States of aflibercept does not infringe the claims of the '688 Patent.</w:t>
      </w:r>
    </w:p>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2019, the Company filed an IPR in the USPTO seeking a declaration of invalidity of the '688 Patent. On September 26, 2019, in connection with the dismissal of the '688 Patent infringement litigation discussed above, the Company and the Novartis Parties filed a joint motion to terminate the IPR petition, and the PTAB dismissed the IPR petition on October 1, 2019.</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Investigations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 and certain other related documents and communications. The Company is cooperating with this investigation.</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The Company is cooperating with this investigation.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Recently Issued Accounting Standards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No. 2016-13, </w:t>
      </w:r>
      <w:r>
        <w:rPr>
          <w:rFonts w:ascii="Times New Roman" w:cs="Times New Roman" w:eastAsia="Times New Roman" w:hAnsi="Times New Roman"/>
          <w:sz w:val="18"/>
          <w:szCs w:val="18"/>
          <w:i w:val="1"/>
          <w:iCs w:val="1"/>
          <w:color w:val="auto"/>
        </w:rPr>
        <w:t>Financial Instruments - Credit Losses: Measurement of Credit Losses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("ASU 2016-13"). ASU 2016-13 requires an entity to measure and recognize expected credit losses for certain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trade receivables, as an allowance that reflects the entity's current estimate of credit losses expected to be incurred. For available-for-sale debt securities with unrealized losses, the standard requires allowances to be recorded through net income instead of directly reducing the amortized cost of the investment under the current other-than-temporary impairment model. The standard is effective for fiscal years, and interim periods within those fiscal years, beginning after December 15, 2019, with early adoption permitted. We do not expect the adoption of this standard to have a significant impact on our financial statements or internal controls; however, the ultimate impact will depend on the composition of the Company's portfolio of financial instruments as of the adoption date.</w:t>
      </w:r>
    </w:p>
    <w:p>
      <w:pPr>
        <w:spacing w:after="0" w:line="2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w:t>
      </w:r>
    </w:p>
    <w:p>
      <w:pPr>
        <w:sectPr>
          <w:pgSz w:w="11900" w:h="16838" w:orient="portrait"/>
          <w:cols w:equalWidth="0" w:num="1">
            <w:col w:w="11420"/>
          </w:cols>
          <w:pgMar w:left="240" w:top="126"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6" w:right="239" w:bottom="1440" w:gutter="0" w:footer="0" w:header="0"/>
          <w:type w:val="continuous"/>
        </w:sectPr>
      </w:pPr>
    </w:p>
    <w:bookmarkStart w:id="25" w:name="page26"/>
    <w:bookmarkEnd w:id="2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(aflibercept) Injection, Dupixent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(dupilumab) Injection, Praluent</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(alirocumab) Injection, Kevzara</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(sarilumab) Injection, Libtayo</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 xml:space="preserve"> (cemiplimab) Injection, fasinumab, evinacumab, and REGN-EB3; the likelihood and timing of achieving any of our anticipated clinical development milestones referenced in this report;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Libtayo, fasinumab, evinacumab, and REGN-EB3;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Kevzara, and Libtayo),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(as applicable) to perform manufacturing,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and other related proceedings relating to Dupixent and Praluent described further in Note 11 to our Condensed Consolidated Financial Statements included in this report), other litigation and other proceedings and governmental investigations relating to the Company and/or its operations, the ultimate outcome of any such proceedings and investigations, and the impact any of the foregoing may have on our business, prospects, operating results, and financial condition.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diseases, allergic and inflammatory diseases, cancer, cardiovascular and metabolic diseases, infectious diseases, pain, and rare diseases.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basic scientific research and discovery-enabling technologies, and to build on that foundation with our clinical development, manufacturing, and commercial capabilities. Our objective is to continue to be an integrated, multi-product biotechnology company that provides patients and medical professionals with important options for preventing and treating human diseases.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w:t>
            </w:r>
          </w:p>
        </w:tc>
        <w:tc>
          <w:tcPr>
            <w:tcW w:w="0" w:type="dxa"/>
            <w:vAlign w:val="bottom"/>
          </w:tcPr>
          <w:p>
            <w:pPr>
              <w:spacing w:after="0"/>
              <w:rPr>
                <w:sz w:val="1"/>
                <w:szCs w:val="1"/>
                <w:color w:val="auto"/>
              </w:rPr>
            </w:pP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594"/>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26" w:name="page27"/>
    <w:bookmarkEnd w:id="2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Marketed Products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seven products that have received marketing approval:</w:t>
      </w:r>
    </w:p>
    <w:p>
      <w:pPr>
        <w:spacing w:after="0" w:line="200" w:lineRule="exact"/>
        <w:rPr>
          <w:sz w:val="20"/>
          <w:szCs w:val="20"/>
          <w:color w:val="auto"/>
        </w:rPr>
      </w:pPr>
    </w:p>
    <w:p>
      <w:pPr>
        <w:spacing w:after="0" w:line="237"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Territory</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
                <w:szCs w:val="2"/>
                <w:color w:val="auto"/>
              </w:rPr>
            </w:pPr>
          </w:p>
        </w:tc>
        <w:tc>
          <w:tcPr>
            <w:tcW w:w="320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Disease Area</w:t>
            </w:r>
            <w:r>
              <w:rPr>
                <w:rFonts w:ascii="Times New Roman" w:cs="Times New Roman" w:eastAsia="Times New Roman" w:hAnsi="Times New Roman"/>
                <w:sz w:val="25"/>
                <w:szCs w:val="25"/>
                <w:b w:val="1"/>
                <w:bCs w:val="1"/>
                <w:color w:val="auto"/>
                <w:vertAlign w:val="superscript"/>
              </w:rPr>
              <w:t>(1)</w:t>
            </w: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EU</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line="264" w:lineRule="exact"/>
              <w:rPr>
                <w:sz w:val="20"/>
                <w:szCs w:val="20"/>
                <w:color w:val="auto"/>
              </w:rPr>
            </w:pPr>
            <w:r>
              <w:rPr>
                <w:rFonts w:ascii="Times New Roman" w:cs="Times New Roman" w:eastAsia="Times New Roman" w:hAnsi="Times New Roman"/>
                <w:sz w:val="18"/>
                <w:szCs w:val="18"/>
                <w:b w:val="1"/>
                <w:bCs w:val="1"/>
                <w:color w:val="auto"/>
                <w:w w:val="93"/>
              </w:rPr>
              <w:t>ROW</w:t>
            </w:r>
            <w:r>
              <w:rPr>
                <w:rFonts w:ascii="Times New Roman" w:cs="Times New Roman" w:eastAsia="Times New Roman" w:hAnsi="Times New Roman"/>
                <w:sz w:val="25"/>
                <w:szCs w:val="25"/>
                <w:b w:val="1"/>
                <w:bCs w:val="1"/>
                <w:color w:val="auto"/>
                <w:w w:val="93"/>
                <w:vertAlign w:val="superscript"/>
              </w:rPr>
              <w:t>(6)</w:t>
            </w:r>
          </w:p>
        </w:tc>
        <w:tc>
          <w:tcPr>
            <w:tcW w:w="0" w:type="dxa"/>
            <w:vAlign w:val="bottom"/>
          </w:tcPr>
          <w:p>
            <w:pPr>
              <w:spacing w:after="0"/>
              <w:rPr>
                <w:sz w:val="1"/>
                <w:szCs w:val="1"/>
                <w:color w:val="auto"/>
              </w:rPr>
            </w:pPr>
          </w:p>
        </w:tc>
      </w:tr>
      <w:tr>
        <w:trPr>
          <w:trHeight w:val="218"/>
        </w:trPr>
        <w:tc>
          <w:tcPr>
            <w:tcW w:w="2920" w:type="dxa"/>
            <w:vAlign w:val="bottom"/>
            <w:shd w:val="clear" w:color="auto" w:fill="CCEEFF"/>
          </w:tcPr>
          <w:p>
            <w:pPr>
              <w:ind w:left="40"/>
              <w:spacing w:after="0" w:line="219" w:lineRule="exact"/>
              <w:rPr>
                <w:sz w:val="20"/>
                <w:szCs w:val="20"/>
                <w:color w:val="auto"/>
              </w:rPr>
            </w:pPr>
            <w:r>
              <w:rPr>
                <w:rFonts w:ascii="Times New Roman" w:cs="Times New Roman" w:eastAsia="Times New Roman" w:hAnsi="Times New Roman"/>
                <w:sz w:val="18"/>
                <w:szCs w:val="18"/>
                <w:color w:val="auto"/>
              </w:rPr>
              <w:t>EYLEA (aflibercept) Injection</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Neovascular age-related macular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degeneration (wet AMD)</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52"/>
        </w:trPr>
        <w:tc>
          <w:tcPr>
            <w:tcW w:w="29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Macular edema following retinal vein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occlusion (RVO), which includes macular</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edema following central retinal vein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occlusion (CRVO) and macular edema</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following branch retinal vein occlusion</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(BRVO)</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9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(mCNV)</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920" w:type="dxa"/>
            <w:vAlign w:val="bottom"/>
          </w:tcPr>
          <w:p>
            <w:pPr>
              <w:ind w:left="40"/>
              <w:spacing w:after="0" w:line="278" w:lineRule="exact"/>
              <w:rPr>
                <w:sz w:val="20"/>
                <w:szCs w:val="20"/>
                <w:color w:val="auto"/>
              </w:rPr>
            </w:pPr>
            <w:r>
              <w:rPr>
                <w:rFonts w:ascii="Times New Roman" w:cs="Times New Roman" w:eastAsia="Times New Roman" w:hAnsi="Times New Roman"/>
                <w:sz w:val="18"/>
                <w:szCs w:val="18"/>
                <w:color w:val="auto"/>
              </w:rPr>
              <w:t>Dupixent (dupilumab) Injection</w:t>
            </w:r>
            <w:r>
              <w:rPr>
                <w:rFonts w:ascii="Times New Roman" w:cs="Times New Roman" w:eastAsia="Times New Roman" w:hAnsi="Times New Roman"/>
                <w:sz w:val="25"/>
                <w:szCs w:val="25"/>
                <w:color w:val="auto"/>
                <w:vertAlign w:val="superscript"/>
              </w:rPr>
              <w:t>(3)</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 adults)</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4"/>
                <w:szCs w:val="24"/>
                <w:color w:val="auto"/>
              </w:rPr>
            </w:pPr>
          </w:p>
        </w:tc>
        <w:tc>
          <w:tcPr>
            <w:tcW w:w="600" w:type="dxa"/>
            <w:vAlign w:val="bottom"/>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 adolescents)</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0"/>
                <w:szCs w:val="20"/>
                <w:color w:val="auto"/>
              </w:rPr>
            </w:pPr>
          </w:p>
        </w:tc>
        <w:tc>
          <w:tcPr>
            <w:tcW w:w="600" w:type="dxa"/>
            <w:vAlign w:val="bottom"/>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70"/>
        </w:trPr>
        <w:tc>
          <w:tcPr>
            <w:tcW w:w="2920" w:type="dxa"/>
            <w:vAlign w:val="bottom"/>
          </w:tcPr>
          <w:p>
            <w:pPr>
              <w:spacing w:after="0"/>
              <w:rPr>
                <w:sz w:val="23"/>
                <w:szCs w:val="23"/>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Asthma (in adults and adolescents)</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3"/>
                <w:szCs w:val="23"/>
                <w:color w:val="auto"/>
              </w:rPr>
            </w:pPr>
          </w:p>
        </w:tc>
        <w:tc>
          <w:tcPr>
            <w:tcW w:w="600" w:type="dxa"/>
            <w:vAlign w:val="bottom"/>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52"/>
        </w:trPr>
        <w:tc>
          <w:tcPr>
            <w:tcW w:w="2920" w:type="dxa"/>
            <w:vAlign w:val="bottom"/>
          </w:tcPr>
          <w:p>
            <w:pPr>
              <w:spacing w:after="0"/>
              <w:rPr>
                <w:sz w:val="21"/>
                <w:szCs w:val="21"/>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Chronic rhinosinusitis with nasal polyposis</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21"/>
                <w:szCs w:val="21"/>
                <w:color w:val="auto"/>
              </w:rPr>
            </w:pPr>
          </w:p>
        </w:tc>
        <w:tc>
          <w:tcPr>
            <w:tcW w:w="600" w:type="dxa"/>
            <w:vAlign w:val="bottom"/>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color w:val="auto"/>
              </w:rPr>
              <w:t>Praluent (alirocumab) Injection</w:t>
            </w:r>
            <w:r>
              <w:rPr>
                <w:rFonts w:ascii="Times New Roman" w:cs="Times New Roman" w:eastAsia="Times New Roman" w:hAnsi="Times New Roman"/>
                <w:sz w:val="25"/>
                <w:szCs w:val="25"/>
                <w:color w:val="auto"/>
                <w:vertAlign w:val="superscript"/>
              </w:rPr>
              <w:t>(3)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atherosclerotic cardiovascular disease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(ASCVD) (in adults)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9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Cardiovascular risk reduction in patients</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Kevzara (sarilumab) Solution for</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Rheumatoid arthritis (RA) (in adults)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19"/>
                <w:szCs w:val="19"/>
                <w:color w:val="auto"/>
              </w:rPr>
            </w:pPr>
          </w:p>
        </w:tc>
        <w:tc>
          <w:tcPr>
            <w:tcW w:w="600" w:type="dxa"/>
            <w:vAlign w:val="bottom"/>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61"/>
        </w:trPr>
        <w:tc>
          <w:tcPr>
            <w:tcW w:w="2920" w:type="dxa"/>
            <w:vAlign w:val="bottom"/>
          </w:tcPr>
          <w:p>
            <w:pPr>
              <w:ind w:left="40"/>
              <w:spacing w:after="0" w:line="262" w:lineRule="exact"/>
              <w:rPr>
                <w:sz w:val="20"/>
                <w:szCs w:val="20"/>
                <w:color w:val="auto"/>
              </w:rPr>
            </w:pPr>
            <w:r>
              <w:rPr>
                <w:rFonts w:ascii="Times New Roman" w:cs="Times New Roman" w:eastAsia="Times New Roman" w:hAnsi="Times New Roman"/>
                <w:sz w:val="18"/>
                <w:szCs w:val="18"/>
                <w:color w:val="auto"/>
              </w:rPr>
              <w:t>Subcutaneous Injection</w:t>
            </w:r>
            <w:r>
              <w:rPr>
                <w:rFonts w:ascii="Times New Roman" w:cs="Times New Roman" w:eastAsia="Times New Roman" w:hAnsi="Times New Roman"/>
                <w:sz w:val="25"/>
                <w:szCs w:val="25"/>
                <w:color w:val="auto"/>
                <w:vertAlign w:val="superscript"/>
              </w:rPr>
              <w:t>(3)</w:t>
            </w:r>
          </w:p>
        </w:tc>
        <w:tc>
          <w:tcPr>
            <w:tcW w:w="1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920" w:type="dxa"/>
            <w:vAlign w:val="bottom"/>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color w:val="auto"/>
              </w:rPr>
              <w:t>Libtayo (cemiplimab) Injection</w:t>
            </w:r>
            <w:r>
              <w:rPr>
                <w:rFonts w:ascii="Times New Roman" w:cs="Times New Roman" w:eastAsia="Times New Roman" w:hAnsi="Times New Roman"/>
                <w:sz w:val="25"/>
                <w:szCs w:val="25"/>
                <w:color w:val="auto"/>
                <w:vertAlign w:val="superscript"/>
              </w:rPr>
              <w:t>(3)(4)</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Metastatic or locally advanced cutaneous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squamous cell carcinoma (CSCC)</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20" w:type="dxa"/>
            <w:vAlign w:val="bottom"/>
          </w:tcPr>
          <w:p>
            <w:pPr>
              <w:ind w:left="40"/>
              <w:spacing w:after="0" w:line="224" w:lineRule="exact"/>
              <w:rPr>
                <w:sz w:val="20"/>
                <w:szCs w:val="20"/>
                <w:color w:val="auto"/>
              </w:rPr>
            </w:pPr>
            <w:r>
              <w:rPr>
                <w:rFonts w:ascii="Times New Roman" w:cs="Times New Roman" w:eastAsia="Times New Roman" w:hAnsi="Times New Roman"/>
                <w:sz w:val="18"/>
                <w:szCs w:val="18"/>
                <w:color w:val="auto"/>
              </w:rPr>
              <w:t>ARCALYST</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(rilonacept) Injection</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Cryopyrin-Associated Periodic Syndromes</w:t>
            </w: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Subcutaneous Use</w:t>
            </w:r>
          </w:p>
        </w:tc>
        <w:tc>
          <w:tcPr>
            <w:tcW w:w="12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(CAPS), including Familial Cold Auto-</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inflammatory Syndrome (FCAS)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Muckle-Wells Syndrome (MWS)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shd w:val="clear" w:color="auto" w:fill="CCEEFF"/>
          </w:tcPr>
          <w:p>
            <w:pPr>
              <w:ind w:left="40"/>
              <w:spacing w:after="0" w:line="224" w:lineRule="exact"/>
              <w:rPr>
                <w:sz w:val="20"/>
                <w:szCs w:val="20"/>
                <w:color w:val="auto"/>
              </w:rPr>
            </w:pPr>
            <w:r>
              <w:rPr>
                <w:rFonts w:ascii="Times New Roman" w:cs="Times New Roman" w:eastAsia="Times New Roman" w:hAnsi="Times New Roman"/>
                <w:sz w:val="18"/>
                <w:szCs w:val="18"/>
                <w:color w:val="auto"/>
              </w:rPr>
              <w:t>ZALTRAP</w:t>
            </w:r>
            <w:r>
              <w:rPr>
                <w:rFonts w:ascii="Times New Roman" w:cs="Times New Roman" w:eastAsia="Times New Roman" w:hAnsi="Times New Roman"/>
                <w:sz w:val="25"/>
                <w:szCs w:val="25"/>
                <w:b w:val="1"/>
                <w:bCs w:val="1"/>
                <w:i w:val="1"/>
                <w:iCs w:val="1"/>
                <w:color w:val="auto"/>
                <w:vertAlign w:val="superscript"/>
              </w:rPr>
              <w:t>®</w:t>
            </w:r>
            <w:r>
              <w:rPr>
                <w:rFonts w:ascii="Times New Roman" w:cs="Times New Roman" w:eastAsia="Times New Roman" w:hAnsi="Times New Roman"/>
                <w:sz w:val="18"/>
                <w:szCs w:val="18"/>
                <w:color w:val="auto"/>
              </w:rPr>
              <w:t xml:space="preserve"> (ziv-aflibercept) Injection</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Metastatic colorectal cancer (mCRC)</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center"/>
              <w:ind w:left="250"/>
              <w:spacing w:after="0"/>
              <w:rPr>
                <w:sz w:val="20"/>
                <w:szCs w:val="20"/>
                <w:color w:val="auto"/>
              </w:rPr>
            </w:pPr>
            <w:r>
              <w:rPr>
                <w:rFonts w:ascii="Webdings" w:cs="Webdings" w:eastAsia="Webdings" w:hAnsi="Webdings"/>
                <w:sz w:val="18"/>
                <w:szCs w:val="18"/>
                <w:b w:val="1"/>
                <w:bCs w:val="1"/>
                <w:color w:val="auto"/>
                <w:w w:val="99"/>
              </w:rPr>
              <w:t></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w:t>
            </w:r>
          </w:p>
        </w:tc>
        <w:tc>
          <w:tcPr>
            <w:tcW w:w="92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w:t>
            </w:r>
          </w:p>
        </w:tc>
        <w:tc>
          <w:tcPr>
            <w:tcW w:w="0" w:type="dxa"/>
            <w:vAlign w:val="bottom"/>
          </w:tcPr>
          <w:p>
            <w:pPr>
              <w:spacing w:after="0"/>
              <w:rPr>
                <w:sz w:val="1"/>
                <w:szCs w:val="1"/>
                <w:color w:val="auto"/>
              </w:rPr>
            </w:pPr>
          </w:p>
        </w:tc>
      </w:tr>
      <w:tr>
        <w:trPr>
          <w:trHeight w:val="261"/>
        </w:trPr>
        <w:tc>
          <w:tcPr>
            <w:tcW w:w="2920" w:type="dxa"/>
            <w:vAlign w:val="bottom"/>
            <w:shd w:val="clear" w:color="auto" w:fill="CCEEFF"/>
          </w:tcPr>
          <w:p>
            <w:pPr>
              <w:ind w:left="40"/>
              <w:spacing w:after="0" w:line="262" w:lineRule="exact"/>
              <w:rPr>
                <w:sz w:val="20"/>
                <w:szCs w:val="20"/>
                <w:color w:val="auto"/>
              </w:rPr>
            </w:pPr>
            <w:r>
              <w:rPr>
                <w:rFonts w:ascii="Times New Roman" w:cs="Times New Roman" w:eastAsia="Times New Roman" w:hAnsi="Times New Roman"/>
                <w:sz w:val="18"/>
                <w:szCs w:val="18"/>
                <w:color w:val="auto"/>
              </w:rPr>
              <w:t>for Intravenous Infusion</w:t>
            </w:r>
            <w:r>
              <w:rPr>
                <w:rFonts w:ascii="Times New Roman" w:cs="Times New Roman" w:eastAsia="Times New Roman" w:hAnsi="Times New Roman"/>
                <w:sz w:val="25"/>
                <w:szCs w:val="25"/>
                <w:color w:val="auto"/>
                <w:vertAlign w:val="superscript"/>
              </w:rPr>
              <w:t>(5)</w:t>
            </w:r>
          </w:p>
        </w:tc>
        <w:tc>
          <w:tcPr>
            <w:tcW w:w="120" w:type="dxa"/>
            <w:vAlign w:val="bottom"/>
            <w:shd w:val="clear" w:color="auto" w:fill="CCEEFF"/>
          </w:tcPr>
          <w:p>
            <w:pPr>
              <w:spacing w:after="0"/>
              <w:rPr>
                <w:sz w:val="22"/>
                <w:szCs w:val="22"/>
                <w:color w:val="auto"/>
              </w:rPr>
            </w:pPr>
          </w:p>
        </w:tc>
        <w:tc>
          <w:tcPr>
            <w:tcW w:w="3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020" w:hanging="121"/>
        <w:spacing w:after="0"/>
        <w:tabs>
          <w:tab w:leader="none" w:pos="10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Refer to label information in each territory for specific indication</w:t>
      </w:r>
    </w:p>
    <w:p>
      <w:pPr>
        <w:spacing w:after="0" w:line="41" w:lineRule="exact"/>
        <w:rPr>
          <w:rFonts w:ascii="Times New Roman" w:cs="Times New Roman" w:eastAsia="Times New Roman" w:hAnsi="Times New Roman"/>
          <w:sz w:val="9"/>
          <w:szCs w:val="9"/>
          <w:color w:val="auto"/>
        </w:rPr>
      </w:pPr>
    </w:p>
    <w:p>
      <w:pPr>
        <w:ind w:left="1020" w:hanging="121"/>
        <w:spacing w:after="0"/>
        <w:tabs>
          <w:tab w:leader="none" w:pos="10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Bayer (outside the United States)</w:t>
      </w:r>
    </w:p>
    <w:p>
      <w:pPr>
        <w:spacing w:after="0" w:line="41" w:lineRule="exact"/>
        <w:rPr>
          <w:rFonts w:ascii="Times New Roman" w:cs="Times New Roman" w:eastAsia="Times New Roman" w:hAnsi="Times New Roman"/>
          <w:sz w:val="9"/>
          <w:szCs w:val="9"/>
          <w:color w:val="auto"/>
        </w:rPr>
      </w:pPr>
    </w:p>
    <w:p>
      <w:pPr>
        <w:ind w:left="1040" w:hanging="141"/>
        <w:spacing w:after="0"/>
        <w:tabs>
          <w:tab w:leader="none" w:pos="104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Sanofi</w:t>
      </w:r>
    </w:p>
    <w:p>
      <w:pPr>
        <w:spacing w:after="0" w:line="41" w:lineRule="exact"/>
        <w:rPr>
          <w:rFonts w:ascii="Times New Roman" w:cs="Times New Roman" w:eastAsia="Times New Roman" w:hAnsi="Times New Roman"/>
          <w:sz w:val="9"/>
          <w:szCs w:val="9"/>
          <w:color w:val="auto"/>
        </w:rPr>
      </w:pPr>
    </w:p>
    <w:p>
      <w:pPr>
        <w:ind w:left="1020" w:hanging="121"/>
        <w:spacing w:after="0"/>
        <w:tabs>
          <w:tab w:leader="none" w:pos="1020"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Marketed as Libtayo (cemiplimab-rwlc) Injection in the United States</w:t>
      </w:r>
    </w:p>
    <w:p>
      <w:pPr>
        <w:spacing w:after="0" w:line="41" w:lineRule="exact"/>
        <w:rPr>
          <w:rFonts w:ascii="Times New Roman" w:cs="Times New Roman" w:eastAsia="Times New Roman" w:hAnsi="Times New Roman"/>
          <w:sz w:val="9"/>
          <w:szCs w:val="9"/>
          <w:color w:val="auto"/>
        </w:rPr>
      </w:pPr>
    </w:p>
    <w:p>
      <w:pPr>
        <w:ind w:left="900" w:right="180" w:hanging="1"/>
        <w:spacing w:after="0" w:line="261" w:lineRule="auto"/>
        <w:tabs>
          <w:tab w:leader="none" w:pos="1041"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Pursuant to a 2015 amended and restated ZALTRAP agreement, Sanofi is solely responsible for the development and commercialization of ZALTRAP, and Sanofi pays us a percentage of aggregate net sales of ZALTRAP</w:t>
      </w:r>
    </w:p>
    <w:p>
      <w:pPr>
        <w:ind w:left="900" w:right="120" w:hanging="1"/>
        <w:spacing w:after="0" w:line="262" w:lineRule="auto"/>
        <w:tabs>
          <w:tab w:leader="none" w:pos="1041" w:val="left"/>
        </w:tabs>
        <w:numPr>
          <w:ilvl w:val="0"/>
          <w:numId w:val="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Rest of world. Checkmark in this column indicates that the product has received marketing approval in at least one country outside of the United States, European Union (EU), or Japan</w:t>
      </w:r>
    </w:p>
    <w:p>
      <w:pPr>
        <w:sectPr>
          <w:pgSz w:w="11900" w:h="16838" w:orient="portrait"/>
          <w:cols w:equalWidth="0" w:num="1">
            <w:col w:w="10880"/>
          </w:cols>
          <w:pgMar w:left="240" w:top="126"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240" w:top="126" w:right="779" w:bottom="1440" w:gutter="0" w:footer="0" w:header="0"/>
          <w:type w:val="continuous"/>
        </w:sectPr>
      </w:pPr>
    </w:p>
    <w:bookmarkStart w:id="27" w:name="page28"/>
    <w:bookmarkEnd w:id="2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Net Product Sales of Regeneron-Discovered</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1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6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Products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78"/>
              </w:rPr>
              <w:t>(*)</w:t>
            </w:r>
          </w:p>
        </w:tc>
        <w:tc>
          <w:tcPr>
            <w:tcW w:w="3000" w:type="dxa"/>
            <w:vAlign w:val="bottom"/>
            <w:gridSpan w:val="2"/>
            <w:vMerge w:val="restart"/>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restart"/>
          </w:tcPr>
          <w:p>
            <w:pPr>
              <w:jc w:val="center"/>
              <w:ind w:right="6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3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5"/>
            <w:vMerge w:val="continue"/>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8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2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20" w:type="dxa"/>
            <w:vAlign w:val="bottom"/>
            <w:gridSpan w:val="4"/>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1,187.7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1,021.8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1,676.4</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20" w:type="dxa"/>
            <w:vAlign w:val="bottom"/>
            <w:gridSpan w:val="4"/>
          </w:tcPr>
          <w:p>
            <w:pPr>
              <w:spacing w:after="0" w:line="27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5"/>
                <w:szCs w:val="25"/>
                <w:color w:val="auto"/>
                <w:vertAlign w:val="superscript"/>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ARCALYST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Net product sales recorded by Regeneron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20" w:type="dxa"/>
            <w:vAlign w:val="bottom"/>
            <w:gridSpan w:val="4"/>
          </w:tcPr>
          <w:p>
            <w:pPr>
              <w:spacing w:after="0" w:line="270" w:lineRule="exact"/>
              <w:rPr>
                <w:sz w:val="20"/>
                <w:szCs w:val="20"/>
                <w:color w:val="auto"/>
              </w:rPr>
            </w:pPr>
            <w:r>
              <w:rPr>
                <w:rFonts w:ascii="Times New Roman" w:cs="Times New Roman" w:eastAsia="Times New Roman" w:hAnsi="Times New Roman"/>
                <w:sz w:val="18"/>
                <w:szCs w:val="18"/>
                <w:i w:val="1"/>
                <w:iCs w:val="1"/>
                <w:color w:val="auto"/>
              </w:rPr>
              <w:t>Global net product sales recorded by Sanofi</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Dupixent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Praluent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ZALTRAP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8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20" w:type="dxa"/>
            <w:vAlign w:val="bottom"/>
            <w:gridSpan w:val="4"/>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5"/>
                <w:szCs w:val="25"/>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3,422.1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2,997.8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4,942.3</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20" w:type="dxa"/>
            <w:vAlign w:val="bottom"/>
            <w:gridSpan w:val="4"/>
          </w:tcPr>
          <w:p>
            <w:pPr>
              <w:spacing w:after="0" w:line="27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5"/>
                <w:szCs w:val="25"/>
                <w:color w:val="auto"/>
                <w:vertAlign w:val="superscript"/>
              </w:rPr>
              <w:t>*</w:t>
            </w: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ARCALYST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Net product sales recorded by Regeneron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3,548.0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3,009.8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20" w:type="dxa"/>
            <w:vAlign w:val="bottom"/>
            <w:gridSpan w:val="4"/>
          </w:tcPr>
          <w:p>
            <w:pPr>
              <w:spacing w:after="0" w:line="270" w:lineRule="exact"/>
              <w:rPr>
                <w:sz w:val="20"/>
                <w:szCs w:val="20"/>
                <w:color w:val="auto"/>
              </w:rPr>
            </w:pPr>
            <w:r>
              <w:rPr>
                <w:rFonts w:ascii="Times New Roman" w:cs="Times New Roman" w:eastAsia="Times New Roman" w:hAnsi="Times New Roman"/>
                <w:sz w:val="18"/>
                <w:szCs w:val="18"/>
                <w:i w:val="1"/>
                <w:iCs w:val="1"/>
                <w:color w:val="auto"/>
              </w:rPr>
              <w:t>Global net product sales recorded by Sanofi</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i w:val="1"/>
                <w:iCs w:val="1"/>
                <w:color w:val="auto"/>
              </w:rPr>
              <w:t>:</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Dupixent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1,266.0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1,564.1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603.1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Praluent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Kevzara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ZALTRAP</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60" w:right="60" w:hanging="1"/>
        <w:spacing w:after="0" w:line="261" w:lineRule="auto"/>
        <w:tabs>
          <w:tab w:leader="none" w:pos="427"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Bayer records net product sales of EYLEA outside the U.S., and Sanofi records net product sales of Libtayo outside the U.S. and global net product sales of Dupixent, Praluent, Kevzara, and ZALTRAP. Refer to "Marketed Products" section above and "Collaboration Agreements" section below for further details.</w:t>
      </w:r>
    </w:p>
    <w:p>
      <w:pPr>
        <w:spacing w:after="0" w:line="1" w:lineRule="exact"/>
        <w:rPr>
          <w:sz w:val="20"/>
          <w:szCs w:val="20"/>
          <w:color w:val="auto"/>
        </w:rPr>
      </w:pPr>
    </w:p>
    <w:p>
      <w:pPr>
        <w:ind w:left="480" w:hanging="121"/>
        <w:spacing w:after="0"/>
        <w:tabs>
          <w:tab w:leader="none" w:pos="4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 not meaningful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2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 xml:space="preserve">All 24 of our product candidates in clinical development, including the five U.S. Food and Drug Administration (FDA) approved products which we are investigating in additional indications, were discovered in our research laboratories and are summarized in the table below. We believe that our ability to develop product candidates is enhanced by the application of our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technology to understand the role of these proteins in normal physiology, as well as in models of disease. Our human antibody technology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and cell line expression technologies (</w:t>
      </w:r>
      <w:r>
        <w:rPr>
          <w:rFonts w:ascii="Times New Roman" w:cs="Times New Roman" w:eastAsia="Times New Roman" w:hAnsi="Times New Roman"/>
          <w:sz w:val="18"/>
          <w:szCs w:val="18"/>
          <w:i w:val="1"/>
          <w:iCs w:val="1"/>
          <w:color w:val="auto"/>
        </w:rPr>
        <w:t>VelociMab</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We continue to invest in the development of enabling technologies to assist in our efforts to identify, develop, manufacture, and commercialize new product candidates.</w:t>
      </w:r>
    </w:p>
    <w:p>
      <w:pPr>
        <w:spacing w:after="0" w:line="2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Refer to Part II, Item 1A. "Risk Factors" for a description of these and other risks and uncertainties that may affect our clinical programs.</w:t>
      </w:r>
    </w:p>
    <w:p>
      <w:pPr>
        <w:sectPr>
          <w:pgSz w:w="11900" w:h="16838" w:orient="portrait"/>
          <w:cols w:equalWidth="0" w:num="1">
            <w:col w:w="11420"/>
          </w:cols>
          <w:pgMar w:left="240" w:top="126"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ectPr>
          <w:pgSz w:w="11900" w:h="16838" w:orient="portrait"/>
          <w:cols w:equalWidth="0" w:num="1">
            <w:col w:w="11280"/>
          </w:cols>
          <w:pgMar w:left="240" w:top="12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298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 w:type="dxa"/>
            <w:vAlign w:val="bottom"/>
          </w:tcPr>
          <w:p>
            <w:pPr>
              <w:spacing w:after="0"/>
              <w:rPr>
                <w:sz w:val="20"/>
                <w:szCs w:val="20"/>
                <w:color w:val="auto"/>
              </w:rPr>
            </w:pP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0" w:type="dxa"/>
            <w:vAlign w:val="bottom"/>
          </w:tcPr>
          <w:p>
            <w:pPr>
              <w:spacing w:after="0"/>
              <w:rPr>
                <w:sz w:val="20"/>
                <w:szCs w:val="20"/>
                <w:color w:val="auto"/>
              </w:rPr>
            </w:pPr>
          </w:p>
        </w:tc>
        <w:tc>
          <w:tcPr>
            <w:tcW w:w="20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w:t>
            </w:r>
          </w:p>
        </w:tc>
        <w:tc>
          <w:tcPr>
            <w:tcW w:w="200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High-dose formulation in</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Retinopathy of</w:t>
            </w:r>
          </w:p>
        </w:tc>
        <w:tc>
          <w:tcPr>
            <w:tcW w:w="0" w:type="dxa"/>
            <w:vAlign w:val="bottom"/>
          </w:tcPr>
          <w:p>
            <w:pPr>
              <w:spacing w:after="0"/>
              <w:rPr>
                <w:sz w:val="1"/>
                <w:szCs w:val="1"/>
                <w:color w:val="auto"/>
              </w:rPr>
            </w:pPr>
          </w:p>
        </w:tc>
      </w:tr>
      <w:tr>
        <w:trPr>
          <w:trHeight w:val="266"/>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wet AMD</w:t>
            </w:r>
          </w:p>
        </w:tc>
        <w:tc>
          <w:tcPr>
            <w:tcW w:w="120" w:type="dxa"/>
            <w:vAlign w:val="bottom"/>
          </w:tcPr>
          <w:p>
            <w:pPr>
              <w:spacing w:after="0"/>
              <w:rPr>
                <w:sz w:val="23"/>
                <w:szCs w:val="23"/>
                <w:color w:val="auto"/>
              </w:rPr>
            </w:pPr>
          </w:p>
        </w:tc>
        <w:tc>
          <w:tcPr>
            <w:tcW w:w="2000" w:type="dxa"/>
            <w:vAlign w:val="bottom"/>
          </w:tcPr>
          <w:p>
            <w:pPr>
              <w:ind w:left="20"/>
              <w:spacing w:after="0" w:line="266" w:lineRule="exact"/>
              <w:rPr>
                <w:sz w:val="20"/>
                <w:szCs w:val="20"/>
                <w:color w:val="auto"/>
              </w:rPr>
            </w:pPr>
            <w:r>
              <w:rPr>
                <w:rFonts w:ascii="Times New Roman" w:cs="Times New Roman" w:eastAsia="Times New Roman" w:hAnsi="Times New Roman"/>
                <w:sz w:val="18"/>
                <w:szCs w:val="18"/>
                <w:color w:val="auto"/>
              </w:rPr>
              <w:t>prematurity (ROP)</w:t>
            </w:r>
            <w:r>
              <w:rPr>
                <w:rFonts w:ascii="Times New Roman" w:cs="Times New Roman" w:eastAsia="Times New Roman" w:hAnsi="Times New Roman"/>
                <w:sz w:val="25"/>
                <w:szCs w:val="25"/>
                <w:color w:val="auto"/>
                <w:vertAlign w:val="superscript"/>
              </w:rPr>
              <w:t>(c)</w:t>
            </w:r>
          </w:p>
        </w:tc>
        <w:tc>
          <w:tcPr>
            <w:tcW w:w="0" w:type="dxa"/>
            <w:vAlign w:val="bottom"/>
          </w:tcPr>
          <w:p>
            <w:pPr>
              <w:spacing w:after="0"/>
              <w:rPr>
                <w:sz w:val="1"/>
                <w:szCs w:val="1"/>
                <w:color w:val="auto"/>
              </w:rPr>
            </w:pPr>
          </w:p>
        </w:tc>
      </w:tr>
      <w:tr>
        <w:trPr>
          <w:trHeight w:val="218"/>
        </w:trPr>
        <w:tc>
          <w:tcPr>
            <w:tcW w:w="2980" w:type="dxa"/>
            <w:vAlign w:val="bottom"/>
            <w:gridSpan w:val="2"/>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5"/>
                <w:szCs w:val="25"/>
                <w:b w:val="1"/>
                <w:bCs w:val="1"/>
                <w:color w:val="auto"/>
                <w:vertAlign w:val="superscript"/>
              </w:rPr>
              <w:t>(a)</w:t>
            </w:r>
          </w:p>
        </w:tc>
        <w:tc>
          <w:tcPr>
            <w:tcW w:w="20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Grass allergy</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w:t>
            </w:r>
          </w:p>
        </w:tc>
        <w:tc>
          <w:tcPr>
            <w:tcW w:w="0" w:type="dxa"/>
            <w:vAlign w:val="bottom"/>
          </w:tcPr>
          <w:p>
            <w:pPr>
              <w:spacing w:after="0"/>
              <w:rPr>
                <w:sz w:val="1"/>
                <w:szCs w:val="1"/>
                <w:color w:val="auto"/>
              </w:rPr>
            </w:pPr>
          </w:p>
        </w:tc>
      </w:tr>
      <w:tr>
        <w:trPr>
          <w:trHeight w:val="21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IL-4R alpha subunit</w:t>
            </w:r>
          </w:p>
        </w:tc>
        <w:tc>
          <w:tcPr>
            <w:tcW w:w="2000" w:type="dxa"/>
            <w:vAlign w:val="bottom"/>
          </w:tcPr>
          <w:p>
            <w:pPr>
              <w:spacing w:after="0"/>
              <w:rPr>
                <w:sz w:val="18"/>
                <w:szCs w:val="18"/>
                <w:color w:val="auto"/>
              </w:rPr>
            </w:pPr>
          </w:p>
        </w:tc>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Peanut allergy</w:t>
            </w: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pediatrics (6–11 years of</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1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age)</w:t>
            </w:r>
            <w:r>
              <w:rPr>
                <w:rFonts w:ascii="Times New Roman" w:cs="Times New Roman" w:eastAsia="Times New Roman" w:hAnsi="Times New Roman"/>
                <w:sz w:val="25"/>
                <w:szCs w:val="25"/>
                <w:color w:val="auto"/>
                <w:vertAlign w:val="superscript"/>
              </w:rPr>
              <w:t>(d)</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Atopic dermatitis in</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pediatrics (6 months–5</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w w:val="98"/>
              </w:rPr>
              <w:t>years of age) (Phase 2/3)</w:t>
            </w:r>
            <w:r>
              <w:rPr>
                <w:rFonts w:ascii="Times New Roman" w:cs="Times New Roman" w:eastAsia="Times New Roman" w:hAnsi="Times New Roman"/>
                <w:sz w:val="25"/>
                <w:szCs w:val="25"/>
                <w:color w:val="auto"/>
                <w:w w:val="98"/>
                <w:vertAlign w:val="superscript"/>
              </w:rPr>
              <w:t>(d)</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Asthma in pediatrics (6–</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 years of age)</w:t>
            </w:r>
          </w:p>
        </w:tc>
        <w:tc>
          <w:tcPr>
            <w:tcW w:w="0" w:type="dxa"/>
            <w:vAlign w:val="bottom"/>
          </w:tcPr>
          <w:p>
            <w:pPr>
              <w:spacing w:after="0"/>
              <w:rPr>
                <w:sz w:val="1"/>
                <w:szCs w:val="1"/>
                <w:color w:val="auto"/>
              </w:rPr>
            </w:pPr>
          </w:p>
        </w:tc>
      </w:tr>
      <w:tr>
        <w:trPr>
          <w:trHeight w:val="252"/>
        </w:trPr>
        <w:tc>
          <w:tcPr>
            <w:tcW w:w="2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Eosinophilic esophagitis</w:t>
            </w: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(EOE)</w:t>
            </w:r>
            <w:r>
              <w:rPr>
                <w:rFonts w:ascii="Times New Roman" w:cs="Times New Roman" w:eastAsia="Times New Roman" w:hAnsi="Times New Roman"/>
                <w:sz w:val="25"/>
                <w:szCs w:val="25"/>
                <w:color w:val="auto"/>
                <w:vertAlign w:val="superscript"/>
              </w:rPr>
              <w:t>(c)</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Chronic obstructive</w:t>
            </w:r>
          </w:p>
        </w:tc>
        <w:tc>
          <w:tcPr>
            <w:tcW w:w="0" w:type="dxa"/>
            <w:vAlign w:val="bottom"/>
          </w:tcPr>
          <w:p>
            <w:pPr>
              <w:spacing w:after="0"/>
              <w:rPr>
                <w:sz w:val="1"/>
                <w:szCs w:val="1"/>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pulmonary disease</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(COPD)</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980" w:type="dxa"/>
            <w:vAlign w:val="bottom"/>
            <w:gridSpan w:val="2"/>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Praluent (alirocumab)</w:t>
            </w:r>
            <w:r>
              <w:rPr>
                <w:rFonts w:ascii="Times New Roman" w:cs="Times New Roman" w:eastAsia="Times New Roman" w:hAnsi="Times New Roman"/>
                <w:sz w:val="25"/>
                <w:szCs w:val="25"/>
                <w:b w:val="1"/>
                <w:bCs w:val="1"/>
                <w:color w:val="auto"/>
                <w:vertAlign w:val="superscript"/>
              </w:rPr>
              <w:t>(a)</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Homozygous familial</w:t>
            </w:r>
          </w:p>
        </w:tc>
        <w:tc>
          <w:tcPr>
            <w:tcW w:w="0" w:type="dxa"/>
            <w:vAlign w:val="bottom"/>
          </w:tcPr>
          <w:p>
            <w:pPr>
              <w:spacing w:after="0"/>
              <w:rPr>
                <w:sz w:val="1"/>
                <w:szCs w:val="1"/>
                <w:color w:val="auto"/>
              </w:rPr>
            </w:pPr>
          </w:p>
        </w:tc>
      </w:tr>
      <w:tr>
        <w:trPr>
          <w:trHeight w:val="21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PCSK9</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hypercholesterolemia</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(HoFH)</w:t>
            </w:r>
            <w:r>
              <w:rPr>
                <w:rFonts w:ascii="Times New Roman" w:cs="Times New Roman" w:eastAsia="Times New Roman" w:hAnsi="Times New Roman"/>
                <w:sz w:val="25"/>
                <w:szCs w:val="25"/>
                <w:color w:val="auto"/>
                <w:vertAlign w:val="superscript"/>
              </w:rPr>
              <w:t>(c)</w:t>
            </w:r>
            <w:r>
              <w:rPr>
                <w:rFonts w:ascii="Times New Roman" w:cs="Times New Roman" w:eastAsia="Times New Roman" w:hAnsi="Times New Roman"/>
                <w:sz w:val="18"/>
                <w:szCs w:val="18"/>
                <w:color w:val="auto"/>
              </w:rPr>
              <w:t xml:space="preserve"> in adults and</w:t>
            </w: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pediatrics</w:t>
            </w:r>
          </w:p>
        </w:tc>
        <w:tc>
          <w:tcPr>
            <w:tcW w:w="0" w:type="dxa"/>
            <w:vAlign w:val="bottom"/>
          </w:tcPr>
          <w:p>
            <w:pPr>
              <w:spacing w:after="0"/>
              <w:rPr>
                <w:sz w:val="1"/>
                <w:szCs w:val="1"/>
                <w:color w:val="auto"/>
              </w:rPr>
            </w:pPr>
          </w:p>
        </w:tc>
      </w:tr>
      <w:tr>
        <w:trPr>
          <w:trHeight w:val="277"/>
        </w:trPr>
        <w:tc>
          <w:tcPr>
            <w:tcW w:w="2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HeFH in pediatrics</w:t>
            </w:r>
          </w:p>
        </w:tc>
        <w:tc>
          <w:tcPr>
            <w:tcW w:w="0" w:type="dxa"/>
            <w:vAlign w:val="bottom"/>
          </w:tcPr>
          <w:p>
            <w:pPr>
              <w:spacing w:after="0"/>
              <w:rPr>
                <w:sz w:val="1"/>
                <w:szCs w:val="1"/>
                <w:color w:val="auto"/>
              </w:rPr>
            </w:pPr>
          </w:p>
        </w:tc>
      </w:tr>
      <w:tr>
        <w:trPr>
          <w:trHeight w:val="223"/>
        </w:trPr>
        <w:tc>
          <w:tcPr>
            <w:tcW w:w="298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5"/>
                <w:szCs w:val="25"/>
                <w:b w:val="1"/>
                <w:bCs w:val="1"/>
                <w:color w:val="auto"/>
                <w:vertAlign w:val="superscript"/>
              </w:rPr>
              <w:t>(a)</w:t>
            </w:r>
          </w:p>
        </w:tc>
        <w:tc>
          <w:tcPr>
            <w:tcW w:w="2000" w:type="dxa"/>
            <w:vAlign w:val="bottom"/>
          </w:tcPr>
          <w:p>
            <w:pPr>
              <w:spacing w:after="0"/>
              <w:rPr>
                <w:sz w:val="19"/>
                <w:szCs w:val="19"/>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Polyarticular-course</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Polymyalgia rheumatica</w:t>
            </w:r>
          </w:p>
        </w:tc>
        <w:tc>
          <w:tcPr>
            <w:tcW w:w="0" w:type="dxa"/>
            <w:vAlign w:val="bottom"/>
          </w:tcPr>
          <w:p>
            <w:pPr>
              <w:spacing w:after="0"/>
              <w:rPr>
                <w:sz w:val="1"/>
                <w:szCs w:val="1"/>
                <w:color w:val="auto"/>
              </w:rPr>
            </w:pPr>
          </w:p>
        </w:tc>
      </w:tr>
      <w:tr>
        <w:trPr>
          <w:trHeight w:val="218"/>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IL-6R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juvenile idiopathic</w:t>
            </w: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(PMR)</w:t>
            </w:r>
          </w:p>
        </w:tc>
        <w:tc>
          <w:tcPr>
            <w:tcW w:w="0" w:type="dxa"/>
            <w:vAlign w:val="bottom"/>
          </w:tcPr>
          <w:p>
            <w:pPr>
              <w:spacing w:after="0"/>
              <w:rPr>
                <w:sz w:val="1"/>
                <w:szCs w:val="1"/>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arthritis (pcJIA)</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-1183005</wp:posOffset>
            </wp:positionV>
            <wp:extent cx="524002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40020" cy="75438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-3455670</wp:posOffset>
            </wp:positionV>
            <wp:extent cx="705802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802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18"/>
          <w:szCs w:val="18"/>
          <w:b w:val="1"/>
          <w:bCs w:val="1"/>
          <w:color w:val="auto"/>
        </w:rPr>
        <w:t>Regulatory Review</w:t>
      </w:r>
      <w:r>
        <w:rPr>
          <w:rFonts w:ascii="Times New Roman" w:cs="Times New Roman" w:eastAsia="Times New Roman" w:hAnsi="Times New Roman"/>
          <w:sz w:val="25"/>
          <w:szCs w:val="25"/>
          <w:b w:val="1"/>
          <w:bCs w:val="1"/>
          <w:color w:val="auto"/>
          <w:vertAlign w:val="superscript"/>
        </w:rPr>
        <w:t>(i)</w:t>
      </w:r>
    </w:p>
    <w:p>
      <w:pPr>
        <w:spacing w:after="0" w:line="200" w:lineRule="exact"/>
        <w:rPr>
          <w:sz w:val="20"/>
          <w:szCs w:val="20"/>
          <w:color w:val="auto"/>
        </w:rPr>
      </w:pPr>
    </w:p>
    <w:p>
      <w:pPr>
        <w:spacing w:after="0" w:line="286" w:lineRule="exact"/>
        <w:rPr>
          <w:sz w:val="20"/>
          <w:szCs w:val="20"/>
          <w:color w:val="auto"/>
        </w:rPr>
      </w:pPr>
    </w:p>
    <w:p>
      <w:pPr>
        <w:ind w:left="112" w:right="40" w:hanging="112"/>
        <w:spacing w:after="0" w:line="266" w:lineRule="auto"/>
        <w:tabs>
          <w:tab w:leader="none" w:pos="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Auto-injector for 300 mg dose (U.S., EU, and Japan)</w:t>
      </w:r>
    </w:p>
    <w:p>
      <w:pPr>
        <w:spacing w:after="0" w:line="14" w:lineRule="exact"/>
        <w:rPr>
          <w:rFonts w:ascii="Times New Roman" w:cs="Times New Roman" w:eastAsia="Times New Roman" w:hAnsi="Times New Roman"/>
          <w:sz w:val="18"/>
          <w:szCs w:val="18"/>
          <w:color w:val="auto"/>
        </w:rPr>
      </w:pPr>
    </w:p>
    <w:p>
      <w:pPr>
        <w:ind w:left="112" w:hanging="112"/>
        <w:spacing w:after="0"/>
        <w:tabs>
          <w:tab w:leader="none" w:pos="11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CRSwNP (Japan)</w:t>
      </w:r>
    </w:p>
    <w:p>
      <w:pPr>
        <w:spacing w:after="0" w:line="4060" w:lineRule="exact"/>
        <w:rPr>
          <w:sz w:val="20"/>
          <w:szCs w:val="20"/>
          <w:color w:val="auto"/>
        </w:rPr>
      </w:pPr>
    </w:p>
    <w:p>
      <w:pPr>
        <w:sectPr>
          <w:pgSz w:w="11900" w:h="16838" w:orient="portrait"/>
          <w:cols w:equalWidth="0" w:num="2">
            <w:col w:w="9380" w:space="28"/>
            <w:col w:w="1872"/>
          </w:cols>
          <w:pgMar w:left="240" w:top="126" w:right="379" w:bottom="1440" w:gutter="0" w:footer="0" w:header="0"/>
          <w:type w:val="continuous"/>
        </w:sectPr>
      </w:pPr>
    </w:p>
    <w:tbl>
      <w:tblPr>
        <w:tblLayout w:type="fixed"/>
        <w:tblInd w:w="1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Systemic juvenile</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Giant cell arteritis (GCA)</w:t>
            </w: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idiopathic arthritis (sJIA)</w:t>
            </w:r>
          </w:p>
        </w:tc>
        <w:tc>
          <w:tcPr>
            <w:tcW w:w="402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5"/>
                <w:szCs w:val="25"/>
                <w:b w:val="1"/>
                <w:bCs w:val="1"/>
                <w:color w:val="auto"/>
                <w:vertAlign w:val="superscript"/>
              </w:rPr>
              <w:t>(a)(h)</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Solid tumors and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Basal cell carcinoma</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First-line non-small cell</w:t>
            </w:r>
          </w:p>
        </w:tc>
      </w:tr>
      <w:tr>
        <w:trPr>
          <w:trHeight w:val="21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PD-1</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hematologic</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(BCC) (potentially pivotal</w:t>
            </w: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lung cancer (NSCLC)</w:t>
            </w:r>
          </w:p>
        </w:tc>
      </w:tr>
      <w:tr>
        <w:trPr>
          <w:trHeight w:val="234"/>
        </w:trPr>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malignancies</w:t>
            </w: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4020" w:type="dxa"/>
            <w:vAlign w:val="bottom"/>
            <w:shd w:val="clear" w:color="auto" w:fill="CCEEFF"/>
          </w:tcPr>
          <w:p>
            <w:pPr>
              <w:spacing w:after="0"/>
              <w:rPr>
                <w:sz w:val="20"/>
                <w:szCs w:val="20"/>
                <w:color w:val="auto"/>
              </w:rPr>
            </w:pPr>
          </w:p>
        </w:tc>
      </w:tr>
      <w:tr>
        <w:trPr>
          <w:trHeight w:val="252"/>
        </w:trPr>
        <w:tc>
          <w:tcPr>
            <w:tcW w:w="2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Metastatic or locally</w:t>
            </w:r>
          </w:p>
        </w:tc>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Second-line cervical</w:t>
            </w:r>
          </w:p>
        </w:tc>
      </w:tr>
      <w:tr>
        <w:trPr>
          <w:trHeight w:val="261"/>
        </w:trPr>
        <w:tc>
          <w:tcPr>
            <w:tcW w:w="2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advanced CSCC</w:t>
            </w:r>
            <w:r>
              <w:rPr>
                <w:rFonts w:ascii="Times New Roman" w:cs="Times New Roman" w:eastAsia="Times New Roman" w:hAnsi="Times New Roman"/>
                <w:sz w:val="25"/>
                <w:szCs w:val="25"/>
                <w:color w:val="auto"/>
                <w:vertAlign w:val="superscript"/>
              </w:rPr>
              <w:t>(d)</w:t>
            </w:r>
          </w:p>
        </w:tc>
        <w:tc>
          <w:tcPr>
            <w:tcW w:w="4020" w:type="dxa"/>
            <w:vAlign w:val="bottom"/>
            <w:shd w:val="clear" w:color="auto" w:fill="CCEEFF"/>
          </w:tcPr>
          <w:p>
            <w:pPr>
              <w:ind w:left="140"/>
              <w:spacing w:after="0" w:line="262" w:lineRule="exact"/>
              <w:rPr>
                <w:sz w:val="20"/>
                <w:szCs w:val="20"/>
                <w:color w:val="auto"/>
              </w:rPr>
            </w:pPr>
            <w:r>
              <w:rPr>
                <w:rFonts w:ascii="Times New Roman" w:cs="Times New Roman" w:eastAsia="Times New Roman" w:hAnsi="Times New Roman"/>
                <w:sz w:val="18"/>
                <w:szCs w:val="18"/>
                <w:color w:val="auto"/>
              </w:rPr>
              <w:t>cancer</w:t>
            </w:r>
            <w:r>
              <w:rPr>
                <w:rFonts w:ascii="Times New Roman" w:cs="Times New Roman" w:eastAsia="Times New Roman" w:hAnsi="Times New Roman"/>
                <w:sz w:val="25"/>
                <w:szCs w:val="25"/>
                <w:color w:val="auto"/>
                <w:vertAlign w:val="superscript"/>
              </w:rPr>
              <w:t>(e)</w:t>
            </w:r>
          </w:p>
        </w:tc>
      </w:tr>
      <w:tr>
        <w:trPr>
          <w:trHeight w:val="250"/>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Adjuvant CSCC</w:t>
            </w:r>
          </w:p>
        </w:tc>
      </w:tr>
      <w:tr>
        <w:trPr>
          <w:trHeight w:val="223"/>
        </w:trPr>
        <w:tc>
          <w:tcPr>
            <w:tcW w:w="286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Fasinumab</w:t>
            </w:r>
            <w:r>
              <w:rPr>
                <w:rFonts w:ascii="Times New Roman" w:cs="Times New Roman" w:eastAsia="Times New Roman" w:hAnsi="Times New Roman"/>
                <w:sz w:val="25"/>
                <w:szCs w:val="25"/>
                <w:b w:val="1"/>
                <w:bCs w:val="1"/>
                <w:color w:val="auto"/>
                <w:vertAlign w:val="superscript"/>
              </w:rPr>
              <w:t>(b)(f)</w:t>
            </w:r>
            <w:r>
              <w:rPr>
                <w:rFonts w:ascii="Times New Roman" w:cs="Times New Roman" w:eastAsia="Times New Roman" w:hAnsi="Times New Roman"/>
                <w:sz w:val="18"/>
                <w:szCs w:val="18"/>
                <w:b w:val="1"/>
                <w:bCs w:val="1"/>
                <w:color w:val="auto"/>
              </w:rPr>
              <w:t xml:space="preserve"> (REGN475)</w:t>
            </w: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Osteoarthritis pain of the</w:t>
            </w:r>
          </w:p>
        </w:tc>
      </w:tr>
      <w:tr>
        <w:trPr>
          <w:trHeight w:val="26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NGF</w:t>
            </w: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020" w:type="dxa"/>
            <w:vAlign w:val="bottom"/>
          </w:tcPr>
          <w:p>
            <w:pPr>
              <w:ind w:left="140"/>
              <w:spacing w:after="0" w:line="263" w:lineRule="exact"/>
              <w:rPr>
                <w:sz w:val="20"/>
                <w:szCs w:val="20"/>
                <w:color w:val="auto"/>
              </w:rPr>
            </w:pPr>
            <w:r>
              <w:rPr>
                <w:rFonts w:ascii="Times New Roman" w:cs="Times New Roman" w:eastAsia="Times New Roman" w:hAnsi="Times New Roman"/>
                <w:sz w:val="18"/>
                <w:szCs w:val="18"/>
                <w:color w:val="auto"/>
              </w:rPr>
              <w:t>knee or hip</w:t>
            </w:r>
            <w:r>
              <w:rPr>
                <w:rFonts w:ascii="Times New Roman" w:cs="Times New Roman" w:eastAsia="Times New Roman" w:hAnsi="Times New Roman"/>
                <w:sz w:val="25"/>
                <w:szCs w:val="25"/>
                <w:color w:val="auto"/>
                <w:vertAlign w:val="superscript"/>
              </w:rPr>
              <w:t>(e)</w:t>
            </w:r>
          </w:p>
        </w:tc>
      </w:tr>
      <w:tr>
        <w:trPr>
          <w:trHeight w:val="223"/>
        </w:trPr>
        <w:tc>
          <w:tcPr>
            <w:tcW w:w="2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Evinacumab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(REGN1500)</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Refractory</w:t>
            </w:r>
          </w:p>
        </w:tc>
        <w:tc>
          <w:tcPr>
            <w:tcW w:w="40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25"/>
                <w:szCs w:val="25"/>
                <w:color w:val="auto"/>
                <w:vertAlign w:val="subscript"/>
              </w:rPr>
              <w:t>- HoFH</w:t>
            </w:r>
            <w:r>
              <w:rPr>
                <w:rFonts w:ascii="Times New Roman" w:cs="Times New Roman" w:eastAsia="Times New Roman" w:hAnsi="Times New Roman"/>
                <w:sz w:val="11"/>
                <w:szCs w:val="11"/>
                <w:color w:val="auto"/>
              </w:rPr>
              <w:t>(c)(d)</w:t>
            </w:r>
          </w:p>
        </w:tc>
      </w:tr>
      <w:tr>
        <w:trPr>
          <w:trHeight w:val="21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ANGPTL3</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w:t>
            </w:r>
          </w:p>
        </w:tc>
        <w:tc>
          <w:tcPr>
            <w:tcW w:w="4020" w:type="dxa"/>
            <w:vAlign w:val="bottom"/>
            <w:shd w:val="clear" w:color="auto" w:fill="CCEEFF"/>
          </w:tcPr>
          <w:p>
            <w:pPr>
              <w:spacing w:after="0"/>
              <w:rPr>
                <w:sz w:val="18"/>
                <w:szCs w:val="18"/>
                <w:color w:val="auto"/>
              </w:rPr>
            </w:pPr>
          </w:p>
        </w:tc>
      </w:tr>
      <w:tr>
        <w:trPr>
          <w:trHeight w:val="234"/>
        </w:trPr>
        <w:tc>
          <w:tcPr>
            <w:tcW w:w="2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(both HeFH and non-FH)</w:t>
            </w:r>
          </w:p>
        </w:tc>
        <w:tc>
          <w:tcPr>
            <w:tcW w:w="4020" w:type="dxa"/>
            <w:vAlign w:val="bottom"/>
            <w:shd w:val="clear" w:color="auto" w:fill="CCEEFF"/>
          </w:tcPr>
          <w:p>
            <w:pPr>
              <w:spacing w:after="0"/>
              <w:rPr>
                <w:sz w:val="20"/>
                <w:szCs w:val="20"/>
                <w:color w:val="auto"/>
              </w:rPr>
            </w:pPr>
          </w:p>
        </w:tc>
      </w:tr>
      <w:tr>
        <w:trPr>
          <w:trHeight w:val="252"/>
        </w:trPr>
        <w:tc>
          <w:tcPr>
            <w:tcW w:w="2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Severe</w:t>
            </w:r>
          </w:p>
        </w:tc>
        <w:tc>
          <w:tcPr>
            <w:tcW w:w="4020" w:type="dxa"/>
            <w:vAlign w:val="bottom"/>
            <w:shd w:val="clear" w:color="auto" w:fill="CCEEFF"/>
          </w:tcPr>
          <w:p>
            <w:pPr>
              <w:spacing w:after="0"/>
              <w:rPr>
                <w:sz w:val="21"/>
                <w:szCs w:val="21"/>
                <w:color w:val="auto"/>
              </w:rPr>
            </w:pPr>
          </w:p>
        </w:tc>
      </w:tr>
      <w:tr>
        <w:trPr>
          <w:trHeight w:val="241"/>
        </w:trPr>
        <w:tc>
          <w:tcPr>
            <w:tcW w:w="2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hypertriglyceridemia</w:t>
            </w:r>
          </w:p>
        </w:tc>
        <w:tc>
          <w:tcPr>
            <w:tcW w:w="4020" w:type="dxa"/>
            <w:vAlign w:val="bottom"/>
            <w:tcBorders>
              <w:bottom w:val="single" w:sz="8" w:color="CCEEFF"/>
            </w:tcBorders>
            <w:shd w:val="clear" w:color="auto" w:fill="CCEEFF"/>
          </w:tcPr>
          <w:p>
            <w:pPr>
              <w:spacing w:after="0"/>
              <w:rPr>
                <w:sz w:val="20"/>
                <w:szCs w:val="20"/>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REGN1979</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Certain B-cell</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Relapsed/refractory</w:t>
            </w:r>
          </w:p>
        </w:tc>
        <w:tc>
          <w:tcPr>
            <w:tcW w:w="4020" w:type="dxa"/>
            <w:vAlign w:val="bottom"/>
          </w:tcPr>
          <w:p>
            <w:pPr>
              <w:spacing w:after="0"/>
              <w:rPr>
                <w:sz w:val="19"/>
                <w:szCs w:val="19"/>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CD20</w:t>
            </w:r>
          </w:p>
        </w:tc>
        <w:tc>
          <w:tcPr>
            <w:tcW w:w="120" w:type="dxa"/>
            <w:vAlign w:val="bottom"/>
          </w:tcPr>
          <w:p>
            <w:pPr>
              <w:spacing w:after="0"/>
              <w:rPr>
                <w:sz w:val="18"/>
                <w:szCs w:val="18"/>
                <w:color w:val="auto"/>
              </w:rPr>
            </w:pPr>
          </w:p>
        </w:tc>
        <w:tc>
          <w:tcPr>
            <w:tcW w:w="20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malignancies</w:t>
            </w:r>
            <w:r>
              <w:rPr>
                <w:rFonts w:ascii="Times New Roman" w:cs="Times New Roman" w:eastAsia="Times New Roman" w:hAnsi="Times New Roman"/>
                <w:sz w:val="25"/>
                <w:szCs w:val="25"/>
                <w:color w:val="auto"/>
                <w:vertAlign w:val="superscript"/>
              </w:rPr>
              <w:t>(c)</w:t>
            </w: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follicular lymphoma (FL)</w:t>
            </w:r>
          </w:p>
        </w:tc>
        <w:tc>
          <w:tcPr>
            <w:tcW w:w="4020" w:type="dxa"/>
            <w:vAlign w:val="bottom"/>
          </w:tcPr>
          <w:p>
            <w:pPr>
              <w:spacing w:after="0"/>
              <w:rPr>
                <w:sz w:val="18"/>
                <w:szCs w:val="18"/>
                <w:color w:val="auto"/>
              </w:rPr>
            </w:pPr>
          </w:p>
        </w:tc>
      </w:tr>
      <w:tr>
        <w:trPr>
          <w:trHeight w:val="21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partial clinical hold</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pending FDA review of</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20" w:type="dxa"/>
            <w:vAlign w:val="bottom"/>
          </w:tcPr>
          <w:p>
            <w:pPr>
              <w:spacing w:after="0"/>
              <w:rPr>
                <w:sz w:val="18"/>
                <w:szCs w:val="18"/>
                <w:color w:val="auto"/>
              </w:rPr>
            </w:pPr>
          </w:p>
        </w:tc>
      </w:tr>
      <w:tr>
        <w:trPr>
          <w:trHeight w:val="234"/>
        </w:trPr>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protocol amendment)</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21"/>
        </w:trPr>
        <w:tc>
          <w:tcPr>
            <w:tcW w:w="286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b w:val="1"/>
                <w:bCs w:val="1"/>
                <w:color w:val="auto"/>
              </w:rPr>
              <w:t>REGN-EB3</w:t>
            </w:r>
            <w:r>
              <w:rPr>
                <w:rFonts w:ascii="Times New Roman" w:cs="Times New Roman" w:eastAsia="Times New Roman" w:hAnsi="Times New Roman"/>
                <w:sz w:val="25"/>
                <w:szCs w:val="25"/>
                <w:b w:val="1"/>
                <w:bCs w:val="1"/>
                <w:color w:val="auto"/>
                <w:vertAlign w:val="superscript"/>
              </w:rPr>
              <w:t>(g)</w:t>
            </w:r>
            <w:r>
              <w:rPr>
                <w:rFonts w:ascii="Times New Roman" w:cs="Times New Roman" w:eastAsia="Times New Roman" w:hAnsi="Times New Roman"/>
                <w:sz w:val="18"/>
                <w:szCs w:val="18"/>
                <w:b w:val="1"/>
                <w:bCs w:val="1"/>
                <w:color w:val="auto"/>
              </w:rPr>
              <w:t xml:space="preserve"> (REGN3470-3471-</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4020" w:type="dxa"/>
            <w:vAlign w:val="bottom"/>
            <w:shd w:val="clear" w:color="auto" w:fill="CCEEFF"/>
          </w:tcPr>
          <w:p>
            <w:pPr>
              <w:ind w:left="2140"/>
              <w:spacing w:after="0" w:line="221" w:lineRule="exact"/>
              <w:rPr>
                <w:sz w:val="20"/>
                <w:szCs w:val="20"/>
                <w:color w:val="auto"/>
              </w:rPr>
            </w:pPr>
            <w:r>
              <w:rPr>
                <w:rFonts w:ascii="Times New Roman" w:cs="Times New Roman" w:eastAsia="Times New Roman" w:hAnsi="Times New Roman"/>
                <w:sz w:val="18"/>
                <w:szCs w:val="18"/>
                <w:color w:val="auto"/>
              </w:rPr>
              <w:t>- Ebola (U.S.)</w:t>
            </w:r>
            <w:r>
              <w:rPr>
                <w:rFonts w:ascii="Times New Roman" w:cs="Times New Roman" w:eastAsia="Times New Roman" w:hAnsi="Times New Roman"/>
                <w:sz w:val="25"/>
                <w:szCs w:val="25"/>
                <w:color w:val="auto"/>
                <w:vertAlign w:val="superscript"/>
              </w:rPr>
              <w:t>(c)(d)(j)</w:t>
            </w:r>
          </w:p>
        </w:tc>
      </w:tr>
      <w:tr>
        <w:trPr>
          <w:trHeight w:val="21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3479)</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Multi-antibody therapy to Ebola virus</w:t>
            </w: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infection (Ebola)</w:t>
            </w: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20" w:type="dxa"/>
            <w:vAlign w:val="bottom"/>
            <w:shd w:val="clear" w:color="auto" w:fill="CCEEFF"/>
          </w:tcPr>
          <w:p>
            <w:pPr>
              <w:spacing w:after="0"/>
              <w:rPr>
                <w:sz w:val="20"/>
                <w:szCs w:val="20"/>
                <w:color w:val="auto"/>
              </w:rPr>
            </w:pPr>
          </w:p>
        </w:tc>
      </w:tr>
      <w:tr>
        <w:trPr>
          <w:trHeight w:val="27"/>
        </w:trPr>
        <w:tc>
          <w:tcPr>
            <w:tcW w:w="2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240" w:top="12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80"/>
          </w:cols>
          <w:pgMar w:left="240" w:top="126" w:right="379" w:bottom="1440" w:gutter="0" w:footer="0" w:header="0"/>
          <w:type w:val="continuous"/>
        </w:sectPr>
      </w:pPr>
    </w:p>
    <w:bookmarkStart w:id="29" w:name="page30"/>
    <w:bookmarkEnd w:id="2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60" w:type="dxa"/>
        <w:tblCellMar>
          <w:top w:w="0" w:type="dxa"/>
          <w:left w:w="0" w:type="dxa"/>
          <w:bottom w:w="0" w:type="dxa"/>
          <w:right w:w="0" w:type="dxa"/>
        </w:tblCellMar>
      </w:tblPr>
      <w:tr>
        <w:trPr>
          <w:trHeight w:val="287"/>
        </w:trPr>
        <w:tc>
          <w:tcPr>
            <w:tcW w:w="28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Phase 1</w:t>
            </w: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0" w:type="dxa"/>
            <w:vAlign w:val="bottom"/>
          </w:tcPr>
          <w:p>
            <w:pPr>
              <w:spacing w:after="0"/>
              <w:rPr>
                <w:sz w:val="24"/>
                <w:szCs w:val="24"/>
                <w:color w:val="auto"/>
              </w:rPr>
            </w:pPr>
          </w:p>
        </w:tc>
        <w:tc>
          <w:tcPr>
            <w:tcW w:w="2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00" w:type="dxa"/>
            <w:vAlign w:val="bottom"/>
          </w:tcPr>
          <w:p>
            <w:pPr>
              <w:spacing w:after="0"/>
              <w:rPr>
                <w:sz w:val="24"/>
                <w:szCs w:val="24"/>
                <w:color w:val="auto"/>
              </w:rPr>
            </w:pPr>
          </w:p>
        </w:tc>
        <w:tc>
          <w:tcPr>
            <w:tcW w:w="1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Regulatory Review</w:t>
            </w:r>
            <w:r>
              <w:rPr>
                <w:rFonts w:ascii="Times New Roman" w:cs="Times New Roman" w:eastAsia="Times New Roman" w:hAnsi="Times New Roman"/>
                <w:sz w:val="25"/>
                <w:szCs w:val="25"/>
                <w:b w:val="1"/>
                <w:bCs w:val="1"/>
                <w:color w:val="auto"/>
                <w:vertAlign w:val="superscript"/>
              </w:rPr>
              <w:t>(i)</w:t>
            </w:r>
          </w:p>
        </w:tc>
      </w:tr>
      <w:tr>
        <w:trPr>
          <w:trHeight w:val="216"/>
        </w:trPr>
        <w:tc>
          <w:tcPr>
            <w:tcW w:w="30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(REGN2477)</w:t>
            </w:r>
          </w:p>
        </w:tc>
        <w:tc>
          <w:tcPr>
            <w:tcW w:w="20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Fibrodysplasia ossificans</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ind w:left="40"/>
              <w:spacing w:after="0" w:line="219" w:lineRule="exact"/>
              <w:rPr>
                <w:sz w:val="20"/>
                <w:szCs w:val="20"/>
                <w:color w:val="auto"/>
              </w:rPr>
            </w:pPr>
            <w:r>
              <w:rPr>
                <w:rFonts w:ascii="Times New Roman" w:cs="Times New Roman" w:eastAsia="Times New Roman" w:hAnsi="Times New Roman"/>
                <w:sz w:val="18"/>
                <w:szCs w:val="18"/>
                <w:color w:val="auto"/>
              </w:rPr>
              <w:t>progressiva (FOP)</w:t>
            </w:r>
            <w:r>
              <w:rPr>
                <w:rFonts w:ascii="Times New Roman" w:cs="Times New Roman" w:eastAsia="Times New Roman" w:hAnsi="Times New Roman"/>
                <w:sz w:val="25"/>
                <w:szCs w:val="25"/>
                <w:color w:val="auto"/>
                <w:vertAlign w:val="superscript"/>
              </w:rPr>
              <w:t>(c)(e)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(potentially pivotal study)</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wp:posOffset>
            </wp:positionV>
            <wp:extent cx="705802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8025" cy="582930"/>
                    </a:xfrm>
                    <a:prstGeom prst="rect">
                      <a:avLst/>
                    </a:prstGeom>
                    <a:noFill/>
                  </pic:spPr>
                </pic:pic>
              </a:graphicData>
            </a:graphic>
          </wp:anchor>
        </w:drawing>
      </w:r>
    </w:p>
    <w:p>
      <w:pPr>
        <w:sectPr>
          <w:pgSz w:w="11900" w:h="16838" w:orient="portrait"/>
          <w:cols w:equalWidth="0" w:num="1">
            <w:col w:w="11280"/>
          </w:cols>
          <w:pgMar w:left="240" w:top="126" w:right="379" w:bottom="1440" w:gutter="0" w:footer="0" w:header="0"/>
        </w:sectPr>
      </w:pPr>
    </w:p>
    <w:p>
      <w:pPr>
        <w:ind w:left="180"/>
        <w:spacing w:after="0" w:line="226" w:lineRule="auto"/>
        <w:rPr>
          <w:sz w:val="20"/>
          <w:szCs w:val="20"/>
          <w:color w:val="auto"/>
        </w:rPr>
      </w:pPr>
      <w:r>
        <w:rPr>
          <w:rFonts w:ascii="Times New Roman" w:cs="Times New Roman" w:eastAsia="Times New Roman" w:hAnsi="Times New Roman"/>
          <w:sz w:val="18"/>
          <w:szCs w:val="18"/>
          <w:b w:val="1"/>
          <w:bCs w:val="1"/>
          <w:color w:val="auto"/>
        </w:rPr>
        <w:t>REGN3500</w:t>
      </w:r>
      <w:r>
        <w:rPr>
          <w:rFonts w:ascii="Times New Roman" w:cs="Times New Roman" w:eastAsia="Times New Roman" w:hAnsi="Times New Roman"/>
          <w:sz w:val="25"/>
          <w:szCs w:val="25"/>
          <w:b w:val="1"/>
          <w:bCs w:val="1"/>
          <w:color w:val="auto"/>
          <w:vertAlign w:val="superscript"/>
        </w:rPr>
        <w:t>(a)</w:t>
      </w:r>
    </w:p>
    <w:p>
      <w:pPr>
        <w:spacing w:after="0" w:line="1" w:lineRule="exact"/>
        <w:rPr>
          <w:sz w:val="20"/>
          <w:szCs w:val="20"/>
          <w:color w:val="auto"/>
        </w:rPr>
      </w:pPr>
    </w:p>
    <w:p>
      <w:pPr>
        <w:ind w:left="180" w:right="1534"/>
        <w:spacing w:after="0" w:line="254" w:lineRule="auto"/>
        <w:rPr>
          <w:sz w:val="20"/>
          <w:szCs w:val="20"/>
          <w:color w:val="auto"/>
        </w:rPr>
      </w:pPr>
      <w:r>
        <w:rPr>
          <w:rFonts w:ascii="Times New Roman" w:cs="Times New Roman" w:eastAsia="Times New Roman" w:hAnsi="Times New Roman"/>
          <w:sz w:val="18"/>
          <w:szCs w:val="18"/>
          <w:i w:val="1"/>
          <w:iCs w:val="1"/>
          <w:color w:val="auto"/>
        </w:rPr>
        <w:t>Antibody to IL-33. Studied as monotherapy and in combination with Dupixent.</w:t>
      </w:r>
    </w:p>
    <w:p>
      <w:pPr>
        <w:ind w:left="180"/>
        <w:spacing w:after="0" w:line="218" w:lineRule="auto"/>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5"/>
          <w:szCs w:val="25"/>
          <w:b w:val="1"/>
          <w:bCs w:val="1"/>
          <w:color w:val="auto"/>
          <w:vertAlign w:val="superscript"/>
        </w:rPr>
        <w:t>(f)</w:t>
      </w:r>
    </w:p>
    <w:p>
      <w:pPr>
        <w:ind w:left="180"/>
        <w:spacing w:after="0"/>
        <w:rPr>
          <w:sz w:val="20"/>
          <w:szCs w:val="20"/>
          <w:color w:val="auto"/>
        </w:rPr>
      </w:pPr>
      <w:r>
        <w:rPr>
          <w:rFonts w:ascii="Times New Roman" w:cs="Times New Roman" w:eastAsia="Times New Roman" w:hAnsi="Times New Roman"/>
          <w:sz w:val="18"/>
          <w:szCs w:val="18"/>
          <w:i w:val="1"/>
          <w:iCs w:val="1"/>
          <w:color w:val="auto"/>
        </w:rPr>
        <w:t>Multi-antibody therapy to Feld1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126" w:hanging="126"/>
        <w:spacing w:after="0"/>
        <w:tabs>
          <w:tab w:leader="none" w:pos="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Asthma</w:t>
      </w:r>
    </w:p>
    <w:p>
      <w:pPr>
        <w:spacing w:after="0" w:line="90" w:lineRule="exact"/>
        <w:rPr>
          <w:rFonts w:ascii="Times New Roman" w:cs="Times New Roman" w:eastAsia="Times New Roman" w:hAnsi="Times New Roman"/>
          <w:sz w:val="18"/>
          <w:szCs w:val="18"/>
          <w:color w:val="auto"/>
        </w:rPr>
      </w:pPr>
    </w:p>
    <w:p>
      <w:pPr>
        <w:ind w:left="126" w:hanging="126"/>
        <w:spacing w:after="0"/>
        <w:tabs>
          <w:tab w:leader="none" w:pos="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COPD</w:t>
      </w:r>
    </w:p>
    <w:p>
      <w:pPr>
        <w:spacing w:after="0" w:line="103" w:lineRule="exact"/>
        <w:rPr>
          <w:rFonts w:ascii="Times New Roman" w:cs="Times New Roman" w:eastAsia="Times New Roman" w:hAnsi="Times New Roman"/>
          <w:sz w:val="18"/>
          <w:szCs w:val="18"/>
          <w:color w:val="auto"/>
        </w:rPr>
      </w:pPr>
    </w:p>
    <w:p>
      <w:pPr>
        <w:ind w:left="126" w:hanging="126"/>
        <w:spacing w:after="0"/>
        <w:tabs>
          <w:tab w:leader="none" w:pos="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Atopic dermatitis</w:t>
      </w:r>
    </w:p>
    <w:p>
      <w:pPr>
        <w:spacing w:after="0" w:line="103" w:lineRule="exact"/>
        <w:rPr>
          <w:rFonts w:ascii="Times New Roman" w:cs="Times New Roman" w:eastAsia="Times New Roman" w:hAnsi="Times New Roman"/>
          <w:sz w:val="18"/>
          <w:szCs w:val="18"/>
          <w:color w:val="auto"/>
        </w:rPr>
      </w:pPr>
    </w:p>
    <w:p>
      <w:pPr>
        <w:ind w:left="126" w:hanging="126"/>
        <w:spacing w:after="0"/>
        <w:tabs>
          <w:tab w:leader="none" w:pos="1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 allergy</w:t>
      </w:r>
    </w:p>
    <w:p>
      <w:pPr>
        <w:spacing w:after="0" w:line="237" w:lineRule="exact"/>
        <w:rPr>
          <w:sz w:val="20"/>
          <w:szCs w:val="20"/>
          <w:color w:val="auto"/>
        </w:rPr>
      </w:pPr>
    </w:p>
    <w:p>
      <w:pPr>
        <w:sectPr>
          <w:pgSz w:w="11900" w:h="16838" w:orient="portrait"/>
          <w:cols w:equalWidth="0" w:num="2">
            <w:col w:w="4474" w:space="720"/>
            <w:col w:w="6086"/>
          </w:cols>
          <w:pgMar w:left="240" w:top="126" w:right="379" w:bottom="1440" w:gutter="0" w:footer="0" w:header="0"/>
          <w:type w:val="continuous"/>
        </w:sectPr>
      </w:pPr>
    </w:p>
    <w:tbl>
      <w:tblPr>
        <w:tblLayout w:type="fixed"/>
        <w:tblInd w:w="160" w:type="dxa"/>
        <w:tblCellMar>
          <w:top w:w="0" w:type="dxa"/>
          <w:left w:w="0" w:type="dxa"/>
          <w:bottom w:w="0" w:type="dxa"/>
          <w:right w:w="0" w:type="dxa"/>
        </w:tblCellMar>
      </w:tblPr>
      <w:tr>
        <w:trPr>
          <w:trHeight w:val="257"/>
        </w:trPr>
        <w:tc>
          <w:tcPr>
            <w:tcW w:w="286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5"/>
                <w:szCs w:val="25"/>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826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 Paroxysmal nocturnal</w:t>
            </w:r>
          </w:p>
        </w:tc>
      </w:tr>
      <w:tr>
        <w:trPr>
          <w:trHeight w:val="26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C5</w:t>
            </w:r>
          </w:p>
        </w:tc>
        <w:tc>
          <w:tcPr>
            <w:tcW w:w="8260" w:type="dxa"/>
            <w:vAlign w:val="bottom"/>
            <w:shd w:val="clear" w:color="auto" w:fill="CCEEFF"/>
          </w:tcPr>
          <w:p>
            <w:pPr>
              <w:ind w:left="2300"/>
              <w:spacing w:after="0" w:line="263" w:lineRule="exact"/>
              <w:rPr>
                <w:sz w:val="20"/>
                <w:szCs w:val="20"/>
                <w:color w:val="auto"/>
              </w:rPr>
            </w:pPr>
            <w:r>
              <w:rPr>
                <w:rFonts w:ascii="Times New Roman" w:cs="Times New Roman" w:eastAsia="Times New Roman" w:hAnsi="Times New Roman"/>
                <w:sz w:val="18"/>
                <w:szCs w:val="18"/>
                <w:color w:val="auto"/>
              </w:rPr>
              <w:t>hemoglobinuria (PNH)</w:t>
            </w:r>
            <w:r>
              <w:rPr>
                <w:rFonts w:ascii="Times New Roman" w:cs="Times New Roman" w:eastAsia="Times New Roman" w:hAnsi="Times New Roman"/>
                <w:sz w:val="25"/>
                <w:szCs w:val="25"/>
                <w:color w:val="auto"/>
                <w:vertAlign w:val="superscript"/>
              </w:rPr>
              <w:t>(c)</w:t>
            </w: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REGN5069</w:t>
            </w:r>
          </w:p>
        </w:tc>
        <w:tc>
          <w:tcPr>
            <w:tcW w:w="82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 Osteoarthritis pain of the</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GFRα3</w:t>
            </w:r>
          </w:p>
        </w:tc>
        <w:tc>
          <w:tcPr>
            <w:tcW w:w="82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knee</w:t>
            </w:r>
          </w:p>
        </w:tc>
      </w:tr>
      <w:tr>
        <w:trPr>
          <w:trHeight w:val="27"/>
        </w:trPr>
        <w:tc>
          <w:tcPr>
            <w:tcW w:w="2860" w:type="dxa"/>
            <w:vAlign w:val="bottom"/>
          </w:tcPr>
          <w:p>
            <w:pPr>
              <w:spacing w:after="0"/>
              <w:rPr>
                <w:sz w:val="2"/>
                <w:szCs w:val="2"/>
                <w:color w:val="auto"/>
              </w:rPr>
            </w:pPr>
          </w:p>
        </w:tc>
        <w:tc>
          <w:tcPr>
            <w:tcW w:w="826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REGN3048-3051</w:t>
            </w:r>
            <w:r>
              <w:rPr>
                <w:rFonts w:ascii="Times New Roman" w:cs="Times New Roman" w:eastAsia="Times New Roman" w:hAnsi="Times New Roman"/>
                <w:sz w:val="25"/>
                <w:szCs w:val="25"/>
                <w:b w:val="1"/>
                <w:bCs w:val="1"/>
                <w:color w:val="auto"/>
                <w:vertAlign w:val="superscript"/>
              </w:rPr>
              <w:t>(g)</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MERS virus infection</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Multi-antibody therapy to Middle East</w:t>
            </w:r>
          </w:p>
        </w:tc>
        <w:tc>
          <w:tcPr>
            <w:tcW w:w="8260" w:type="dxa"/>
            <w:vAlign w:val="bottom"/>
            <w:shd w:val="clear" w:color="auto" w:fill="CCEEFF"/>
          </w:tcPr>
          <w:p>
            <w:pPr>
              <w:spacing w:after="0"/>
              <w:rPr>
                <w:sz w:val="18"/>
                <w:szCs w:val="18"/>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Respiratory Syndrome (MERS) virus</w:t>
            </w:r>
          </w:p>
        </w:tc>
        <w:tc>
          <w:tcPr>
            <w:tcW w:w="8260" w:type="dxa"/>
            <w:vAlign w:val="bottom"/>
            <w:tcBorders>
              <w:bottom w:val="single" w:sz="8" w:color="CCEEFF"/>
            </w:tcBorders>
            <w:shd w:val="clear" w:color="auto" w:fill="CCEEFF"/>
          </w:tcPr>
          <w:p>
            <w:pPr>
              <w:spacing w:after="0"/>
              <w:rPr>
                <w:sz w:val="21"/>
                <w:szCs w:val="21"/>
                <w:color w:val="auto"/>
              </w:rPr>
            </w:pPr>
          </w:p>
        </w:tc>
      </w:tr>
      <w:tr>
        <w:trPr>
          <w:trHeight w:val="223"/>
        </w:trPr>
        <w:tc>
          <w:tcPr>
            <w:tcW w:w="286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REGN3767</w:t>
            </w:r>
            <w:r>
              <w:rPr>
                <w:rFonts w:ascii="Times New Roman" w:cs="Times New Roman" w:eastAsia="Times New Roman" w:hAnsi="Times New Roman"/>
                <w:sz w:val="25"/>
                <w:szCs w:val="25"/>
                <w:b w:val="1"/>
                <w:bCs w:val="1"/>
                <w:color w:val="auto"/>
                <w:vertAlign w:val="superscript"/>
              </w:rPr>
              <w:t>(f)</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Solid tumors and</w:t>
            </w:r>
          </w:p>
        </w:tc>
      </w:tr>
      <w:tr>
        <w:trPr>
          <w:trHeight w:val="21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LAG-3</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advanced hematologic</w:t>
            </w:r>
          </w:p>
        </w:tc>
      </w:tr>
      <w:tr>
        <w:trPr>
          <w:trHeight w:val="234"/>
        </w:trPr>
        <w:tc>
          <w:tcPr>
            <w:tcW w:w="2860" w:type="dxa"/>
            <w:vAlign w:val="bottom"/>
          </w:tcPr>
          <w:p>
            <w:pPr>
              <w:spacing w:after="0"/>
              <w:rPr>
                <w:sz w:val="20"/>
                <w:szCs w:val="20"/>
                <w:color w:val="auto"/>
              </w:rPr>
            </w:pP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malignancies</w:t>
            </w:r>
          </w:p>
        </w:tc>
      </w:tr>
      <w:tr>
        <w:trPr>
          <w:trHeight w:val="27"/>
        </w:trPr>
        <w:tc>
          <w:tcPr>
            <w:tcW w:w="2860" w:type="dxa"/>
            <w:vAlign w:val="bottom"/>
          </w:tcPr>
          <w:p>
            <w:pPr>
              <w:spacing w:after="0"/>
              <w:rPr>
                <w:sz w:val="2"/>
                <w:szCs w:val="2"/>
                <w:color w:val="auto"/>
              </w:rPr>
            </w:pPr>
          </w:p>
        </w:tc>
        <w:tc>
          <w:tcPr>
            <w:tcW w:w="826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REGN4461</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Lipodystrophy and obesity</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Agonist antibody to leptin receptor</w:t>
            </w:r>
          </w:p>
        </w:tc>
        <w:tc>
          <w:tcPr>
            <w:tcW w:w="8260" w:type="dxa"/>
            <w:vAlign w:val="bottom"/>
            <w:shd w:val="clear" w:color="auto" w:fill="CCEEFF"/>
          </w:tcPr>
          <w:p>
            <w:pPr>
              <w:spacing w:after="0"/>
              <w:rPr>
                <w:sz w:val="18"/>
                <w:szCs w:val="18"/>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(LEPR)</w:t>
            </w:r>
          </w:p>
        </w:tc>
        <w:tc>
          <w:tcPr>
            <w:tcW w:w="8260" w:type="dxa"/>
            <w:vAlign w:val="bottom"/>
            <w:tcBorders>
              <w:bottom w:val="single" w:sz="8" w:color="CCEEFF"/>
            </w:tcBorders>
            <w:shd w:val="clear" w:color="auto" w:fill="CCEEFF"/>
          </w:tcPr>
          <w:p>
            <w:pPr>
              <w:spacing w:after="0"/>
              <w:rPr>
                <w:sz w:val="21"/>
                <w:szCs w:val="21"/>
                <w:color w:val="auto"/>
              </w:rPr>
            </w:pPr>
          </w:p>
        </w:tc>
      </w:tr>
      <w:tr>
        <w:trPr>
          <w:trHeight w:val="223"/>
        </w:trPr>
        <w:tc>
          <w:tcPr>
            <w:tcW w:w="286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REGN4018</w:t>
            </w:r>
            <w:r>
              <w:rPr>
                <w:rFonts w:ascii="Times New Roman" w:cs="Times New Roman" w:eastAsia="Times New Roman" w:hAnsi="Times New Roman"/>
                <w:sz w:val="25"/>
                <w:szCs w:val="25"/>
                <w:b w:val="1"/>
                <w:bCs w:val="1"/>
                <w:color w:val="auto"/>
                <w:vertAlign w:val="superscript"/>
              </w:rPr>
              <w:t>(a)</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Platinum-resistant ovarian</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MUC16</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cancer</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826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826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REGN4659</w:t>
            </w:r>
            <w:r>
              <w:rPr>
                <w:rFonts w:ascii="Times New Roman" w:cs="Times New Roman" w:eastAsia="Times New Roman" w:hAnsi="Times New Roman"/>
                <w:sz w:val="25"/>
                <w:szCs w:val="25"/>
                <w:b w:val="1"/>
                <w:bCs w:val="1"/>
                <w:color w:val="auto"/>
                <w:vertAlign w:val="superscript"/>
              </w:rPr>
              <w:t>(f)</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Advanced NSCLC</w:t>
            </w: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CTLA4</w:t>
            </w:r>
          </w:p>
        </w:tc>
        <w:tc>
          <w:tcPr>
            <w:tcW w:w="8260" w:type="dxa"/>
            <w:vAlign w:val="bottom"/>
            <w:tcBorders>
              <w:bottom w:val="single" w:sz="8" w:color="CCEEFF"/>
            </w:tcBorders>
            <w:shd w:val="clear" w:color="auto" w:fill="CCEEFF"/>
          </w:tcPr>
          <w:p>
            <w:pPr>
              <w:spacing w:after="0"/>
              <w:rPr>
                <w:sz w:val="21"/>
                <w:szCs w:val="21"/>
                <w:color w:val="auto"/>
              </w:rPr>
            </w:pPr>
          </w:p>
        </w:tc>
      </w:tr>
      <w:tr>
        <w:trPr>
          <w:trHeight w:val="223"/>
        </w:trPr>
        <w:tc>
          <w:tcPr>
            <w:tcW w:w="2860" w:type="dxa"/>
            <w:vAlign w:val="bottom"/>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REGN5458</w:t>
            </w:r>
            <w:r>
              <w:rPr>
                <w:rFonts w:ascii="Times New Roman" w:cs="Times New Roman" w:eastAsia="Times New Roman" w:hAnsi="Times New Roman"/>
                <w:sz w:val="25"/>
                <w:szCs w:val="25"/>
                <w:b w:val="1"/>
                <w:bCs w:val="1"/>
                <w:color w:val="auto"/>
                <w:vertAlign w:val="superscript"/>
              </w:rPr>
              <w:t>(a)</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Multiple myeloma</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BCMA</w:t>
            </w:r>
          </w:p>
        </w:tc>
        <w:tc>
          <w:tcPr>
            <w:tcW w:w="8260" w:type="dxa"/>
            <w:vAlign w:val="bottom"/>
          </w:tcPr>
          <w:p>
            <w:pPr>
              <w:spacing w:after="0"/>
              <w:rPr>
                <w:sz w:val="18"/>
                <w:szCs w:val="18"/>
                <w:color w:val="auto"/>
              </w:rPr>
            </w:pP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826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826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b w:val="1"/>
                <w:bCs w:val="1"/>
                <w:color w:val="auto"/>
              </w:rPr>
              <w:t>REGN5459</w:t>
            </w:r>
            <w:r>
              <w:rPr>
                <w:rFonts w:ascii="Times New Roman" w:cs="Times New Roman" w:eastAsia="Times New Roman" w:hAnsi="Times New Roman"/>
                <w:sz w:val="25"/>
                <w:szCs w:val="25"/>
                <w:b w:val="1"/>
                <w:bCs w:val="1"/>
                <w:color w:val="auto"/>
                <w:vertAlign w:val="superscript"/>
              </w:rPr>
              <w:t>(a)</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Multiple myeloma</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BCMA</w:t>
            </w:r>
          </w:p>
        </w:tc>
        <w:tc>
          <w:tcPr>
            <w:tcW w:w="8260" w:type="dxa"/>
            <w:vAlign w:val="bottom"/>
            <w:shd w:val="clear" w:color="auto" w:fill="CCEEFF"/>
          </w:tcPr>
          <w:p>
            <w:pPr>
              <w:spacing w:after="0"/>
              <w:rPr>
                <w:sz w:val="18"/>
                <w:szCs w:val="18"/>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CD3</w:t>
            </w:r>
          </w:p>
        </w:tc>
        <w:tc>
          <w:tcPr>
            <w:tcW w:w="8260" w:type="dxa"/>
            <w:vAlign w:val="bottom"/>
            <w:tcBorders>
              <w:bottom w:val="single" w:sz="8" w:color="CCEEFF"/>
            </w:tcBorders>
            <w:shd w:val="clear" w:color="auto" w:fill="CCEEFF"/>
          </w:tcPr>
          <w:p>
            <w:pPr>
              <w:spacing w:after="0"/>
              <w:rPr>
                <w:sz w:val="21"/>
                <w:szCs w:val="2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REGN5713-5714-5715</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Birch allergy</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Betv1</w:t>
            </w:r>
          </w:p>
        </w:tc>
        <w:tc>
          <w:tcPr>
            <w:tcW w:w="826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8260" w:type="dxa"/>
            <w:vAlign w:val="bottom"/>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REGN5678</w:t>
            </w:r>
          </w:p>
        </w:tc>
        <w:tc>
          <w:tcPr>
            <w:tcW w:w="8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Prostate cancer</w:t>
            </w: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PSMA</w:t>
            </w:r>
          </w:p>
        </w:tc>
        <w:tc>
          <w:tcPr>
            <w:tcW w:w="8260" w:type="dxa"/>
            <w:vAlign w:val="bottom"/>
            <w:shd w:val="clear" w:color="auto" w:fill="CCEEFF"/>
          </w:tcPr>
          <w:p>
            <w:pPr>
              <w:spacing w:after="0"/>
              <w:rPr>
                <w:sz w:val="18"/>
                <w:szCs w:val="18"/>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CD28</w:t>
            </w:r>
          </w:p>
        </w:tc>
        <w:tc>
          <w:tcPr>
            <w:tcW w:w="8260" w:type="dxa"/>
            <w:vAlign w:val="bottom"/>
            <w:tcBorders>
              <w:bottom w:val="single" w:sz="8" w:color="CCEEFF"/>
            </w:tcBorders>
            <w:shd w:val="clear" w:color="auto" w:fill="CCEEFF"/>
          </w:tcPr>
          <w:p>
            <w:pPr>
              <w:spacing w:after="0"/>
              <w:rPr>
                <w:sz w:val="21"/>
                <w:szCs w:val="2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REGN5093</w:t>
            </w:r>
          </w:p>
        </w:tc>
        <w:tc>
          <w:tcPr>
            <w:tcW w:w="8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MET-altered advanced</w:t>
            </w: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 targeting two</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NSCLC</w:t>
            </w:r>
          </w:p>
        </w:tc>
      </w:tr>
      <w:tr>
        <w:trPr>
          <w:trHeight w:val="23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distinct MET epitopes</w:t>
            </w:r>
          </w:p>
        </w:tc>
        <w:tc>
          <w:tcPr>
            <w:tcW w:w="8260" w:type="dxa"/>
            <w:vAlign w:val="bottom"/>
          </w:tcPr>
          <w:p>
            <w:pPr>
              <w:spacing w:after="0"/>
              <w:rPr>
                <w:sz w:val="20"/>
                <w:szCs w:val="20"/>
                <w:color w:val="auto"/>
              </w:rPr>
            </w:pPr>
          </w:p>
        </w:tc>
      </w:tr>
      <w:tr>
        <w:trPr>
          <w:trHeight w:val="621"/>
        </w:trPr>
        <w:tc>
          <w:tcPr>
            <w:tcW w:w="2860" w:type="dxa"/>
            <w:vAlign w:val="bottom"/>
          </w:tcPr>
          <w:p>
            <w:pPr>
              <w:spacing w:after="0"/>
              <w:rPr>
                <w:sz w:val="24"/>
                <w:szCs w:val="24"/>
                <w:color w:val="auto"/>
              </w:rPr>
            </w:pPr>
          </w:p>
        </w:tc>
        <w:tc>
          <w:tcPr>
            <w:tcW w:w="826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280"/>
          </w:cols>
          <w:pgMar w:left="240" w:top="126" w:right="379" w:bottom="1440" w:gutter="0" w:footer="0" w:header="0"/>
          <w:type w:val="continuous"/>
        </w:sectPr>
      </w:pPr>
    </w:p>
    <w:bookmarkStart w:id="30" w:name="page31"/>
    <w:bookmarkEnd w:id="3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Note: For purposes of the table above, a program is classified in Phase 1, 2, or 3 clinical development after recruiting for the corresponding study or studies has commenced</w:t>
      </w:r>
    </w:p>
    <w:p>
      <w:pPr>
        <w:spacing w:after="0" w:line="42" w:lineRule="exact"/>
        <w:rPr>
          <w:sz w:val="20"/>
          <w:szCs w:val="20"/>
          <w:color w:val="auto"/>
        </w:rPr>
      </w:pPr>
    </w:p>
    <w:p>
      <w:pPr>
        <w:ind w:left="500" w:hanging="114"/>
        <w:spacing w:after="0"/>
        <w:tabs>
          <w:tab w:leader="none" w:pos="5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Sanofi</w:t>
      </w:r>
    </w:p>
    <w:p>
      <w:pPr>
        <w:spacing w:after="0" w:line="41" w:lineRule="exact"/>
        <w:rPr>
          <w:rFonts w:ascii="Times New Roman" w:cs="Times New Roman" w:eastAsia="Times New Roman" w:hAnsi="Times New Roman"/>
          <w:sz w:val="9"/>
          <w:szCs w:val="9"/>
          <w:color w:val="auto"/>
        </w:rPr>
      </w:pPr>
    </w:p>
    <w:p>
      <w:pPr>
        <w:ind w:left="520" w:hanging="134"/>
        <w:spacing w:after="0"/>
        <w:tabs>
          <w:tab w:leader="none" w:pos="5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collaboration with Teva and Mitsubishi Tanabe Pharma</w:t>
      </w:r>
    </w:p>
    <w:p>
      <w:pPr>
        <w:spacing w:after="0" w:line="41" w:lineRule="exact"/>
        <w:rPr>
          <w:rFonts w:ascii="Times New Roman" w:cs="Times New Roman" w:eastAsia="Times New Roman" w:hAnsi="Times New Roman"/>
          <w:sz w:val="9"/>
          <w:szCs w:val="9"/>
          <w:color w:val="auto"/>
        </w:rPr>
      </w:pPr>
    </w:p>
    <w:p>
      <w:pPr>
        <w:ind w:left="520" w:hanging="134"/>
        <w:spacing w:after="0"/>
        <w:tabs>
          <w:tab w:leader="none" w:pos="5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FDA granted orphan drug designation</w:t>
      </w:r>
    </w:p>
    <w:p>
      <w:pPr>
        <w:spacing w:after="0" w:line="41" w:lineRule="exact"/>
        <w:rPr>
          <w:rFonts w:ascii="Times New Roman" w:cs="Times New Roman" w:eastAsia="Times New Roman" w:hAnsi="Times New Roman"/>
          <w:sz w:val="9"/>
          <w:szCs w:val="9"/>
          <w:color w:val="auto"/>
        </w:rPr>
      </w:pPr>
    </w:p>
    <w:p>
      <w:pPr>
        <w:ind w:left="520" w:hanging="134"/>
        <w:spacing w:after="0"/>
        <w:tabs>
          <w:tab w:leader="none" w:pos="5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FDA granted Breakthrough Therapy designation</w:t>
      </w:r>
    </w:p>
    <w:p>
      <w:pPr>
        <w:spacing w:after="0" w:line="41" w:lineRule="exact"/>
        <w:rPr>
          <w:rFonts w:ascii="Times New Roman" w:cs="Times New Roman" w:eastAsia="Times New Roman" w:hAnsi="Times New Roman"/>
          <w:sz w:val="9"/>
          <w:szCs w:val="9"/>
          <w:color w:val="auto"/>
        </w:rPr>
      </w:pPr>
    </w:p>
    <w:p>
      <w:pPr>
        <w:ind w:left="520" w:hanging="134"/>
        <w:spacing w:after="0"/>
        <w:tabs>
          <w:tab w:leader="none" w:pos="5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FDA granted Fast Track designation</w:t>
      </w:r>
    </w:p>
    <w:p>
      <w:pPr>
        <w:spacing w:after="0" w:line="41" w:lineRule="exact"/>
        <w:rPr>
          <w:rFonts w:ascii="Times New Roman" w:cs="Times New Roman" w:eastAsia="Times New Roman" w:hAnsi="Times New Roman"/>
          <w:sz w:val="9"/>
          <w:szCs w:val="9"/>
          <w:color w:val="auto"/>
        </w:rPr>
      </w:pPr>
    </w:p>
    <w:p>
      <w:pPr>
        <w:ind w:left="380" w:right="260" w:firstLine="6"/>
        <w:spacing w:after="0" w:line="261" w:lineRule="auto"/>
        <w:tabs>
          <w:tab w:leader="none" w:pos="506"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or elected not to continue to co-develop the product candidate. Under the terms of our agreement, Sanofi is entitled to receive royalties on any future sales of the product candidate.</w:t>
      </w:r>
    </w:p>
    <w:p>
      <w:pPr>
        <w:ind w:left="380" w:right="240" w:firstLine="6"/>
        <w:spacing w:after="0" w:line="241" w:lineRule="auto"/>
        <w:tabs>
          <w:tab w:leader="none" w:pos="521"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whereby HHS provides certain funding to support research, development, and manufacturing of these antibodies.</w:t>
      </w:r>
    </w:p>
    <w:p>
      <w:pPr>
        <w:spacing w:after="0" w:line="14" w:lineRule="exact"/>
        <w:rPr>
          <w:rFonts w:ascii="Times New Roman" w:cs="Times New Roman" w:eastAsia="Times New Roman" w:hAnsi="Times New Roman"/>
          <w:sz w:val="9"/>
          <w:szCs w:val="9"/>
          <w:color w:val="auto"/>
        </w:rPr>
      </w:pPr>
    </w:p>
    <w:p>
      <w:pPr>
        <w:ind w:left="520" w:hanging="134"/>
        <w:spacing w:after="0"/>
        <w:tabs>
          <w:tab w:leader="none" w:pos="5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Studied as monotherapy and in combination with other antibodies and treatments</w:t>
      </w:r>
    </w:p>
    <w:p>
      <w:pPr>
        <w:spacing w:after="0" w:line="41" w:lineRule="exact"/>
        <w:rPr>
          <w:rFonts w:ascii="Times New Roman" w:cs="Times New Roman" w:eastAsia="Times New Roman" w:hAnsi="Times New Roman"/>
          <w:sz w:val="9"/>
          <w:szCs w:val="9"/>
          <w:color w:val="auto"/>
        </w:rPr>
      </w:pPr>
    </w:p>
    <w:p>
      <w:pPr>
        <w:ind w:left="500" w:hanging="114"/>
        <w:spacing w:after="0"/>
        <w:tabs>
          <w:tab w:leader="none" w:pos="5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Information in this column relates to U.S., EU, and Japan regulatory submissions only</w:t>
      </w:r>
    </w:p>
    <w:p>
      <w:pPr>
        <w:spacing w:after="0" w:line="41" w:lineRule="exact"/>
        <w:rPr>
          <w:rFonts w:ascii="Times New Roman" w:cs="Times New Roman" w:eastAsia="Times New Roman" w:hAnsi="Times New Roman"/>
          <w:sz w:val="9"/>
          <w:szCs w:val="9"/>
          <w:color w:val="auto"/>
        </w:rPr>
      </w:pPr>
    </w:p>
    <w:p>
      <w:pPr>
        <w:ind w:left="500" w:hanging="114"/>
        <w:spacing w:after="0"/>
        <w:tabs>
          <w:tab w:leader="none" w:pos="50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as part of the Extension Phase of a trial coordinated by World Health Organization</w:t>
      </w: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planning, execution, and results of our clinical programs are significant factors that can affect our operating and financial results. In our clinical programs, key events in 2019 to date were, and milestones for the next twelve months are, as follows:</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390"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28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20" w:type="dxa"/>
            <w:vAlign w:val="bottom"/>
          </w:tcPr>
          <w:p>
            <w:pPr>
              <w:spacing w:after="0"/>
              <w:rPr>
                <w:sz w:val="20"/>
                <w:szCs w:val="20"/>
                <w:color w:val="auto"/>
              </w:rPr>
            </w:pPr>
          </w:p>
        </w:tc>
        <w:tc>
          <w:tcPr>
            <w:tcW w:w="39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2019 Events to Date</w:t>
            </w:r>
          </w:p>
        </w:tc>
      </w:tr>
      <w:tr>
        <w:trPr>
          <w:trHeight w:val="27"/>
        </w:trPr>
        <w:tc>
          <w:tcPr>
            <w:tcW w:w="28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r>
      <w:tr>
        <w:trPr>
          <w:trHeight w:val="218"/>
        </w:trPr>
        <w:tc>
          <w:tcPr>
            <w:tcW w:w="28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EYLEA</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Approved by FDA for the treatment of diabetic</w:t>
            </w:r>
          </w:p>
        </w:tc>
      </w:tr>
      <w:tr>
        <w:trPr>
          <w:trHeight w:val="234"/>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retinopathy</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80" w:type="dxa"/>
            <w:vAlign w:val="bottom"/>
          </w:tcPr>
          <w:p>
            <w:pPr>
              <w:spacing w:after="0"/>
              <w:rPr>
                <w:sz w:val="2"/>
                <w:szCs w:val="2"/>
                <w:color w:val="auto"/>
              </w:rPr>
            </w:pPr>
          </w:p>
        </w:tc>
      </w:tr>
      <w:tr>
        <w:trPr>
          <w:trHeight w:val="243"/>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 pre-filled syringe</w:t>
            </w:r>
          </w:p>
        </w:tc>
      </w:tr>
      <w:tr>
        <w:trPr>
          <w:trHeight w:val="270"/>
        </w:trPr>
        <w:tc>
          <w:tcPr>
            <w:tcW w:w="288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3 study in ROP</w:t>
            </w:r>
          </w:p>
        </w:tc>
      </w:tr>
      <w:tr>
        <w:trPr>
          <w:trHeight w:val="252"/>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Initiated Phase 2 study using a high-dose formulation</w:t>
            </w: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aflibercept in wet AMD</w:t>
            </w:r>
          </w:p>
        </w:tc>
      </w:tr>
      <w:tr>
        <w:trPr>
          <w:trHeight w:val="221"/>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Dupixent (dupilumab; IL-4R</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Approved by FDA and European Commission (EC)</w:t>
            </w:r>
          </w:p>
        </w:tc>
      </w:tr>
      <w:tr>
        <w:trPr>
          <w:trHeight w:val="220"/>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expanded atopic dermatitis indication in</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adolescent patients (12–17 years of 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-1397000</wp:posOffset>
            </wp:positionV>
            <wp:extent cx="2675890"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7589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2019–2020 Milestones</w:t>
      </w:r>
    </w:p>
    <w:p>
      <w:pPr>
        <w:spacing w:after="0" w:line="3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22860</wp:posOffset>
            </wp:positionV>
            <wp:extent cx="2521585" cy="969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969010"/>
                    </a:xfrm>
                    <a:prstGeom prst="rect">
                      <a:avLst/>
                    </a:prstGeom>
                    <a:noFill/>
                  </pic:spPr>
                </pic:pic>
              </a:graphicData>
            </a:graphic>
          </wp:anchor>
        </w:drawing>
      </w:r>
    </w:p>
    <w:p>
      <w:pPr>
        <w:spacing w:after="0" w:line="38" w:lineRule="exact"/>
        <w:rPr>
          <w:sz w:val="20"/>
          <w:szCs w:val="20"/>
          <w:color w:val="auto"/>
        </w:rPr>
      </w:pPr>
    </w:p>
    <w:p>
      <w:pPr>
        <w:ind w:left="117" w:right="280" w:hanging="117"/>
        <w:spacing w:after="0" w:line="282" w:lineRule="auto"/>
        <w:tabs>
          <w:tab w:leader="none" w:pos="1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studies of a high-dose formulation of aflibercept in wet AMD and DME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117" w:right="340" w:hanging="117"/>
        <w:spacing w:after="0" w:line="261" w:lineRule="auto"/>
        <w:tabs>
          <w:tab w:leader="none" w:pos="1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supplemental Biologics License Application (sBLA) and Marketing Authorization Application (MAA) for expanded atopic dermatitis indication in pediatric patients (6–11 years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-1056640</wp:posOffset>
            </wp:positionV>
            <wp:extent cx="7747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48006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7160" w:space="23"/>
            <w:col w:w="4217"/>
          </w:cols>
          <w:pgMar w:left="240" w:top="126" w:right="259" w:bottom="1440" w:gutter="0" w:footer="0" w:header="0"/>
          <w:type w:val="continuous"/>
        </w:sectPr>
      </w:pPr>
    </w:p>
    <w:p>
      <w:pPr>
        <w:jc w:val="both"/>
        <w:ind w:left="3200" w:hanging="109"/>
        <w:spacing w:after="0" w:line="266" w:lineRule="auto"/>
        <w:tabs>
          <w:tab w:leader="none" w:pos="3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that Phase 3 study in pediatric patients (6– 11 years of age) with severe atopic dermatitis met its primary and secondary endpoints</w:t>
      </w:r>
    </w:p>
    <w:p>
      <w:pPr>
        <w:spacing w:after="0" w:line="20" w:lineRule="exact"/>
        <w:rPr>
          <w:sz w:val="20"/>
          <w:szCs w:val="20"/>
          <w:color w:val="auto"/>
        </w:rPr>
      </w:pPr>
      <w:r>
        <w:rPr>
          <w:sz w:val="20"/>
          <w:szCs w:val="20"/>
          <w:color w:val="auto"/>
        </w:rPr>
        <w:br w:type="column"/>
      </w:r>
    </w:p>
    <w:p>
      <w:pPr>
        <w:ind w:left="117" w:hanging="117"/>
        <w:spacing w:after="0"/>
        <w:tabs>
          <w:tab w:leader="none" w:pos="1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 decision on application for CRSwNP</w:t>
      </w:r>
    </w:p>
    <w:p>
      <w:pPr>
        <w:spacing w:after="0" w:line="63" w:lineRule="exact"/>
        <w:rPr>
          <w:rFonts w:ascii="Times New Roman" w:cs="Times New Roman" w:eastAsia="Times New Roman" w:hAnsi="Times New Roman"/>
          <w:sz w:val="18"/>
          <w:szCs w:val="18"/>
          <w:color w:val="auto"/>
        </w:rPr>
      </w:pPr>
    </w:p>
    <w:p>
      <w:pPr>
        <w:ind w:left="117" w:right="300" w:hanging="117"/>
        <w:spacing w:after="0" w:line="266" w:lineRule="auto"/>
        <w:tabs>
          <w:tab w:leader="none" w:pos="1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decision (target action date of March 20, 2020) and final EU decision on applications for 300 mg auto-injector</w:t>
      </w:r>
    </w:p>
    <w:p>
      <w:pPr>
        <w:spacing w:after="0" w:line="14" w:lineRule="exact"/>
        <w:rPr>
          <w:sz w:val="20"/>
          <w:szCs w:val="20"/>
          <w:color w:val="auto"/>
        </w:rPr>
      </w:pPr>
    </w:p>
    <w:p>
      <w:pPr>
        <w:sectPr>
          <w:pgSz w:w="11900" w:h="16838" w:orient="portrait"/>
          <w:cols w:equalWidth="0" w:num="2">
            <w:col w:w="7000" w:space="183"/>
            <w:col w:w="4217"/>
          </w:cols>
          <w:pgMar w:left="240" w:top="126" w:right="259" w:bottom="1440" w:gutter="0" w:footer="0" w:header="0"/>
          <w:type w:val="continuous"/>
        </w:sectPr>
      </w:pPr>
    </w:p>
    <w:p>
      <w:pPr>
        <w:ind w:left="3200" w:right="1120" w:hanging="109"/>
        <w:spacing w:after="0" w:line="281" w:lineRule="auto"/>
        <w:tabs>
          <w:tab w:leader="none" w:pos="3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EC for treatment of asthma in adults and - Resubmit sBLA for 200 mg auto-injector adolescents</w:t>
      </w:r>
    </w:p>
    <w:p>
      <w:pPr>
        <w:spacing w:after="0" w:line="2" w:lineRule="exact"/>
        <w:rPr>
          <w:sz w:val="20"/>
          <w:szCs w:val="20"/>
          <w:color w:val="auto"/>
        </w:rPr>
      </w:pPr>
    </w:p>
    <w:p>
      <w:pPr>
        <w:ind w:left="3100"/>
        <w:spacing w:after="0"/>
        <w:tabs>
          <w:tab w:leader="none" w:pos="7160" w:val="left"/>
        </w:tabs>
        <w:rPr>
          <w:sz w:val="20"/>
          <w:szCs w:val="20"/>
          <w:color w:val="auto"/>
        </w:rPr>
      </w:pPr>
      <w:r>
        <w:rPr>
          <w:rFonts w:ascii="Times New Roman" w:cs="Times New Roman" w:eastAsia="Times New Roman" w:hAnsi="Times New Roman"/>
          <w:sz w:val="18"/>
          <w:szCs w:val="18"/>
          <w:color w:val="auto"/>
        </w:rPr>
        <w:t>- Approved by FDA and EC for CRSwNP</w:t>
      </w:r>
      <w:r>
        <w:rPr>
          <w:sz w:val="20"/>
          <w:szCs w:val="20"/>
          <w:color w:val="auto"/>
        </w:rPr>
        <w:tab/>
      </w:r>
      <w:r>
        <w:rPr>
          <w:rFonts w:ascii="Times New Roman" w:cs="Times New Roman" w:eastAsia="Times New Roman" w:hAnsi="Times New Roman"/>
          <w:sz w:val="18"/>
          <w:szCs w:val="18"/>
          <w:color w:val="auto"/>
        </w:rPr>
        <w:t>- Present results from Phase 2a trial in grass allergy at</w:t>
      </w:r>
    </w:p>
    <w:p>
      <w:pPr>
        <w:spacing w:after="0" w:line="2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medical meeting</w:t>
      </w:r>
    </w:p>
    <w:p>
      <w:pPr>
        <w:spacing w:after="0" w:line="45" w:lineRule="exact"/>
        <w:rPr>
          <w:sz w:val="20"/>
          <w:szCs w:val="20"/>
          <w:color w:val="auto"/>
        </w:rPr>
      </w:pPr>
    </w:p>
    <w:p>
      <w:pPr>
        <w:ind w:left="3100"/>
        <w:spacing w:after="0"/>
        <w:tabs>
          <w:tab w:leader="none" w:pos="7160" w:val="left"/>
        </w:tabs>
        <w:rPr>
          <w:sz w:val="20"/>
          <w:szCs w:val="20"/>
          <w:color w:val="auto"/>
        </w:rPr>
      </w:pPr>
      <w:r>
        <w:rPr>
          <w:rFonts w:ascii="Times New Roman" w:cs="Times New Roman" w:eastAsia="Times New Roman" w:hAnsi="Times New Roman"/>
          <w:sz w:val="18"/>
          <w:szCs w:val="18"/>
          <w:color w:val="auto"/>
        </w:rPr>
        <w:t>- Submitted regulatory application in Japan for</w:t>
      </w:r>
      <w:r>
        <w:rPr>
          <w:sz w:val="20"/>
          <w:szCs w:val="20"/>
          <w:color w:val="auto"/>
        </w:rPr>
        <w:tab/>
      </w:r>
      <w:r>
        <w:rPr>
          <w:rFonts w:ascii="Times New Roman" w:cs="Times New Roman" w:eastAsia="Times New Roman" w:hAnsi="Times New Roman"/>
          <w:sz w:val="18"/>
          <w:szCs w:val="18"/>
          <w:color w:val="auto"/>
        </w:rPr>
        <w:t>- Initiate Phase 3 study in pediatric patients with EOE</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CRSwNP</w:t>
      </w:r>
    </w:p>
    <w:p>
      <w:pPr>
        <w:sectPr>
          <w:pgSz w:w="11900" w:h="16838" w:orient="portrait"/>
          <w:cols w:equalWidth="0" w:num="1">
            <w:col w:w="11400"/>
          </w:cols>
          <w:pgMar w:left="240" w:top="126" w:right="259" w:bottom="1440" w:gutter="0" w:footer="0" w:header="0"/>
          <w:type w:val="continuous"/>
        </w:sectPr>
      </w:pPr>
    </w:p>
    <w:p>
      <w:pPr>
        <w:spacing w:after="0" w:line="45" w:lineRule="exact"/>
        <w:rPr>
          <w:sz w:val="20"/>
          <w:szCs w:val="20"/>
          <w:color w:val="auto"/>
        </w:rPr>
      </w:pPr>
    </w:p>
    <w:p>
      <w:pPr>
        <w:ind w:left="3200" w:hanging="109"/>
        <w:spacing w:after="0" w:line="266" w:lineRule="auto"/>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EMA's Committee for Medicinal Products for Human Use (CHMP) recommended approval for 300 mg auto-injector</w:t>
      </w:r>
    </w:p>
    <w:p>
      <w:pPr>
        <w:spacing w:after="0" w:line="14" w:lineRule="exact"/>
        <w:rPr>
          <w:rFonts w:ascii="Times New Roman" w:cs="Times New Roman" w:eastAsia="Times New Roman" w:hAnsi="Times New Roman"/>
          <w:sz w:val="18"/>
          <w:szCs w:val="18"/>
          <w:color w:val="auto"/>
        </w:rPr>
      </w:pPr>
    </w:p>
    <w:p>
      <w:pPr>
        <w:ind w:left="3200" w:hanging="109"/>
        <w:spacing w:after="0"/>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sBLA for 300 mg auto-injector</w:t>
      </w:r>
    </w:p>
    <w:p>
      <w:pPr>
        <w:spacing w:after="0" w:line="63" w:lineRule="exact"/>
        <w:rPr>
          <w:rFonts w:ascii="Times New Roman" w:cs="Times New Roman" w:eastAsia="Times New Roman" w:hAnsi="Times New Roman"/>
          <w:sz w:val="18"/>
          <w:szCs w:val="18"/>
          <w:color w:val="auto"/>
        </w:rPr>
      </w:pPr>
    </w:p>
    <w:p>
      <w:pPr>
        <w:ind w:left="3200" w:hanging="109"/>
        <w:spacing w:after="0"/>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 approval for 200 mg auto-injector</w:t>
      </w:r>
    </w:p>
    <w:p>
      <w:pPr>
        <w:spacing w:after="0" w:line="63" w:lineRule="exact"/>
        <w:rPr>
          <w:rFonts w:ascii="Times New Roman" w:cs="Times New Roman" w:eastAsia="Times New Roman" w:hAnsi="Times New Roman"/>
          <w:sz w:val="18"/>
          <w:szCs w:val="18"/>
          <w:color w:val="auto"/>
        </w:rPr>
      </w:pPr>
    </w:p>
    <w:p>
      <w:pPr>
        <w:ind w:left="3200" w:right="560" w:hanging="109"/>
        <w:spacing w:after="0" w:line="281" w:lineRule="auto"/>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issued Complete Response Letter (CRL) regarding the sBLA for 200 mg auto-injector</w:t>
      </w:r>
    </w:p>
    <w:p>
      <w:pPr>
        <w:spacing w:after="0" w:line="1" w:lineRule="exact"/>
        <w:rPr>
          <w:rFonts w:ascii="Times New Roman" w:cs="Times New Roman" w:eastAsia="Times New Roman" w:hAnsi="Times New Roman"/>
          <w:sz w:val="18"/>
          <w:szCs w:val="18"/>
          <w:color w:val="auto"/>
        </w:rPr>
      </w:pPr>
    </w:p>
    <w:p>
      <w:pPr>
        <w:ind w:left="3200" w:hanging="109"/>
        <w:spacing w:after="0"/>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Phase 3 study in COPD</w:t>
      </w:r>
    </w:p>
    <w:p>
      <w:pPr>
        <w:spacing w:after="0" w:line="63" w:lineRule="exact"/>
        <w:rPr>
          <w:rFonts w:ascii="Times New Roman" w:cs="Times New Roman" w:eastAsia="Times New Roman" w:hAnsi="Times New Roman"/>
          <w:sz w:val="18"/>
          <w:szCs w:val="18"/>
          <w:color w:val="auto"/>
        </w:rPr>
      </w:pPr>
    </w:p>
    <w:p>
      <w:pPr>
        <w:ind w:left="3200" w:hanging="109"/>
        <w:spacing w:after="0"/>
        <w:tabs>
          <w:tab w:leader="none" w:pos="3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Phase 2a trial in grass allergy</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17" w:right="300" w:hanging="117"/>
        <w:spacing w:after="0" w:line="266" w:lineRule="auto"/>
        <w:tabs>
          <w:tab w:leader="none" w:pos="1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Phase 3 studies in bullous pemphigoid, prurigo nodularis, chronic spontaneous urticaria, and additional type 2 inflammatory diseases</w:t>
      </w:r>
    </w:p>
    <w:p>
      <w:pPr>
        <w:spacing w:after="0" w:line="1717" w:lineRule="exact"/>
        <w:rPr>
          <w:sz w:val="20"/>
          <w:szCs w:val="20"/>
          <w:color w:val="auto"/>
        </w:rPr>
      </w:pPr>
    </w:p>
    <w:p>
      <w:pPr>
        <w:sectPr>
          <w:pgSz w:w="11900" w:h="16838" w:orient="portrait"/>
          <w:cols w:equalWidth="0" w:num="2">
            <w:col w:w="7100" w:space="83"/>
            <w:col w:w="4217"/>
          </w:cols>
          <w:pgMar w:left="240" w:top="12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6" w:right="259" w:bottom="1440" w:gutter="0" w:footer="0" w:header="0"/>
          <w:type w:val="continuous"/>
        </w:sectPr>
      </w:pPr>
    </w:p>
    <w:bookmarkStart w:id="31" w:name="page32"/>
    <w:bookmarkEnd w:id="3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Select 2019–2020 Milestones</w:t>
            </w:r>
          </w:p>
        </w:tc>
      </w:tr>
      <w:tr>
        <w:trPr>
          <w:trHeight w:val="238"/>
        </w:trPr>
        <w:tc>
          <w:tcPr>
            <w:tcW w:w="28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9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2019 Events to Date</w:t>
            </w:r>
          </w:p>
        </w:tc>
        <w:tc>
          <w:tcPr>
            <w:tcW w:w="120" w:type="dxa"/>
            <w:vAlign w:val="bottom"/>
          </w:tcPr>
          <w:p>
            <w:pPr>
              <w:spacing w:after="0"/>
              <w:rPr>
                <w:sz w:val="20"/>
                <w:szCs w:val="20"/>
                <w:color w:val="auto"/>
              </w:rPr>
            </w:pPr>
          </w:p>
        </w:tc>
        <w:tc>
          <w:tcPr>
            <w:tcW w:w="396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(next 12 months)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14"/>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Praluent (alirocumab; PCSK9</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EC for a new indication to reduce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 3 study in HoFH</w:t>
            </w:r>
          </w:p>
        </w:tc>
      </w:tr>
      <w:tr>
        <w:trPr>
          <w:trHeight w:val="238"/>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shd w:val="clear" w:color="auto" w:fill="CCEEFF"/>
          </w:tcPr>
          <w:p>
            <w:pPr>
              <w:spacing w:after="0"/>
              <w:rPr>
                <w:sz w:val="20"/>
                <w:szCs w:val="20"/>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cardiovascular risk in adults with established ASCVD</w:t>
            </w:r>
          </w:p>
        </w:tc>
        <w:tc>
          <w:tcPr>
            <w:tcW w:w="12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r>
      <w:tr>
        <w:trPr>
          <w:trHeight w:val="252"/>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 a new indication to reduce the</w:t>
            </w:r>
          </w:p>
        </w:tc>
        <w:tc>
          <w:tcPr>
            <w:tcW w:w="12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of heart attack, stroke and unstable angina</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requiring hospitalization in adults with established</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r>
      <w:tr>
        <w:trPr>
          <w:trHeight w:val="234"/>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CV disease</w:t>
            </w:r>
          </w:p>
        </w:tc>
        <w:tc>
          <w:tcPr>
            <w:tcW w:w="12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r>
      <w:tr>
        <w:trPr>
          <w:trHeight w:val="252"/>
        </w:trPr>
        <w:tc>
          <w:tcPr>
            <w:tcW w:w="288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 the treatment of adults with</w:t>
            </w:r>
          </w:p>
        </w:tc>
        <w:tc>
          <w:tcPr>
            <w:tcW w:w="12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hyperlipidemia (including HeFH) to reduce</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low-density lipoprotein cholesterol (LDL-C)</w:t>
            </w:r>
          </w:p>
        </w:tc>
        <w:tc>
          <w:tcPr>
            <w:tcW w:w="1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r>
      <w:tr>
        <w:trPr>
          <w:trHeight w:val="225"/>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Libtayo (cemiplimab; PD-1 Antibody) </w:t>
            </w:r>
            <w:r>
              <w:rPr>
                <w:rFonts w:ascii="Times New Roman" w:cs="Times New Roman" w:eastAsia="Times New Roman" w:hAnsi="Times New Roman"/>
                <w:sz w:val="18"/>
                <w:szCs w:val="18"/>
                <w:color w:val="auto"/>
              </w:rPr>
              <w:t>- Conditionally approved by EC for treatment of</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Continue patient enrollment in NSCLC and various</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advanced CSCC</w:t>
            </w:r>
          </w:p>
        </w:tc>
        <w:tc>
          <w:tcPr>
            <w:tcW w:w="1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studies</w:t>
            </w:r>
          </w:p>
        </w:tc>
      </w:tr>
      <w:tr>
        <w:trPr>
          <w:trHeight w:val="270"/>
        </w:trPr>
        <w:tc>
          <w:tcPr>
            <w:tcW w:w="2880" w:type="dxa"/>
            <w:vAlign w:val="bottom"/>
          </w:tcPr>
          <w:p>
            <w:pPr>
              <w:spacing w:after="0"/>
              <w:rPr>
                <w:sz w:val="23"/>
                <w:szCs w:val="23"/>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Initiated Phase 3 adjuvant study in CSCC</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Report results from Phase 2 study in BCC</w:t>
            </w:r>
          </w:p>
        </w:tc>
      </w:tr>
      <w:tr>
        <w:trPr>
          <w:trHeight w:val="252"/>
        </w:trPr>
        <w:tc>
          <w:tcPr>
            <w:tcW w:w="2880" w:type="dxa"/>
            <w:vAlign w:val="bottom"/>
          </w:tcPr>
          <w:p>
            <w:pPr>
              <w:spacing w:after="0"/>
              <w:rPr>
                <w:sz w:val="21"/>
                <w:szCs w:val="21"/>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An independent data monitoring committee</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Initiate Phase 2 neoadjuvant study in CSCC</w:t>
            </w: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conducted an interim analysis for overall survival in a</w:t>
            </w: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3 NSCLC trial, and recommended the trial</w:t>
            </w: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continue as planned</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5"/>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Fasinumab (NGF Antibody)</w:t>
            </w: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Completed patient enrollment in Phase 3 efficacy</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Report results from Phase 3 studies</w:t>
            </w:r>
          </w:p>
        </w:tc>
      </w:tr>
      <w:tr>
        <w:trPr>
          <w:trHeight w:val="216"/>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studies and Phase 3 long-term safety study in</w:t>
            </w:r>
          </w:p>
        </w:tc>
        <w:tc>
          <w:tcPr>
            <w:tcW w:w="12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osteoarthritis pain</w:t>
            </w:r>
          </w:p>
        </w:tc>
        <w:tc>
          <w:tcPr>
            <w:tcW w:w="1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r>
      <w:tr>
        <w:trPr>
          <w:trHeight w:val="225"/>
        </w:trPr>
        <w:tc>
          <w:tcPr>
            <w:tcW w:w="11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Evinacumab (ANGPTL3 Antibody)   </w:t>
            </w:r>
            <w:r>
              <w:rPr>
                <w:rFonts w:ascii="Times New Roman" w:cs="Times New Roman" w:eastAsia="Times New Roman" w:hAnsi="Times New Roman"/>
                <w:sz w:val="18"/>
                <w:szCs w:val="18"/>
                <w:color w:val="auto"/>
              </w:rPr>
              <w:t>- Reported positive top-line results from Phase 3 trial in - Submit BLA and MAA for HoFH</w:t>
            </w: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HoFH</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28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1"/>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REGN1979 (CD20 and CD3</w:t>
            </w: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Reported updated data from Phase 1 study in patients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Initiate potentially pivotal Phase 2 program in</w:t>
            </w:r>
          </w:p>
        </w:tc>
      </w:tr>
      <w:tr>
        <w:trPr>
          <w:trHeight w:val="220"/>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shd w:val="clear" w:color="auto" w:fill="CCEEFF"/>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relapsed or refractory B-cell non-Hodgkin</w:t>
            </w: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aggressive non-Hodgkin lymphoma</w:t>
            </w:r>
          </w:p>
        </w:tc>
      </w:tr>
      <w:tr>
        <w:trPr>
          <w:trHeight w:val="234"/>
        </w:trPr>
        <w:tc>
          <w:tcPr>
            <w:tcW w:w="2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lymphoma</w:t>
            </w:r>
          </w:p>
        </w:tc>
        <w:tc>
          <w:tcPr>
            <w:tcW w:w="12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r>
      <w:tr>
        <w:trPr>
          <w:trHeight w:val="252"/>
        </w:trPr>
        <w:tc>
          <w:tcPr>
            <w:tcW w:w="288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Began recruiting patients in Phase 2 study in</w:t>
            </w:r>
          </w:p>
        </w:tc>
        <w:tc>
          <w:tcPr>
            <w:tcW w:w="12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 FL</w:t>
            </w:r>
          </w:p>
        </w:tc>
        <w:tc>
          <w:tcPr>
            <w:tcW w:w="1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spacing w:after="0"/>
              <w:rPr>
                <w:sz w:val="20"/>
                <w:szCs w:val="20"/>
                <w:color w:val="auto"/>
              </w:rPr>
            </w:pPr>
          </w:p>
        </w:tc>
      </w:tr>
      <w:tr>
        <w:trPr>
          <w:trHeight w:val="221"/>
        </w:trPr>
        <w:tc>
          <w:tcPr>
            <w:tcW w:w="6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REGN-EB3 (Multi-antibody therapy  </w:t>
            </w:r>
            <w:r>
              <w:rPr>
                <w:rFonts w:ascii="Times New Roman" w:cs="Times New Roman" w:eastAsia="Times New Roman" w:hAnsi="Times New Roman"/>
                <w:sz w:val="18"/>
                <w:szCs w:val="18"/>
                <w:color w:val="auto"/>
              </w:rPr>
              <w:t>- Included in randomized controlled trial coordinated</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Complete rolling BLA submission for Ebola</w:t>
            </w:r>
          </w:p>
        </w:tc>
      </w:tr>
      <w:tr>
        <w:trPr>
          <w:trHeight w:val="220"/>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to Ebola)</w:t>
            </w:r>
          </w:p>
        </w:tc>
        <w:tc>
          <w:tcPr>
            <w:tcW w:w="12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World Health Organization in the Democratic</w:t>
            </w:r>
          </w:p>
        </w:tc>
        <w:tc>
          <w:tcPr>
            <w:tcW w:w="12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Republic of Congo (DRC)</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2"/>
        </w:trPr>
        <w:tc>
          <w:tcPr>
            <w:tcW w:w="2880" w:type="dxa"/>
            <w:vAlign w:val="bottom"/>
          </w:tcPr>
          <w:p>
            <w:pPr>
              <w:spacing w:after="0"/>
              <w:rPr>
                <w:sz w:val="21"/>
                <w:szCs w:val="21"/>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Investigational trial in the DRC was stopped early</w:t>
            </w:r>
          </w:p>
        </w:tc>
        <w:tc>
          <w:tcPr>
            <w:tcW w:w="12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on data showing that REGN-EB3 was superior</w:t>
            </w:r>
          </w:p>
        </w:tc>
        <w:tc>
          <w:tcPr>
            <w:tcW w:w="1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ZMapp in preventing death</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52"/>
        </w:trPr>
        <w:tc>
          <w:tcPr>
            <w:tcW w:w="2880" w:type="dxa"/>
            <w:vAlign w:val="bottom"/>
          </w:tcPr>
          <w:p>
            <w:pPr>
              <w:spacing w:after="0"/>
              <w:rPr>
                <w:sz w:val="21"/>
                <w:szCs w:val="21"/>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FDA granted Breakthrough Therapy designation for</w:t>
            </w:r>
          </w:p>
        </w:tc>
        <w:tc>
          <w:tcPr>
            <w:tcW w:w="12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treatment of Ebola</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Commenced rolling BLA submission for Ebola</w:t>
            </w:r>
          </w:p>
        </w:tc>
        <w:tc>
          <w:tcPr>
            <w:tcW w:w="120" w:type="dxa"/>
            <w:vAlign w:val="bottom"/>
          </w:tcPr>
          <w:p>
            <w:pPr>
              <w:spacing w:after="0"/>
              <w:rPr>
                <w:sz w:val="23"/>
                <w:szCs w:val="23"/>
                <w:color w:val="auto"/>
              </w:rPr>
            </w:pPr>
          </w:p>
        </w:tc>
        <w:tc>
          <w:tcPr>
            <w:tcW w:w="3960" w:type="dxa"/>
            <w:vAlign w:val="bottom"/>
          </w:tcPr>
          <w:p>
            <w:pPr>
              <w:spacing w:after="0"/>
              <w:rPr>
                <w:sz w:val="23"/>
                <w:szCs w:val="23"/>
                <w:color w:val="auto"/>
              </w:rPr>
            </w:pP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Garetosmab (Activin A Antibody)</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Report results from Phase 2 study in FOP</w:t>
            </w:r>
          </w:p>
        </w:tc>
      </w:tr>
      <w:tr>
        <w:trPr>
          <w:trHeight w:val="225"/>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REGN3500 (IL-33 Antibody)</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Reported that the Phase 2 study in asthma met its</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Initiate Phase 2b study in asthma</w:t>
            </w:r>
          </w:p>
        </w:tc>
      </w:tr>
      <w:tr>
        <w:trPr>
          <w:trHeight w:val="288"/>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and key secondary endpoints</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Report results from Phase 2 study in COPD</w:t>
            </w: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Report results from Phase 2 study in atopic dermatitis</w:t>
            </w:r>
          </w:p>
        </w:tc>
      </w:tr>
      <w:tr>
        <w:trPr>
          <w:trHeight w:val="27"/>
        </w:trPr>
        <w:tc>
          <w:tcPr>
            <w:tcW w:w="28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5"/>
        </w:trPr>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REGN1908-1909 (Feld1 Antibody)</w:t>
            </w: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Initiated Phase 2 study in cat allergic asthmatics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Report results from Phase 2 study in cat allergic</w:t>
            </w:r>
          </w:p>
        </w:tc>
      </w:tr>
      <w:tr>
        <w:trPr>
          <w:trHeight w:val="241"/>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asthmatics</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Pozelimab (C5 Antibody)</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Initiated Phase 2 study in PNH</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Report interim results from Phase 2 study in PNH</w:t>
            </w:r>
          </w:p>
        </w:tc>
      </w:tr>
      <w:tr>
        <w:trPr>
          <w:trHeight w:val="27"/>
        </w:trPr>
        <w:tc>
          <w:tcPr>
            <w:tcW w:w="2880" w:type="dxa"/>
            <w:vAlign w:val="bottom"/>
          </w:tcPr>
          <w:p>
            <w:pPr>
              <w:spacing w:after="0"/>
              <w:rPr>
                <w:sz w:val="2"/>
                <w:szCs w:val="2"/>
                <w:color w:val="auto"/>
              </w:rPr>
            </w:pPr>
          </w:p>
        </w:tc>
        <w:tc>
          <w:tcPr>
            <w:tcW w:w="4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REGN5069 (GFRα3 Antibody)</w:t>
            </w:r>
          </w:p>
        </w:tc>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Initiated Phase 2 study in osteoarthritis pain</w:t>
            </w:r>
          </w:p>
        </w:tc>
        <w:tc>
          <w:tcPr>
            <w:tcW w:w="1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r>
      <w:tr>
        <w:trPr>
          <w:trHeight w:val="1161"/>
        </w:trPr>
        <w:tc>
          <w:tcPr>
            <w:tcW w:w="2880" w:type="dxa"/>
            <w:vAlign w:val="bottom"/>
          </w:tcPr>
          <w:p>
            <w:pPr>
              <w:spacing w:after="0"/>
              <w:rPr>
                <w:sz w:val="24"/>
                <w:szCs w:val="24"/>
                <w:color w:val="auto"/>
              </w:rPr>
            </w:pPr>
          </w:p>
        </w:tc>
        <w:tc>
          <w:tcPr>
            <w:tcW w:w="41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ectPr>
          <w:pgSz w:w="11900" w:h="16838" w:orient="portrait"/>
          <w:cols w:equalWidth="0" w:num="1">
            <w:col w:w="11240"/>
          </w:cols>
          <w:pgMar w:left="240" w:top="126" w:right="419" w:bottom="1440" w:gutter="0" w:footer="0" w:header="0"/>
        </w:sectPr>
      </w:pPr>
    </w:p>
    <w:bookmarkStart w:id="32" w:name="page33"/>
    <w:bookmarkEnd w:id="3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2019–2020 Milestones</w:t>
            </w:r>
          </w:p>
        </w:tc>
      </w:tr>
      <w:tr>
        <w:trPr>
          <w:trHeight w:val="238"/>
        </w:trPr>
        <w:tc>
          <w:tcPr>
            <w:tcW w:w="180" w:type="dxa"/>
            <w:vAlign w:val="bottom"/>
          </w:tcPr>
          <w:p>
            <w:pPr>
              <w:spacing w:after="0"/>
              <w:rPr>
                <w:sz w:val="20"/>
                <w:szCs w:val="20"/>
                <w:color w:val="auto"/>
              </w:rPr>
            </w:pPr>
          </w:p>
        </w:tc>
        <w:tc>
          <w:tcPr>
            <w:tcW w:w="28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Clinical Program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98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2019 Events to Date</w:t>
            </w:r>
          </w:p>
        </w:tc>
        <w:tc>
          <w:tcPr>
            <w:tcW w:w="120" w:type="dxa"/>
            <w:vAlign w:val="bottom"/>
          </w:tcPr>
          <w:p>
            <w:pPr>
              <w:spacing w:after="0"/>
              <w:rPr>
                <w:sz w:val="20"/>
                <w:szCs w:val="20"/>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(next 12 months)</w:t>
            </w:r>
          </w:p>
        </w:tc>
      </w:tr>
      <w:tr>
        <w:trPr>
          <w:trHeight w:val="27"/>
        </w:trPr>
        <w:tc>
          <w:tcPr>
            <w:tcW w:w="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r>
      <w:tr>
        <w:trPr>
          <w:trHeight w:val="214"/>
        </w:trPr>
        <w:tc>
          <w:tcPr>
            <w:tcW w:w="180" w:type="dxa"/>
            <w:vAlign w:val="bottom"/>
          </w:tcPr>
          <w:p>
            <w:pPr>
              <w:spacing w:after="0"/>
              <w:rPr>
                <w:sz w:val="18"/>
                <w:szCs w:val="18"/>
                <w:color w:val="auto"/>
              </w:rPr>
            </w:pPr>
          </w:p>
        </w:tc>
        <w:tc>
          <w:tcPr>
            <w:tcW w:w="28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REGN3048-3051 (Multiple-antibody</w:t>
            </w:r>
          </w:p>
        </w:tc>
        <w:tc>
          <w:tcPr>
            <w:tcW w:w="120" w:type="dxa"/>
            <w:vAlign w:val="bottom"/>
          </w:tcPr>
          <w:p>
            <w:pPr>
              <w:spacing w:after="0"/>
              <w:rPr>
                <w:sz w:val="18"/>
                <w:szCs w:val="18"/>
                <w:color w:val="auto"/>
              </w:rPr>
            </w:pPr>
          </w:p>
        </w:tc>
        <w:tc>
          <w:tcPr>
            <w:tcW w:w="3980" w:type="dxa"/>
            <w:vAlign w:val="bottom"/>
            <w:tcBorders>
              <w:top w:val="single" w:sz="8" w:color="auto"/>
            </w:tcBorders>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Complete Phase 1 study in healthy volunteers</w:t>
            </w:r>
          </w:p>
        </w:tc>
      </w:tr>
      <w:tr>
        <w:trPr>
          <w:trHeight w:val="238"/>
        </w:trPr>
        <w:tc>
          <w:tcPr>
            <w:tcW w:w="1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therapy to MERS)</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1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REGN4461 (LEPR Agonist Antibody)</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Initiate Phase 2 study in generalized lipodystrophy</w:t>
            </w:r>
          </w:p>
        </w:tc>
      </w:tr>
      <w:tr>
        <w:trPr>
          <w:trHeight w:val="221"/>
        </w:trPr>
        <w:tc>
          <w:tcPr>
            <w:tcW w:w="180" w:type="dxa"/>
            <w:vAlign w:val="bottom"/>
          </w:tcPr>
          <w:p>
            <w:pPr>
              <w:spacing w:after="0"/>
              <w:rPr>
                <w:sz w:val="19"/>
                <w:szCs w:val="19"/>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REGN5458 (BCMA and CD3</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Initiated Phase 1 study in multiple myeloma</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Report interim results from Phase 1 study in multiple</w:t>
            </w:r>
          </w:p>
        </w:tc>
      </w:tr>
      <w:tr>
        <w:trPr>
          <w:trHeight w:val="238"/>
        </w:trPr>
        <w:tc>
          <w:tcPr>
            <w:tcW w:w="1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myeloma</w:t>
            </w:r>
          </w:p>
        </w:tc>
      </w:tr>
      <w:tr>
        <w:trPr>
          <w:trHeight w:val="27"/>
        </w:trPr>
        <w:tc>
          <w:tcPr>
            <w:tcW w:w="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1"/>
        </w:trPr>
        <w:tc>
          <w:tcPr>
            <w:tcW w:w="180" w:type="dxa"/>
            <w:vAlign w:val="bottom"/>
          </w:tcPr>
          <w:p>
            <w:pPr>
              <w:spacing w:after="0"/>
              <w:rPr>
                <w:sz w:val="19"/>
                <w:szCs w:val="19"/>
                <w:color w:val="auto"/>
              </w:rPr>
            </w:pPr>
          </w:p>
        </w:tc>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REGN5459 (BCMA and CD3</w:t>
            </w: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Initiated Phase 1 study in multiple myeloma</w:t>
            </w: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r>
      <w:tr>
        <w:trPr>
          <w:trHeight w:val="245"/>
        </w:trPr>
        <w:tc>
          <w:tcPr>
            <w:tcW w:w="1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r>
      <w:tr>
        <w:trPr>
          <w:trHeight w:val="221"/>
        </w:trPr>
        <w:tc>
          <w:tcPr>
            <w:tcW w:w="180" w:type="dxa"/>
            <w:vAlign w:val="bottom"/>
          </w:tcPr>
          <w:p>
            <w:pPr>
              <w:spacing w:after="0"/>
              <w:rPr>
                <w:sz w:val="19"/>
                <w:szCs w:val="19"/>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REGN5713-5714-5715 (Betv1</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Initiated Phase 1 study in birch allergy</w:t>
            </w:r>
          </w:p>
        </w:tc>
        <w:tc>
          <w:tcPr>
            <w:tcW w:w="12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38"/>
        </w:trPr>
        <w:tc>
          <w:tcPr>
            <w:tcW w:w="1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
        </w:trPr>
        <w:tc>
          <w:tcPr>
            <w:tcW w:w="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21"/>
        </w:trPr>
        <w:tc>
          <w:tcPr>
            <w:tcW w:w="180" w:type="dxa"/>
            <w:vAlign w:val="bottom"/>
          </w:tcPr>
          <w:p>
            <w:pPr>
              <w:spacing w:after="0"/>
              <w:rPr>
                <w:sz w:val="19"/>
                <w:szCs w:val="19"/>
                <w:color w:val="auto"/>
              </w:rPr>
            </w:pPr>
          </w:p>
        </w:tc>
        <w:tc>
          <w:tcPr>
            <w:tcW w:w="2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REGN5678 (PSMA and CD28</w:t>
            </w:r>
          </w:p>
        </w:tc>
        <w:tc>
          <w:tcPr>
            <w:tcW w:w="4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Initiated Phase 1 study in prostate cancer</w:t>
            </w: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r>
      <w:tr>
        <w:trPr>
          <w:trHeight w:val="245"/>
        </w:trPr>
        <w:tc>
          <w:tcPr>
            <w:tcW w:w="18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Antibody)</w:t>
            </w:r>
          </w:p>
        </w:tc>
        <w:tc>
          <w:tcPr>
            <w:tcW w:w="1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spacing w:after="0"/>
              <w:rPr>
                <w:sz w:val="21"/>
                <w:szCs w:val="21"/>
                <w:color w:val="auto"/>
              </w:rPr>
            </w:pPr>
          </w:p>
        </w:tc>
      </w:tr>
      <w:tr>
        <w:trPr>
          <w:trHeight w:val="225"/>
        </w:trPr>
        <w:tc>
          <w:tcPr>
            <w:tcW w:w="180" w:type="dxa"/>
            <w:vAlign w:val="bottom"/>
          </w:tcPr>
          <w:p>
            <w:pPr>
              <w:spacing w:after="0"/>
              <w:rPr>
                <w:sz w:val="19"/>
                <w:szCs w:val="19"/>
                <w:color w:val="auto"/>
              </w:rPr>
            </w:pPr>
          </w:p>
        </w:tc>
        <w:tc>
          <w:tcPr>
            <w:tcW w:w="2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REGN5093 (MET Antibody)</w:t>
            </w:r>
          </w:p>
        </w:tc>
        <w:tc>
          <w:tcPr>
            <w:tcW w:w="4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Initiated Phase 1 study in MET-altered advanced</w:t>
            </w:r>
          </w:p>
        </w:tc>
        <w:tc>
          <w:tcPr>
            <w:tcW w:w="12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234"/>
        </w:trPr>
        <w:tc>
          <w:tcPr>
            <w:tcW w:w="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NSCLC</w:t>
            </w:r>
          </w:p>
        </w:tc>
        <w:tc>
          <w:tcPr>
            <w:tcW w:w="1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513"/>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tc>
        <w:tc>
          <w:tcPr>
            <w:tcW w:w="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continued success in commercializing EYLEA and Dupixent. We expect to continue to incur substantial expenses related to our research and development activities, a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EYLEA, Dupixent, Praluent, Kevzara, and Libtayo.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 with Sanofi</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Antibody</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various antibodies and antibody product candidates (Dupixent, Praluent, Kevzara, and REGN3500) (the Antibody Collaboration). Under the terms of the Antibody License and Collaboration Agreement (LCA), following receipt of the first positive Phase 3 trial results for a co-developed drug candidate, subsequent Phase 3 trial-related costs for that drug candidate are shared 80% by Sanofi and 20% by us. All other agreed-upon development costs incurred by both companies are funded 100% by Sanofi. We are obligated to reimburse Sanofi for 50% of worldwide development expenses that were fully funded by Sanofi and 30% of shared Phase 3 trial-related costs based on our share of collaboration profits from commercialization of collaboration products. However, we are only required to apply 10% of our share of the profits from the Antibody Collaboration in any calendar quarter to reimburse Sanofi for these development costs.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7, 2018, we and Sanofi entered into a letter agreement (Letter Agreement) amending the LCA in connection with, among other matters, the allocation of additional funds to certain proposed activities relating to dupilumab and REGN3500 (collectively, the Dupilumab/REGN3500 Eligible Investments). Pursuant to the Letter Agreement, we have agreed to allow Sanofi to satisfy in whole or in part its funding obligations with respect to the Dupilumab/REGN3500 Eligible Investments for the quarterly periods commencing on January 1, 2018 and ending on September 30, 2020 by selling up to an aggregate of 600,000 shares (of which 495,948 currently remains available) of our Common Stock directly or indirectly owned by Sanofi. Refer to the "</w:t>
      </w:r>
      <w:r>
        <w:rPr>
          <w:rFonts w:ascii="Times New Roman" w:cs="Times New Roman" w:eastAsia="Times New Roman" w:hAnsi="Times New Roman"/>
          <w:sz w:val="18"/>
          <w:szCs w:val="18"/>
          <w:i w:val="1"/>
          <w:iCs w:val="1"/>
          <w:color w:val="auto"/>
        </w:rPr>
        <w:t>Immuno-Oncology</w:t>
      </w:r>
      <w:r>
        <w:rPr>
          <w:rFonts w:ascii="Times New Roman" w:cs="Times New Roman" w:eastAsia="Times New Roman" w:hAnsi="Times New Roman"/>
          <w:sz w:val="18"/>
          <w:szCs w:val="18"/>
          <w:color w:val="auto"/>
        </w:rPr>
        <w:t>" section below for further details regarding the Letter Agreement.</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Regeneron has the right to co-commercialize such products on a country-by-country basis. We have exercised our option to co-commercialize Dupixent, Praluent, and Kevzara in the United States. We are not currently co-commercializing these antibodies outside the United States. We supply certain commercial bulk product to Sanofi. We and Sanofi equally share profits and losses from sales within the United States. We and Sanofi share profits outside the United States on a sliding scale based on sales starting at 65% (Sanofi)/35% (us) and ending at</w:t>
      </w:r>
    </w:p>
    <w:p>
      <w:pPr>
        <w:sectPr>
          <w:pgSz w:w="11900" w:h="16838" w:orient="portrait"/>
          <w:cols w:equalWidth="0" w:num="1">
            <w:col w:w="11420"/>
          </w:cols>
          <w:pgMar w:left="240" w:top="126"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6" w:right="239" w:bottom="1440" w:gutter="0" w:footer="0" w:header="0"/>
          <w:type w:val="continuous"/>
        </w:sectPr>
      </w:pPr>
    </w:p>
    <w:bookmarkStart w:id="33" w:name="page34"/>
    <w:bookmarkEnd w:id="3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55% (Sanofi)/45% (us), and share losses outside the United States at 55% (Sanofi)/45% (us). In addition to profit and loss sharing, we are entitled to receive up to $250.0 million in sales milestone payments, with milestone payments commencing after aggregate annual sales of antibodies (subject to this agreement) outside the United States exceed $1.0 billion on a rolling twelve-month basis.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Immuno-Oncology</w:t>
      </w:r>
    </w:p>
    <w:p>
      <w:pPr>
        <w:spacing w:after="0" w:line="2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we and Sanofi entered into a collaboration to discover, develop, and commercialize antibody-based cancer treatments in the field of immuno-oncology (the IO Collaboration). The IO Collaboration is governed by an Amended and Restated Immuno-oncology Discovery and Development Agreement (Amended IO Discovery Agreement), and an Immuno-oncology License and Collaboration Agreement (IO License and Collaboration Agreement). In connection with the execution of the original Immuno-oncology Discovery and Development Agreement in 2015 (2015 IO Discovery Agreement), which has been replaced by the Amended IO Discovery Agreement (as discussed below), Sanofi made a $265.0 million non-refundable up-front payment to us. Pursuant to the 2015 IO Discovery Agreement, we were to spend up to $1,090.0 million (IO Discovery Budget) to identify and validate potential immuno-oncology targets and develop therapeutic antibodies against such targets through clinical proof-of-concept, and Sanofi was to reimburse us for up to $825.0 million (IO Discovery Funding) of these costs, subject to certain annual limits. The original term of the 2015 IO Discovery Agreement was to continue through the later of five years from the effective date of the IO Collaboration or the date the IO Discovery Budget was exhausted, subject to Sanofi's option to extend it for up to an additional three years for the continued development (and funding) of selected ongoing programs.</w:t>
      </w:r>
    </w:p>
    <w:p>
      <w:pPr>
        <w:spacing w:after="0" w:line="2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December 31, 2018, the Company and Sanofi entered into the Amended IO Discovery Agreement, which narrowed the scope of the existing discovery and development activities conducted by the Company (IO Development Activities) under the 2015 IO Discovery Agreement to developing therapeutic bispecific antibodies targeting (i) BCMA and CD3 (the BCMAxCD3 Program) and (ii) MUC16 and CD3 (the MUC16xCD3 Program) through clinical proof-of-concept. The Amended IO Discovery Agreement provided for Sanofi's payment of $461.9 million to the Company as consideration for (x) the termination of the 2015 IO Discovery Agreement, (y) the prepayment for certain IO Development Activities regarding the BCMAxCD3 Program and the MUC16xCD3 Program, and (z) the reimbursement of costs incurred by the Company under the 2015 IO Discovery Agreement during the fourth quarter of 2018.</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Amended IO Discovery Agreement, the Company is required to conduct development activities with respect to (i) the BCMAxCD3 Program through the earlier of clinical proof-of-concept or the expenditure of $70.0 million (the BCMAxCD3 Program Costs Cap) and (ii) the MUC16xCD3 Program through the earlier of clinical proof-of-concept or the expenditure of $50.0 million (the MUC16xCD3 Program Costs Cap); provided that under certain circumstances, Sanofi will have the option to increase the MUC16xCD3 Program Costs Cap to $70.0 million by making a payment to the Company in the amount of $20.0 million.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Amended IO Discovery Agreement, we are primarily responsible for conducting the IO Development Activities (other than certain clinical trials that may be funded separately by Sanofi), including antibody development, preclinical activities, toxicology studies, manufacture of clinical supplies, filing of Investigational New Drug Applications (INDs), and clinical development through proof-of-concept. We are responsible for reimbursing Sanofi for half of the development costs they funded attributable to clinical development of antibody product candidates under the IO Discovery Agreement from our share of profits from commercialized IO Collaboration products. As the scope of the IO Development Activities has been limited, the exclusivity obligations of the parties under the Amended IO Discovery Agreement have been narrowed.</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regard to the BCMAxCD3 Program and the MUC16xCD3 Program, when (i) clinical proof-of-concept is established, (ii) the applicable Program Costs Cap is reached, or (iii) in certain other limited circumstances, Sanofi will have the option to license rights to the product candidate and other antibodies targeting the same targets for, with regard to BCMAxCD3, immuno-oncology indications, and with regard to MUC16xCD3, all indications, pursuant to the IO License and Collaboration Agreement, as amended. If Sanofi does not exercise its option to license rights to a product candidate, we will retain the exclusive right to develop and commercialize such product candidate and Sanofi will receive a royalty on sales. Pursuant to the Amended IO Discovery Agreement, the parties agreed that (i) if Sanofi exercises its option with respect to a BCMAxCD3 Program antibody, Sanofi will lead the development and global commercialization of such BCMAxCD3 Program antibody; and (ii) if Sanofi exercises its option with respect to a MUC16xCD3 Program antibody, (x) we will lead the development of such MUC16xCD3 Program antibody and commercialization of such MUC16xCD3 Program antibody within the United States and (y) Sanofi will lead the commercialization of such MUC16xCD3 Program antibody outside of the United States.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Amended IO Discovery Agreement provides that Regeneron retains exclusive rights to all other immuno-oncology programs that were part of the 2015 IO Discovery Agreement, provided that Sanofi will receive a royalty on global sales of two product candidates currently in clinical development, REGN3767 and REGN4659. The Amended IO Discovery Agreement will terminate as of the earlier of (a) Sanofi having elected to exercise or not exercise its options with respect to the BCMAxCD3 Program and the MUC16xCD3 Program in accordance with the terms of the Amended IO Discovery Agreement and (b) December 31, 2022.</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6" w:right="239" w:bottom="1440" w:gutter="0" w:footer="0" w:header="0"/>
        </w:sectPr>
      </w:pPr>
    </w:p>
    <w:bookmarkStart w:id="34" w:name="page35"/>
    <w:bookmarkEnd w:id="3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IO License and Collaboration Agreement, Sanofi made a $375.0 million non-refundable up-front payment to us in 2015. If Sanofi exercises its option to license rights to a BCMAxCD3 Program antibody or MUC16xCD3 Program antibody thereunder, it will co-develop these drug candidates with us through product approval under the terms of the IO License and Collaboration Agreement. Sanofi will fund development costs up front for a BCMAxCD3 Program antibody and we will reimburse half of the total development costs for such antibody from our share of future IO Collaboration profits to the extent they are sufficient for this purpose. In addition, we and Sanofi will share equally, on an ongoing basis, the development costs for a MUC16xCD3 Program antibody. Each party will have the right to co-commercialize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immuno-oncology drug candidate are being manufactured.</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IO License and Collaboration Agreement, the parties are also co-developing and co-commercializing Libtayo (cemiplimab), an antibody targeting PD-1. We have principal control over the development of Libtayo, and the parties share equally, on an ongoing basis, agreed-upon development and commercialization expenses for Libtayo. Under the Letter Agreement, we have agreed to allow Sanofi to satisfy in whole or in part its funding obligation with respect to Libtayo development costs for the quarterly periods commencing on October 1, 2017 and ending on September 30, 2020 by selling up to an aggregate of 800,000 shares (of which 373,880 currently remains available) of our Common Stock directly or indirectly owned by Sanofi.</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Sanofi desires to sell shares of our Common Stock during the term of the Letter Agreement to satisfy a portion or all of its funding obligations for the Libtayo development and/or, as noted above,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regard to Libtayo, we lead commercialization activities in the United States, while Sanofi leads commercialization activities outside of the United States and the parties equally share profits from worldwide sales. Sanofi has exercised its option to co-commercialize Libtayo in the United States. We will be entitled to a milestone payment of $375.0 million in the event that global sales of certain licensed products targeting PD-1 (including Libtayo), together with sales of any other products licensed under the IO License and Collaboration Agreement and sold for use in combination with any of such licensed products targeting PD-1, equal or exceed $2.0 billion in any consecutive twelve-month period.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Bayer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outside the United States</w:t>
      </w:r>
    </w:p>
    <w:p>
      <w:pPr>
        <w:spacing w:after="0" w:line="2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2006, we and Bayer have been parties to a license and collaboration agreement for the global 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currently entitled to receive a tiered percentage of between 33.5% and 40.0% of EYLEA net sales.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to EYLEA and are entitled to all profits from such sales.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Teva</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Fasinumab</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2016, we entered into a collaboration agreement with Teva to develop and commercialize fasinumab globally, excluding certain Asian countries that are subject to our collaboration agreement with Mitsubishi Tanabe Pharma Corporation (MTPC). In connection with the agreement, Teva made a $250.0 million non-refundable up-front payment in 2016. We lead global development activities, and the parties will share equally, on an ongoing basis, development costs under a global development plan. As of September 30, 2019, we had earned an aggregate of $120.0 million of development milestones from Teva and we are entitled to receive up to an aggregate of $340.0 million in additional development milestones and up to an aggregate of $1,890.0 million in contingent payments upon achievement of specified annual net sales amounts. We are responsible for the manufacture and supply of fasinumab globally.</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Within the United States, we will lead commercialization activities, and the parties will share equally in any profits or losses in connection with commercialization of fasinumab. In the territory outside of the United States, Teva will lead commercialization</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and we will supply product to Teva at a tiered purchase price, which is calculated as a percentage of net sales of the product (subject to adjustment in certain circumstances).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with Alnylam</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2019, we and Alnylam Pharmaceuticals, Inc. entered into a global, strategic collaboration to discover, develop, and commercialize RNA interference (RNAi) therapeutics for a broad range of diseases by addressing therapeutic disease targets expressed in the eye and central nervous system (CNS), in addition to a select number of targets expressed in the liver. The collaboration is governed by a Master Collaboration Agreement (the Master Agreement) (including the form of a License Agreement and a Co-Commercialization Collaboration Agreement). Under the terms of the Master Agreement, we made an up-front payment of $400.0 million to Alnylam. For each program, we will provide Alnylam with a specified amount of funding at program initiation and at lead candidate designation, and Alnylam is eligible to receive up to $200.0 million in clinical proof-of-principle milestones for eye or CNS programs.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collaboration, the parties plan to perform discovery research until designation of lead candidates. Following designation of a lead candidate, the parties may further advance such lead candidate under either a License Agreement or a Co-Commercialization Collaboration Agreement structure. The initial target nomination and discovery period is five years (which may under certain situations automatically be extended for up to seven years in the aggregate) (the Research Term). In addition, we have an option to extend the Research Term for an additional five-year period for a research extension fee ranging from $200.0 million to $400.0 million; the actual amount of the fee will be determined based on the acceptance of one or more INDs (or their equivalent in certain other countries) for programs in the eye and CNS.</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stage of designation of a lead candidate for CNS programs and liver programs, the parties have alternating rights to be a lead party for collaboration products. At the stage of designation of a lead candidate for eye programs, we have the sole right to take the product forward as a licensee. The lead party is required to take the program forward under the License Agreement structure unless the other party exercises its rights to opt-in to a Co-Commercialization Collaboration Agreement, in which case the lead party is required to take the program forward under the Co-Commercialization Collaboration Agreement structure. Alnylam does not have rights to opt-in to a Co-Commercialization Collaboration Agreement for eye programs.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 License Agreement, the lead party is designated as the licensee and has the right to develop and commercialize the collaboration product under such program. The licensee will be responsible for its own costs and expenses incurred in connection with the development and commercialization of the collaboration products under the License Agreement. The licensee will pay to the licensor certain development and/or commercialization milestone payments totaling up to $150.0 million for each collaboration product. In addition, following the first commercial sale of the applicable collaboration product under a License Agreement, the licensee is required to make certain tiered royalty payments, ranging from low double-digits up to 20%, to the licensor based on the aggregate annual net sales of the collaboration product, subject to customary reductions.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CNS programs and liver programs, as soon as a party is designated as a lead party, the other company has rights to opt-in to a Co-Commercialization Collaboration Agreement as a participating party. Under a Co-Commercialization Collaboration Agreement, the party designated as the lead party has operational responsibility and final decision-making authority on development and commercialization of the program and the parties will split profits and share costs equally, subject to certain co-funding opt-outs at specified clinical trial phases or under other conditions. If a party exercises its co-funding opt-out right, the lead party will be required to make certain tiered royalty payments, ranging from low double-digits up to 20%, to the other party based on the aggregate annual net sales of the collaboration product and the timing of the exercise of the co-funding opt-out right, subject to customary reductions. If the non-lead party does not initially opt-in to a Co-Commercialization Collaboration Agreement, the lead party has the right to take the program forward under a License Agreement structure.</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collaboration, when we are the licensee under a License Agreement or the lead party under a Co-Commercialization Collaboration Agreement, Alnylam will be responsible for the manufacture and supply of the product to us for Phase 1 and Phase 2 clinical trials.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collaboration, we and Alnylam also entered into a Stock Purchase Agreement. Pursuant to the terms of the Stock Purchase Agreement, we purchased 4,444,445 shares of Alnylam common stock for aggregate cash consideration of $400.0 million.</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2019, the parties entered into a Co-Commercialization Collaboration Agreement for a silencing RNA (siRNA) therapeutic targeting the C5 component of the human complement pathway being developed by Alnylam, with Alnylam as the lead party, and a License Agreement for a combination product consisting of such siRNA therapeutic and a fully human monoclonal antibody targeting C5 being developed by us, with us as the licensee. The C5 siRNA Co-Commercialization Collaboration Agreement is consistent with the financial terms contained in the form of the existing Co-Commercialization Collaboration Agreement with</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Alnylam. The C5 siRNA License Agreement contains a flat low double-digit royalty payable to Alnylam on our potential future net sales of the combination product only subject to customary reductions, as well as up to $325.0 million in commercial milestones.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available free of charge on or through our Internet website (</w:t>
      </w:r>
      <w:r>
        <w:rPr>
          <w:rFonts w:ascii="Times New Roman" w:cs="Times New Roman" w:eastAsia="Times New Roman" w:hAnsi="Times New Roman"/>
          <w:sz w:val="18"/>
          <w:szCs w:val="18"/>
          <w:i w:val="1"/>
          <w:iCs w:val="1"/>
          <w:color w:val="auto"/>
        </w:rPr>
        <w:t>http://www.regeneron.com</w:t>
      </w:r>
      <w:r>
        <w:rPr>
          <w:rFonts w:ascii="Times New Roman" w:cs="Times New Roman" w:eastAsia="Times New Roman" w:hAnsi="Times New Roman"/>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and other interested parties should note that we use our media and investor relations website (</w:t>
      </w:r>
      <w:r>
        <w:rPr>
          <w:rFonts w:ascii="Times New Roman" w:cs="Times New Roman" w:eastAsia="Times New Roman" w:hAnsi="Times New Roman"/>
          <w:sz w:val="18"/>
          <w:szCs w:val="18"/>
          <w:i w:val="1"/>
          <w:iCs w:val="1"/>
          <w:color w:val="auto"/>
        </w:rPr>
        <w:t>http://newsroom.regeneron.com</w:t>
      </w:r>
      <w:r>
        <w:rPr>
          <w:rFonts w:ascii="Times New Roman" w:cs="Times New Roman" w:eastAsia="Times New Roman" w:hAnsi="Times New Roman"/>
          <w:sz w:val="18"/>
          <w:szCs w:val="18"/>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websites and social media channels is not included as a part of, or incorporated by reference into, this report.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and Nine Months Ended September 30, 2019 and 2018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00" w:lineRule="exact"/>
        <w:rPr>
          <w:sz w:val="20"/>
          <w:szCs w:val="20"/>
          <w:color w:val="auto"/>
        </w:rPr>
      </w:pPr>
    </w:p>
    <w:p>
      <w:pPr>
        <w:spacing w:after="0" w:line="24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0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4,783.0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(2,966.7)</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7"/>
        </w:trPr>
        <w:tc>
          <w:tcPr>
            <w:tcW w:w="3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40" w:type="dxa"/>
            <w:vAlign w:val="bottom"/>
          </w:tcPr>
          <w:p>
            <w:pPr>
              <w:spacing w:after="0"/>
              <w:rPr>
                <w:sz w:val="20"/>
                <w:szCs w:val="20"/>
                <w:color w:val="auto"/>
              </w:rPr>
            </w:pPr>
          </w:p>
        </w:tc>
        <w:tc>
          <w:tcPr>
            <w:tcW w:w="22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 in the 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EYLEA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1,187.7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Libtayo</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ARCALYST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Sanofi and Bayer collaboration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Sanofi</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Bayer</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5,693.9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6" w:right="239" w:bottom="1440" w:gutter="0" w:footer="0" w:header="0"/>
          <w:type w:val="continuous"/>
        </w:sectPr>
      </w:pPr>
    </w:p>
    <w:bookmarkStart w:id="37" w:name="page38"/>
    <w:bookmarkEnd w:id="3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product sales of EYLEA in the United States increased for the three and nine months ended September 30, 2019, compared to the same periods in 2018, due to higher sales volume, partly offset by an increase in sales-related deductions primarily due to higher rebates and discounts. There were no sales of Libtayo for the three and nine months ended September 30, 2018 as the FDA approved Libtayo for the treatment of patients with metastatic or locally advanced CSCC on September 28, 2018.</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from product sales is recorded net of applicable provisions for rebates, chargebacks, and discounts; distribution-related fees; and other sales-related deductions. The following table summarizes the provisions, and credits/payments, for sales-related deductions.</w:t>
      </w:r>
    </w:p>
    <w:p>
      <w:pPr>
        <w:spacing w:after="0" w:line="37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Chargebacks, and</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Distribution-</w:t>
            </w: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Discounts</w:t>
            </w:r>
          </w:p>
        </w:tc>
        <w:tc>
          <w:tcPr>
            <w:tcW w:w="14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Related Fees</w:t>
            </w: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2019</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2019</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165.5</w:t>
            </w:r>
          </w:p>
        </w:tc>
      </w:tr>
      <w:tr>
        <w:trPr>
          <w:trHeight w:val="237"/>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191.9</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r>
      <w:tr>
        <w:trPr>
          <w:trHeight w:val="297"/>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2019</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136.7</w:t>
            </w:r>
          </w:p>
        </w:tc>
      </w:tr>
      <w:tr>
        <w:trPr>
          <w:trHeight w:val="311"/>
        </w:trPr>
        <w:tc>
          <w:tcPr>
            <w:tcW w:w="3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w:t>
            </w:r>
          </w:p>
        </w:tc>
      </w:tr>
      <w:tr>
        <w:trPr>
          <w:trHeight w:val="237"/>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108.3</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2018</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w:t>
            </w:r>
          </w:p>
        </w:tc>
      </w:tr>
      <w:tr>
        <w:trPr>
          <w:trHeight w:val="243"/>
        </w:trPr>
        <w:tc>
          <w:tcPr>
            <w:tcW w:w="3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Credits/payments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2018</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38" w:name="page39"/>
    <w:bookmarkEnd w:id="3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6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3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6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Antibody: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development expenses - License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Collaboration Agreement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Reimbursement of Regeneron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300" w:type="dxa"/>
            <w:vAlign w:val="bottom"/>
          </w:tcPr>
          <w:p>
            <w:pPr>
              <w:spacing w:after="0"/>
              <w:rPr>
                <w:sz w:val="22"/>
                <w:szCs w:val="22"/>
                <w:color w:val="auto"/>
              </w:rPr>
            </w:pPr>
          </w:p>
        </w:tc>
        <w:tc>
          <w:tcPr>
            <w:tcW w:w="3880" w:type="dxa"/>
            <w:vAlign w:val="bottom"/>
            <w:shd w:val="clear" w:color="auto" w:fill="CCEEFF"/>
          </w:tcPr>
          <w:p>
            <w:pPr>
              <w:ind w:left="440"/>
              <w:spacing w:after="0" w:line="262" w:lineRule="exact"/>
              <w:rPr>
                <w:sz w:val="20"/>
                <w:szCs w:val="20"/>
                <w:color w:val="auto"/>
              </w:rPr>
            </w:pPr>
            <w:r>
              <w:rPr>
                <w:rFonts w:ascii="Times New Roman" w:cs="Times New Roman" w:eastAsia="Times New Roman" w:hAnsi="Times New Roman"/>
                <w:sz w:val="18"/>
                <w:szCs w:val="18"/>
                <w:color w:val="auto"/>
              </w:rPr>
              <w:t>commercialization-related expenses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292.8</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Reimbursement for Regeneron's manufacturing</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300" w:type="dxa"/>
            <w:vAlign w:val="bottom"/>
          </w:tcPr>
          <w:p>
            <w:pPr>
              <w:spacing w:after="0"/>
              <w:rPr>
                <w:sz w:val="22"/>
                <w:szCs w:val="22"/>
                <w:color w:val="auto"/>
              </w:rPr>
            </w:pPr>
          </w:p>
        </w:tc>
        <w:tc>
          <w:tcPr>
            <w:tcW w:w="3880" w:type="dxa"/>
            <w:vAlign w:val="bottom"/>
          </w:tcPr>
          <w:p>
            <w:pPr>
              <w:ind w:left="440"/>
              <w:spacing w:after="0" w:line="262" w:lineRule="exact"/>
              <w:rPr>
                <w:sz w:val="20"/>
                <w:szCs w:val="20"/>
                <w:color w:val="auto"/>
              </w:rPr>
            </w:pPr>
            <w:r>
              <w:rPr>
                <w:rFonts w:ascii="Times New Roman" w:cs="Times New Roman" w:eastAsia="Times New Roman" w:hAnsi="Times New Roman"/>
                <w:sz w:val="18"/>
                <w:szCs w:val="18"/>
                <w:color w:val="auto"/>
              </w:rPr>
              <w:t>of commercial supplies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Regeneron's share of profits (losses) in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connection with commercialization of</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antibodies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Antibody</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Immuno-oncology: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development expenses - Discovery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3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Agreement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development expenses - License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Collaboration Agreement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Reimbursement of Regeneron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300" w:type="dxa"/>
            <w:vAlign w:val="bottom"/>
          </w:tcPr>
          <w:p>
            <w:pPr>
              <w:spacing w:after="0"/>
              <w:rPr>
                <w:sz w:val="22"/>
                <w:szCs w:val="22"/>
                <w:color w:val="auto"/>
              </w:rPr>
            </w:pPr>
          </w:p>
        </w:tc>
        <w:tc>
          <w:tcPr>
            <w:tcW w:w="3880" w:type="dxa"/>
            <w:vAlign w:val="bottom"/>
            <w:shd w:val="clear" w:color="auto" w:fill="CCEEFF"/>
          </w:tcPr>
          <w:p>
            <w:pPr>
              <w:ind w:left="440"/>
              <w:spacing w:after="0" w:line="262" w:lineRule="exact"/>
              <w:rPr>
                <w:sz w:val="20"/>
                <w:szCs w:val="20"/>
                <w:color w:val="auto"/>
              </w:rPr>
            </w:pPr>
            <w:r>
              <w:rPr>
                <w:rFonts w:ascii="Times New Roman" w:cs="Times New Roman" w:eastAsia="Times New Roman" w:hAnsi="Times New Roman"/>
                <w:sz w:val="18"/>
                <w:szCs w:val="18"/>
                <w:color w:val="auto"/>
              </w:rPr>
              <w:t>commercialization-related expenses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Amounts recognized in connection with up-</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3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front payments received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7"/>
        </w:trPr>
        <w:tc>
          <w:tcPr>
            <w:tcW w:w="130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Immuno-oncology</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290.2</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0" w:hanging="144"/>
        <w:spacing w:after="0"/>
        <w:tabs>
          <w:tab w:leader="none" w:pos="180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corresponding commercialization-related costs incurred by us are recorded within Selling, general and administrative expense.</w:t>
      </w:r>
    </w:p>
    <w:p>
      <w:pPr>
        <w:spacing w:after="0" w:line="41" w:lineRule="exact"/>
        <w:rPr>
          <w:rFonts w:ascii="Times New Roman" w:cs="Times New Roman" w:eastAsia="Times New Roman" w:hAnsi="Times New Roman"/>
          <w:sz w:val="9"/>
          <w:szCs w:val="9"/>
          <w:color w:val="auto"/>
        </w:rPr>
      </w:pPr>
    </w:p>
    <w:p>
      <w:pPr>
        <w:ind w:left="1660" w:right="2220" w:hanging="4"/>
        <w:spacing w:after="0" w:line="262" w:lineRule="auto"/>
        <w:tabs>
          <w:tab w:leader="none" w:pos="1798"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corresponding costs incurred by us in connection with such production is recorded within Cost of collaboration and contract manufacturing.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Antibody</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2019 and 2018, we and Sanofi shared commercial expenses related to Dupixent, Praluent, and Kevzara in accordance with the companies' Antibody License and Collaboration Agreement. As such, during the same periods in which we recorded reimbursements from Sanofi related to our commercialization expenses, we also recorded our share of combined profits/losses in connection with the companies commercializing Dupixent, Praluent, and Kevzara within Sanofi collaboration revenue. During the three and nine months ended September 30, 2019, Sanofi collaboration revenues in connection with commercialization of antibodies increased primarily due to our share of higher Dupixent profits. Sanofi provides us with an estimate of our share of the profits or losses from commercialization of antibodies for the most recent fiscal quarter; these estimates are reconciled to actual results in the subsequent fiscal quarter, and our portion of the profits or losses is adjusted accordingly, as necessary.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6" w:right="239" w:bottom="1440" w:gutter="0" w:footer="0" w:header="0"/>
        </w:sectPr>
      </w:pPr>
    </w:p>
    <w:bookmarkStart w:id="39" w:name="page40"/>
    <w:bookmarkEnd w:id="3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(losses) in connection with the commercialization of Dupixent, Praluent, and Kevzara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8"/>
                <w:szCs w:val="18"/>
                <w:color w:val="auto"/>
              </w:rPr>
            </w:pPr>
          </w:p>
        </w:tc>
        <w:tc>
          <w:tcPr>
            <w:tcW w:w="22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0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Dupixent, Praluent, and Kevzara net product sales</w:t>
            </w:r>
            <w:r>
              <w:rPr>
                <w:rFonts w:ascii="Times New Roman" w:cs="Times New Roman" w:eastAsia="Times New Roman" w:hAnsi="Times New Roman"/>
                <w:sz w:val="25"/>
                <w:szCs w:val="25"/>
                <w:color w:val="auto"/>
                <w:vertAlign w:val="superscript"/>
              </w:rPr>
              <w: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1,918.4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 (losses)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Reimbursement of development expenses incurred by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Sanofi in accordance with Regeneron's payment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45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share of profits (losses)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4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profits as a percentage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Dupixent, Praluent, and Kevzara net product sales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80" w:right="5260" w:hanging="9"/>
        <w:spacing w:after="0" w:line="342" w:lineRule="auto"/>
        <w:tabs>
          <w:tab w:leader="none" w:pos="1361"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Global net product sales of Dupixent, Praluent, and Kevzara are recorded by Sanofi </w:t>
      </w: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14"/>
          <w:szCs w:val="14"/>
          <w:color w:val="auto"/>
        </w:rPr>
        <w:t>Percentage not meaningful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Immuno-Oncology</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Sanofi's reimbursement of immuno-oncology research and development costs under our IO Discovery Agreement decreased in the third quarter and first nine months of 2019, compared to the same periods in 2018, due to the impact of the Amended IO Discovery Agreement (see "Collaboration Agreements - Collaborations with Sanofi" above).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12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2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220" w:type="dxa"/>
            <w:vAlign w:val="bottom"/>
          </w:tcPr>
          <w:p>
            <w:pPr>
              <w:spacing w:after="0"/>
              <w:rPr>
                <w:sz w:val="17"/>
                <w:szCs w:val="17"/>
                <w:color w:val="auto"/>
              </w:rPr>
            </w:pPr>
          </w:p>
        </w:tc>
        <w:tc>
          <w:tcPr>
            <w:tcW w:w="43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2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 of Regeneron development expenses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57"/>
        </w:trPr>
        <w:tc>
          <w:tcPr>
            <w:tcW w:w="122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775.2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net profit in connection with commercialization of EYLEA outside the United States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2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EYLEA net product sales outside the 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2,114.9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1,944.5</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Regeneron's share of collaboration profit from sales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the United States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289.2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835.5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761.1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Reimbursement of development expenses incurred by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 in accordance with Regeneron's payment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05"/>
        </w:trPr>
        <w:tc>
          <w:tcPr>
            <w:tcW w:w="44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Regeneron's net profit in connection with</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721.5</w:t>
            </w:r>
          </w:p>
        </w:tc>
        <w:tc>
          <w:tcPr>
            <w:tcW w:w="0" w:type="dxa"/>
            <w:vAlign w:val="bottom"/>
          </w:tcPr>
          <w:p>
            <w:pPr>
              <w:spacing w:after="0"/>
              <w:rPr>
                <w:sz w:val="1"/>
                <w:szCs w:val="1"/>
                <w:color w:val="auto"/>
              </w:rPr>
            </w:pPr>
          </w:p>
        </w:tc>
      </w:tr>
      <w:tr>
        <w:trPr>
          <w:trHeight w:val="246"/>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Regeneron's net profit as a percentage of EYLEA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6" w:right="239" w:bottom="1440" w:gutter="0" w:footer="0" w:header="0"/>
          <w:type w:val="continuous"/>
        </w:sectPr>
      </w:pPr>
    </w:p>
    <w:bookmarkStart w:id="40" w:name="page41"/>
    <w:bookmarkEnd w:id="4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Bayer records net product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304"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0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Teva collaboration revenue: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Reimbursement of Regeneron research and</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development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Teva collaboration revenue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5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Teva collaboration revenue (which is earned in connection with the development of fasinumab), "Other revenue" in the table above includes, but is not limited to:</w:t>
      </w:r>
    </w:p>
    <w:p>
      <w:pPr>
        <w:spacing w:after="0" w:line="81" w:lineRule="exact"/>
        <w:rPr>
          <w:sz w:val="20"/>
          <w:szCs w:val="20"/>
          <w:color w:val="auto"/>
        </w:rPr>
      </w:pPr>
    </w:p>
    <w:p>
      <w:pPr>
        <w:ind w:left="660" w:right="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a portion of deferred revenue from up-front and other payments received from MTPC in connection with our fasinumab collaboration.</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Sanofi's reimbursement for manufacturing commercial supplies of ZALTRAP and a percentage of aggregate net sales of ZALTRAP under the terms of the Amended ZALTRAP Agreement.</w:t>
      </w:r>
    </w:p>
    <w:p>
      <w:pPr>
        <w:jc w:val="both"/>
        <w:ind w:left="660" w:hanging="328"/>
        <w:spacing w:after="0" w:line="22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in connection with a June 2009 agreement with Novartis, under which we receive royalties on worldwide sales of Novartis' Ilaris</w:t>
      </w:r>
      <w:r>
        <w:rPr>
          <w:rFonts w:ascii="Times New Roman" w:cs="Times New Roman" w:eastAsia="Times New Roman" w:hAnsi="Times New Roman"/>
          <w:sz w:val="25"/>
          <w:szCs w:val="25"/>
          <w:i w:val="1"/>
          <w:iCs w:val="1"/>
          <w:color w:val="auto"/>
          <w:vertAlign w:val="superscript"/>
        </w:rPr>
        <w:t>®</w:t>
      </w:r>
      <w:r>
        <w:rPr>
          <w:rFonts w:ascii="Times New Roman" w:cs="Times New Roman" w:eastAsia="Times New Roman" w:hAnsi="Times New Roman"/>
          <w:sz w:val="18"/>
          <w:szCs w:val="18"/>
          <w:color w:val="auto"/>
        </w:rPr>
        <w:t xml:space="preserve"> (canakinumab). The royalty rates in the agreement start at 4% and reach 15% when annual sales exceed $1.5 billion, and we are entitled to royalties until Novartis ceases sale of products subject to royalty.</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in connection with our agreements with BARDA related to REGN-EB3 for the treatment of Ebola.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in connection with sequencing of samples by the Regeneron Genetics Center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(RGC) for its customers.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6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headcount data)</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goods sold</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1,193.1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headcount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ind w:left="200" w:right="60" w:hanging="3"/>
        <w:spacing w:after="0" w:line="263" w:lineRule="auto"/>
        <w:tabs>
          <w:tab w:leader="none" w:pos="341"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 of goods sold includes costs in connection with producing commercial supplies for products that are sold by Regeneron in the United States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EYLEA, Libtayo, and ARCALYST) and any royalties we are obligated to pay on such sales, period costs for our Limerick manufacturing facility, and amounts we are obligated to pay to Sanofi for its share of Libtayo U.S. gross profits.</w:t>
      </w:r>
    </w:p>
    <w:p>
      <w:pPr>
        <w:ind w:left="340" w:hanging="143"/>
        <w:spacing w:after="0"/>
        <w:tabs>
          <w:tab w:leader="none" w:pos="3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 of collaboration and contract manufacturing primarily includes costs we incur in connection with producing commercial drug supplies for Sanofi and Bayer.</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included a total of $117.1 million and $111.4 million in the third quarter of 2019 and 2018, respectively, and $330.8 million and $300.6 million in the first nine months of 2019 and 2018, respectively, of non-cash compensation expense related to employee stock options and restricted stock. Non-cash compensation expense in the first nine months of 2018 was lower than the corresponding period in 2019 primarily due to the impact of a 2018 change in our estimate of the number of stock options that were expected to be forfeited.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(including pre-launch commercial supplies which were not capitalized as inventory) at our manufacturing facilities, as well as external drug filling, packaging, and labeling costs.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6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64"/>
        </w:trPr>
        <w:tc>
          <w:tcPr>
            <w:tcW w:w="40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70"/>
              <w:spacing w:after="0" w:line="264" w:lineRule="exact"/>
              <w:rPr>
                <w:sz w:val="20"/>
                <w:szCs w:val="20"/>
                <w:color w:val="auto"/>
              </w:rPr>
            </w:pPr>
            <w:r>
              <w:rPr>
                <w:rFonts w:ascii="Times New Roman" w:cs="Times New Roman" w:eastAsia="Times New Roman" w:hAnsi="Times New Roman"/>
                <w:sz w:val="18"/>
                <w:szCs w:val="18"/>
                <w:b w:val="1"/>
                <w:bCs w:val="1"/>
                <w:color w:val="auto"/>
              </w:rPr>
              <w:t>2018</w:t>
            </w:r>
            <w:r>
              <w:rPr>
                <w:rFonts w:ascii="Times New Roman" w:cs="Times New Roman" w:eastAsia="Times New Roman" w:hAnsi="Times New Roman"/>
                <w:sz w:val="25"/>
                <w:szCs w:val="25"/>
                <w:b w:val="1"/>
                <w:bCs w:val="1"/>
                <w:color w:val="auto"/>
                <w:vertAlign w:val="superscript"/>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70"/>
              <w:spacing w:after="0" w:line="264" w:lineRule="exact"/>
              <w:rPr>
                <w:sz w:val="20"/>
                <w:szCs w:val="20"/>
                <w:color w:val="auto"/>
              </w:rPr>
            </w:pPr>
            <w:r>
              <w:rPr>
                <w:rFonts w:ascii="Times New Roman" w:cs="Times New Roman" w:eastAsia="Times New Roman" w:hAnsi="Times New Roman"/>
                <w:sz w:val="18"/>
                <w:szCs w:val="18"/>
                <w:b w:val="1"/>
                <w:bCs w:val="1"/>
                <w:color w:val="auto"/>
              </w:rPr>
              <w:t>2018</w:t>
            </w:r>
            <w:r>
              <w:rPr>
                <w:rFonts w:ascii="Times New Roman" w:cs="Times New Roman" w:eastAsia="Times New Roman" w:hAnsi="Times New Roman"/>
                <w:sz w:val="25"/>
                <w:szCs w:val="25"/>
                <w:b w:val="1"/>
                <w:bCs w:val="1"/>
                <w:color w:val="auto"/>
                <w:vertAlign w:val="superscript"/>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Fasinumab</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Libtayo (cemiplimab)</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Dupixent (dupilumab)</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Praluent (alirocumab)</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3"/>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Evinacumab</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Up-front payments related to license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collaboration agreements</w:t>
            </w: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5"/>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product candidates in clinical development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and other research programs</w:t>
            </w:r>
          </w:p>
        </w:tc>
        <w:tc>
          <w:tcPr>
            <w:tcW w:w="2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560.6</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Payroll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5"/>
        </w:trPr>
        <w:tc>
          <w:tcPr>
            <w:tcW w:w="4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Lab supplies and other research and development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 Certain prior year amounts have been reclassified to conform to the current year's presentation.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in the first nine months of 2019 included a $400.0 million up-front payment to Alnylam (see "Collaboration Agreements</w:t>
      </w:r>
    </w:p>
    <w:p>
      <w:pPr>
        <w:spacing w:after="0" w:line="27" w:lineRule="exact"/>
        <w:rPr>
          <w:sz w:val="20"/>
          <w:szCs w:val="20"/>
          <w:color w:val="auto"/>
        </w:rPr>
      </w:pPr>
    </w:p>
    <w:p>
      <w:pPr>
        <w:ind w:right="20" w:firstLine="8"/>
        <w:spacing w:after="0" w:line="261" w:lineRule="auto"/>
        <w:tabs>
          <w:tab w:leader="none" w:pos="1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with Alnylam" above). Research and development expenses included non-cash compensation expense of $60.0 million and $60.4 million in the third quarter of 2019 and 2018, respectively, and $178.0 million and $160.8 million in the first nine months of 2019 and 2018, respectively.</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pharmaceutical product,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6" w:right="239" w:bottom="1440" w:gutter="0" w:footer="0" w:header="0"/>
        </w:sectPr>
      </w:pPr>
    </w:p>
    <w:bookmarkStart w:id="42" w:name="page43"/>
    <w:bookmarkEnd w:id="4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in the third quarter and first nine months of 2019, compared to the same periods in 2018, primarily due to higher headcount and headcount-related costs, an increase in commercialization-related expenses for Dupixent and EYLEA, and higher contributions to independent not-for-profit patient assistance organizations. Selling, general, and administrative expenses also included non-cash compensation expense of $40.8 million and $42.9 million in the third quarter of 2019 and 2018, respectively, and $122.3 million and $118.4 million in the first nine months of 2019 and 2018,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cost of goods sold for the three and nine months ended September 30, 2019, compared to the same periods in 2018, was primarily due to our obligation to pay Sanofi its share of Libtayo U.S. gross profits, higher period costs at our Limerick manufacturing facility, and higher inventory reserves and write-offs.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Collaboration and Contract Manufacturing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cost of collaboration and contract manufacturing for the three and nine months ended September 30, 2019, compared to the same periods in 2018, was primarily due to the recognition of manufacturing costs associated with higher sales of Dupixent and higher inventory reserves and write-offs. In addition, the increase in cost of collaboration and contract manufacturing for the nine months ended September 30, 2019, compared to the same period in 2018, was partly driven by expenses in connection with process validation at our Limerick manufacturing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for the three and nine months ended September 30, 2019, compared to the same periods in 2018, was positively impacted by increased interest income earned on available-for-sale debt securities primarily due to higher average investment balances. Other income (expense), net, was also impacted for the three and nine months ended September 30, 2019 and 2018 by the recognition of unrealized gains and losses on equity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0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1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effective tax rate)</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1"/>
                <w:szCs w:val="21"/>
                <w:color w:val="auto"/>
              </w:rPr>
            </w:pP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2019 was positively impacted, compared to the U.S. federal statutory rate, primarily by federal tax credits for research activities, the foreign-derived intangible income deduction, and income earned in foreign jurisdictions with tax rates lower than the U.S. federal statutory rate, partly offset by the taxation of certain global intangible low-taxed income and the non-deductible Branded Prescription Drug Fee. Our effective tax rate for the three and nine months ended September 30, 2018 was positively impacted, compared to the U.S. federal statutory rate, primarily by the tax benefit associated with tax planning in connection with the "Tax Cuts and Jobs Act," the federal tax credit for research activities, and, to a lesser extent, stock-based compensation and income earned in foreign jurisdictions with tax rates lower than the U.S. federal statutory rate.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6" w:right="239" w:bottom="1440" w:gutter="0" w:footer="0" w:header="0"/>
        </w:sectPr>
      </w:pPr>
    </w:p>
    <w:bookmarkStart w:id="43" w:name="page44"/>
    <w:bookmarkEnd w:id="4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15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70"/>
        </w:trPr>
        <w:tc>
          <w:tcPr>
            <w:tcW w:w="1500" w:type="dxa"/>
            <w:vAlign w:val="bottom"/>
          </w:tcPr>
          <w:p>
            <w:pPr>
              <w:spacing w:after="0"/>
              <w:rPr>
                <w:sz w:val="23"/>
                <w:szCs w:val="23"/>
                <w:color w:val="auto"/>
              </w:rPr>
            </w:pP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4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w:t>
            </w: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1,357.6</w:t>
            </w:r>
          </w:p>
        </w:tc>
      </w:tr>
      <w:tr>
        <w:trPr>
          <w:trHeight w:val="27"/>
        </w:trPr>
        <w:tc>
          <w:tcPr>
            <w:tcW w:w="150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1500" w:type="dxa"/>
            <w:vAlign w:val="bottom"/>
          </w:tcPr>
          <w:p>
            <w:pPr>
              <w:spacing w:after="0"/>
              <w:rPr>
                <w:sz w:val="22"/>
                <w:szCs w:val="22"/>
                <w:color w:val="auto"/>
              </w:rPr>
            </w:pPr>
          </w:p>
        </w:tc>
        <w:tc>
          <w:tcPr>
            <w:tcW w:w="38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1,425.6</w:t>
            </w:r>
          </w:p>
        </w:tc>
      </w:tr>
      <w:tr>
        <w:trPr>
          <w:trHeight w:val="20"/>
        </w:trPr>
        <w:tc>
          <w:tcPr>
            <w:tcW w:w="150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5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15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661.5</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1500" w:type="dxa"/>
            <w:vAlign w:val="bottom"/>
          </w:tcPr>
          <w:p>
            <w:pPr>
              <w:spacing w:after="0"/>
              <w:rPr>
                <w:sz w:val="23"/>
                <w:szCs w:val="23"/>
                <w:color w:val="auto"/>
              </w:rPr>
            </w:pPr>
          </w:p>
        </w:tc>
        <w:tc>
          <w:tcPr>
            <w:tcW w:w="38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322.6</w:t>
            </w:r>
          </w:p>
        </w:tc>
      </w:tr>
      <w:tr>
        <w:trPr>
          <w:trHeight w:val="237"/>
        </w:trPr>
        <w:tc>
          <w:tcPr>
            <w:tcW w:w="15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338.9</w:t>
            </w:r>
          </w:p>
        </w:tc>
      </w:tr>
      <w:tr>
        <w:trPr>
          <w:trHeight w:val="27"/>
        </w:trPr>
        <w:tc>
          <w:tcPr>
            <w:tcW w:w="1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1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2019, we also had borrowing availability of $750.0 million under a revolving credit facility.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Nine Months Ended September 30, 2019 and 2018</w:t>
      </w:r>
    </w:p>
    <w:p>
      <w:pPr>
        <w:spacing w:after="0" w:line="200" w:lineRule="exact"/>
        <w:rPr>
          <w:sz w:val="20"/>
          <w:szCs w:val="20"/>
          <w:color w:val="auto"/>
        </w:rPr>
      </w:pP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7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7"/>
        </w:trPr>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r>
      <w:tr>
        <w:trPr>
          <w:trHeight w:val="27"/>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r>
      <w:tr>
        <w:trPr>
          <w:trHeight w:val="27"/>
        </w:trPr>
        <w:tc>
          <w:tcPr>
            <w:tcW w:w="4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net income of $1,323.8 million for the first nine months of 2019 was negatively impacted by an up-front payment of $400.0 million made to Alnylam pursuant to our collaboration agreement (as described in "Collaboration Agreements - Collaborations with Alnylam" above) and $58.4 million related to unrealized losses (net) on equity securities (included in other non-cash items). Deferred taxes as of September 30, 2019 increased by $110.0 million, compared to December 31, 2018, primarily due to the tax treatment of the up-front payment made to Alnylam and non-cash compensation expense. Deferred revenue increased in the first nine months of 2019 primarily due to the receipt of a $461.9 million payment from Sanofi in connection with the Amended IO Discovery Agreement (as described in "Collaboration Agreements - Collaborations with Sanofi," above).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2019, we purchased $400.0 million of Alnylam common stock in connection with entering into the collaboration agreement. Capital expenditures were $290.6 million and $297.6 million in the first nine months of 2019 and 2018, respectively. We expect to incur capital expenditures of $390 million to $420 million for the full year of 2019 primarily in connection with expanding a portion of our manufacturing facilities, including an investment in fill/finish facilities and equipment, and laboratory expansion and renovations at our Tarrytown, New York facilities.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2019, our board of directors authorized a share repurchase program to repurchase up to $1.0 billion of our Common Stock. The share repurchase program permits the Company to effect repurchases through a variety of methods, including open-market transactions (including pursuant to a trading plan adopted in accordance with Rule 10b5-1 of the Exchange Act), privately negotiated transactions, accelerated share repurchases, block trades, and other transactions in compliance with Rule 10b-18 of the Exchange Act. Repurchases may be made from time to time at management’s discretion, and the timing and amount of any such repurchases will be determined based on share price, market conditions, legal requirements, and other relevant factors. The program has no time limit and can be discontinued at any time. No shares have been repurchased under the program to date, and there can be no assurance as to the timing or number of shares of any repurchases in the future. We plan to finance the share repurchase program with available cash.</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6" w:right="239" w:bottom="1440" w:gutter="0" w:footer="0" w:header="0"/>
          <w:type w:val="continuous"/>
        </w:sectPr>
      </w:pPr>
    </w:p>
    <w:bookmarkStart w:id="44" w:name="page45"/>
    <w:bookmarkEnd w:id="4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Funding of Certain Development Costs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in "Collaboration Agreements - Collaborations with Sanofi," effective January 7, 2018, we have agreed to allow Sanofi to satisfy in whole or in part its funding obligations with respect to Libtayo development and/or Dupilumab/REGN3500 Eligible Investments by selling up to an aggregate of 1,400,000 shares (of which 869,828 shares remain available to be sold as of September 30, 2019) of our Common Stock directly or indirectly owned by Sanofi. During the first nine months of 2019, Sanofi elected to sell, and we elected to purchase (by issuing a credit towards the amount owed by Sanofi), 210,733 shares of the Company's Common Stock to satisfy Sanofi's funding obligation related to Libtayo development costs. Consequently, we recorded $73.3 million related to the shares received as Treasury Stock during the first nine months of 2019. In addition, during the first nine months of 2019, Sanofi elected to sell, and we elected to purchase (in cash), 93,286 shares of the Company's Common Stock in connection with Sanofi's funding obligation for Dupilumab/REGN3500 Eligible Investments. Consequently, we recorded the cost of the shares received, or $29.4 million, as Treasury Stock during the first nine months of 2019.</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 summary of our critical accounting policies and use of estimates are presented in Part II, Item 7. "Management's Discussion and Analysis of Financial Condition and Results of Operations" of our Annual Report on Form 10-K for the fiscal year ended December 31, 2018 (filed February 7, 2019). Except as described in Note 1 and Note 8 to our Condensed Consolidated Financial Statements included in this report related to the adoption of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were no material changes to our critical accounting policies and use of estimates during the nine months ended September 30, 2019.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2018 (filed February 7, 2019). There have been no material changes to our market risks or to our management of such risks as of September 30, 2019.</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quarter ended September 30, 2019 that has materially affected, or is reasonably likely to materially affect, our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11 to our Condensed Consolidated Financial Statements included in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Marketed Products, Product Candidates, and New Indications for Our Marketed Products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EYLEA.</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EYLEA net sales represent a substantial portion of our revenues and this concentration of our net sales in a single product makes us substantially dependent on that product. For the nine months ended September 30, 2019 and 2018, EYLEA net sales in the United States represented 60% and 63%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w:t>
      </w:r>
    </w:p>
    <w:p>
      <w:pPr>
        <w:sectPr>
          <w:pgSz w:w="11900" w:h="16838" w:orient="portrait"/>
          <w:cols w:equalWidth="0" w:num="1">
            <w:col w:w="11420"/>
          </w:cols>
          <w:pgMar w:left="240" w:top="126" w:right="239" w:bottom="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we may experience a reduction in revenue and may not be able to sustain profitability, and our business, prospects, operating results, and financial condition would be materially harmed.</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2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(in particular, EYLEA, Dupixent, Praluent, Kevzara, and Libtayo)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for, our marketed products by third-party payers, including Medicare and Medicaid in the United States and other government and private payers in the United States and foreign jurisdictions, as well as U.S. and foreign payer restrictions on eligible patient populations and the reimbursement process (including drug price control measures that may be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the existing and potential new competition for EYLEA (discussed further under "</w:t>
      </w:r>
      <w:r>
        <w:rPr>
          <w:rFonts w:ascii="Times New Roman" w:cs="Times New Roman" w:eastAsia="Times New Roman" w:hAnsi="Times New Roman"/>
          <w:sz w:val="18"/>
          <w:szCs w:val="18"/>
          <w:i w:val="1"/>
          <w:iCs w:val="1"/>
          <w:color w:val="auto"/>
        </w:rPr>
        <w:t>The commercial success of our products and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candidates is subject to strong competition - </w:t>
      </w:r>
      <w:r>
        <w:rPr>
          <w:rFonts w:ascii="Times New Roman" w:cs="Times New Roman" w:eastAsia="Times New Roman" w:hAnsi="Times New Roman"/>
          <w:sz w:val="18"/>
          <w:szCs w:val="18"/>
          <w:color w:val="auto"/>
        </w:rPr>
        <w:t>Marketed Products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EYLEA" below) and the willingness of retinal specialists and patients to switch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Lucentis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(ranibizumab) or off-label use of repackaged Avastin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(bevacizumab) to EYLEA or to start treatment with EYLEA;</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 candidates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or other steps in the manufacture of such products to ensure that they meet our standards and those of regulatory authorities, including the FDA, which extensively regulate and monitor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patent infringement proceedings relating to Dupixent and Praluent (described further in Note 11 to our Condensed Consolidated Financial Statements included in this report), as well as other risks relating to our marketed products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investigations described in Note 11 to our Condensed Consolidated Financial Statements included in this report;</w:t>
      </w: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 and</w:t>
      </w:r>
    </w:p>
    <w:p>
      <w:pPr>
        <w:jc w:val="both"/>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 care laws and regulations currently being considered or implemented in the United States, including price reporting and other disclosure requirements of such laws and regulations and the potential impact of such requirements on physician prescribing practices and payer coverage.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(such as EYLEA, Dupixent, Praluent, Kevzara, and Libtayo) for the products' currently approved indications in the United States, EU, and other countries where such products are approved. If we or our collaborators fail to maintain regulatory compliance for such products' currently approved indications (including because the product does not meet the relevant endpoints of any required post-approval studies,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w:t>
      </w:r>
      <w:r>
        <w:rPr>
          <w:rFonts w:ascii="Times New Roman" w:cs="Times New Roman" w:eastAsia="Times New Roman" w:hAnsi="Times New Roman"/>
          <w:sz w:val="18"/>
          <w:szCs w:val="18"/>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 of governmental regulation in the manufacture of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below.</w:t>
      </w:r>
    </w:p>
    <w:p>
      <w:pPr>
        <w:spacing w:after="0" w:line="2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marketed products (such as EYLEA, Dupixent, Praluent, Kevzara, and Libtayo) in the United States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our marketed products in other countries are dependent, in large part, on similar reimbursement mechanisms and programs in those countries.</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future revenues and profitability will be adversely affected in a material manner if such third-party payers do not adequately defray or reimburse the cost of our marketed products to patients. If these entities do not provide coverage and reimbursement with respect to our marketed products or provide an insufficient level of coverage and reimbursement, such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payers (such as Medicare and Medicaid in the United States) to reimburse the cost of our marketed products, we must maintain, among other things, our FDA registration and our National Drug Code, formulary approval by pharmacy benefits managers,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requiring the use of less costly medications before more costly medications are approved for coverage).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marketed products.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and proposed federal and state legislation and policies designed to, among other things, bring more transparency to drug pricing, review the relationship between pricing and manufacturer patient programs, reduce the out-of-pocket cost of prescription drugs, and reform government program reimbursement methodologies 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6" w:right="239" w:bottom="1440" w:gutter="0" w:footer="0" w:header="0"/>
        </w:sectPr>
      </w:pPr>
    </w:p>
    <w:bookmarkStart w:id="48" w:name="page49"/>
    <w:bookmarkEnd w:id="4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drugs. At the federal level, the current administration's budget proposal for fiscal year 2019 contained drug price control measures that have been subsequently rolled into the budget proposal for fiscal year 2020 and could be enacted during the 2020 budget process or in other future legislation, including, for example, measures to permit Medicare Part D plans to negotiate the price of certain drugs under Medicare Part B (such as EYLEA); to allow some states to negotiate drug prices under Medicaid; and to eliminate cost sharing for generic drugs for low-income patients. Additionally, on May 11, 2018, President Trump laid out his administration's "Blueprint to Lower Drug Prices and Reduce Out-of-Pocket Costs" to reduce the cost of prescription drugs while preserving innovation and cures. The Department of Health and Human Services has been soliciting feedback on some of these measures and may implement others impacting our business under its existing authority. CMS has also recently sought public comment on how best to leverage its authority provided under the Competitive Acquisition Program and introduce competition into Medicare Part B by allowing CMS to bring on vendors to negotiate payment amounts for Medicare Part B drugs. In addition, since January 1, 2019, CMS has allowed Medicare Advantage (MA) plans to use step therapy for Part B drugs (such as EYLEA). On October 25, 2018, President Trump announced that CMS was evaluating a program that proposes to set the Medicare payment amount for Part B single-source drugs and biologics to more closely align with international drug prices (also referred to as reference or international price index (IPI) drug pricing) and pay physicians and hospitals participating in such program a set drug add-on payment for administered drugs. CMS also issued an advance notice of proposed rulemaking that requested public comment on the proposed program, which is contemplated to initially cover fifty percent of Medicare Part B spending on separately payable Part B drugs (such as EYLEA), with the IPI-based price for each such drug to be phased in over a period of five years; notice of proposed rulemaking on this program is currently under review by the Office of Management and Budget. In addition, in July 2019, President Trump indicated that his administration was considering an executive order to establish a "most favored nation" pricing plan. While the scope and details of this contemplated executive action (including whether and how its mechanism may differ from that of the proposed IPI drug pricing program discussed above) are not clear, this seems to signal that the U.S. administration will continue to seek new measures to constrain drug costs and Medicare payments for drugs. Similarly, various members of the current U.S. Congress and potential 2020 presidential candidates have indicated that lowering drug prices continues to be a legislative and political priority, and some have introduced proposals aimed at drug pricing. 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based on the proposals and initiatives described above) could have a material adverse effect on the sales of EYLEA or our other marketed products. Economic pressure on state budgets may also have a similar impact.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payer refuses to provide reimbursement for our products in a particular jurisdiction altogether, this could have a material adverse effect on our and our collaborators' ability to commercialize the applicable product.</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marketed products in foreign countries is limited or delayed.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strong competition.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6" w:right="239" w:bottom="1440" w:gutter="0" w:footer="0" w:header="0"/>
        </w:sectPr>
      </w:pPr>
    </w:p>
    <w:bookmarkStart w:id="49" w:name="page50"/>
    <w:bookmarkEnd w:id="4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larger pharmaceutical or biotechnology companies. There is significant actual and potential future competition for each of our marketed products.</w:t>
      </w:r>
    </w:p>
    <w:p>
      <w:pPr>
        <w:spacing w:after="0" w:line="2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EYLEA</w:t>
      </w:r>
      <w:r>
        <w:rPr>
          <w:rFonts w:ascii="Times New Roman" w:cs="Times New Roman" w:eastAsia="Times New Roman" w:hAnsi="Times New Roman"/>
          <w:sz w:val="18"/>
          <w:szCs w:val="18"/>
          <w:color w:val="auto"/>
        </w:rPr>
        <w:t>. The market for eye disease products is very competitive. For example, Novartis AG and Genentech/Roche are collaborating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and further development of a vascular endothelial growth factor (VEGF) antibody fragment, Lucentis, for the treatment of various eye indications. Lucentis is approved in one or more jurisdictions for the treatment of wet AMD, macular edema following RVO (including CRVO and BRVO), DME, diabetic retinopathy, mCNV, and ROP. Novartis announced in October 2019 that it received FDA approval for Beovu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(brolucizumab), its humanized monoclonal single-chain FV (scFv) antibody fragment targeting VEGF-A, for the treatment of wet AMD in the United States. Novartis has also reported regulatory submissions in the EU and other jurisdictions for approval of brolucizumab in wet AMD and ongoing Phase 3 studies of brolucizumab in DME and RVO. In addition, we are aware of several companies developing biosimilar versions of EYLEA. For example, Momenta Pharmaceuticals, Inc. (in partnership with Mylan N.V.) is developing M710 (currently in a pivotal trial in patients with DME) and Formycon AG is developing FY203 and has indicated that it intends to initiate a Phase 3 trial in mid-2020. Competitors are also exploring the development of a biosimilar version of Lucentis; in particular, Formycon AG (in collaboration with Bioeq GmbH) is developing FYB201 (a Phase 3 trial in patients with wet AMD has been completed), Samsung Bioepis Co., Ltd. is developing SB11 (currently in a Phase 3 trial in patients with wet AMD), and Pfenex Inc. is developing PF582 (a Phase 1b/2a trial in patients with wet AMD has been completed).</w:t>
      </w:r>
    </w:p>
    <w:p>
      <w:pPr>
        <w:spacing w:after="0" w:line="2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Many other companies are working on the development of product candidates and extended delivery devices for the potential treatment of wet AMD, DME, RVO, and diabetic retinopathy, including those that act by blocking VEGF and VEGF receptors, as well as small interfering ribonucleic acids (siRNAs) that modulate gene expression. Allergan is developing abicipar pegol for wet AMD and related conditions and recently announced regulatory submissions in the United States and the EU in wet AMD. Chengdu Kanghong Pharmaceutical Industry Group Co., Ltd. is conducting non-inferiority Phase 3 trials in the United States and Europe comparing conbercept, an anti-VEGF fusion protein, against EYLEA in wet AMD. Conbercept is approved in the wet AMD and myopic choroidal neovascularization indications in China. Genentech/Roche is developing a port delivery system implant for ranibizumab (currently in Phase 3 studies in wet AMD and DME). Kodiak Sciences Inc. is developing KSI-301, an anti-VEGF biologic therapy that is conjugated to a phosphorylcholine-based biopolymer to extend its half-life, for wet AMD, DME, and RVO. A Phase 1 study of KSI-301 in patients with DME met its primary safety and tolerability endpoint, and Kodiak is conducting a Phase 1b open label study in patients with wet AMD, DME, and RVO. A Phase 2 study comparing KSI-301 against EYLEA in wet AMD has also been reported to have begun recruiting patients. In addition, companies are developing products (or combinations of products) to treat wet AMD that act by blocking VEGF and VEGF receptors, as well as other targets (for example, Ang2). Genentech/Roche is developing a bispecific antibody, faricimab (RG7716), that targets both VEGF and Ang2 for wet AMD and DME (currently in Phase 3 non-inferiority studies comparing faricimab against EYLEA in DME and wet AMD). Products that are being developed for use in combination with EYLEA and/or Lucentis may also pose a competitive threat. Opthea Limited is developing OPT-302, a VEGFR-3 large molecule trap in combination with Lucentis for wet AMD and previously announced that a Phase 2 trial met the primary endpoint of superiority to Lucentis monotherapy. Santen Pharmaceuticals Co. Ltd. (in partnership with TRACON Pharmaceuticals, Inc.) is developing DE-122, an anti-endoglin antibody in combination with Lucentis in a Phase 2 trial for wet AMD. Small-molecule tyrosine kinase inhibitors that have activity against VEGF may also compete against EYLEA, if approved for wet AMD and/or related conditions. Graybug Vision, Inc. is developing GB-102, an intravitreally administered depot formulation of the small molecule tyrosine kinase inhibitor, sunitinib (currently in a Phase 2a trial in DME and RVO and a Phase 2b trial in wet AMD). Ocular Therapeutix, Inc. is developing OTX-TKI, a bioresorbable hydrogel formulated with tyrosine kinase inhibitor particles in an injectable fiber, for wet AMD and initiated a Phase 1 trial in February 2018. PanOptica, Inc. is developing PAN-90806, a topically administered tyrosine kinase inhibitor (Phase 1/2 trial for wet AMD completed). Competitors are also developing other eye-drop formulations, devices, oral therapies, and gene/cell therapies (such as REGENXBIO Inc.'s RGX-314) for various indications that, if approved, would compete with EYLEA in one or more of its currently approved indications.</w:t>
      </w:r>
    </w:p>
    <w:p>
      <w:pPr>
        <w:spacing w:after="0" w:line="24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Other competitive or potentially competitive products include Allergan plc's Ozurdex</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(dexamethasone intravitreal implant) (approved by the FDA for the treatment of macular edema following RVO and for the treatment of DME) and Alimera Sciences Inc.'s Iluvien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(fluocinolone acetonide intravitreal implant) (approved by the FDA for the treatment of DME in patients who have been previously treated with a course of corticosteroids and did not have a clinically significant rise in intraocular pressure), both of which are intravitreal implants of corticosteroids.</w:t>
      </w: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ophthalmologists are using off-label, third-party repackaged versions of Genentech/Roche's approved VEGF antagonist, bevacizumab, for the treatment of wet AMD, DME, and RVO. The relatively low cost of therapy with repackaged bevacizumab presents a significant competitive challenge for EYLEA in these indications. Bevacizumab is also being evaluated in eye diseases in clinical trials in certain countries. Amgen Inc. (in collaboration with Allergan) has obtained regulatory approval of a biosimilar version of Avastin in the United States and the EU, and other competitors are also developing a biosimilar version of Avastin. Off-label use of any such biosimilar in one or more of the eye indications for which EYLEA is approved may put further pressure on the commercialization of EYLEA. Additionally, Outlook Therapeutics, Inc. is enrolling patients in Phase 3 trials in wet AMD for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6" w:right="239" w:bottom="1440" w:gutter="0" w:footer="0" w:header="0"/>
        </w:sectPr>
      </w:pPr>
    </w:p>
    <w:bookmarkStart w:id="50" w:name="page51"/>
    <w:bookmarkEnd w:id="5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ONS-5010, a proprietary ophthalmic formulation of bevacizumab. The potential FDA approval of an ophthalmic formulation of bevacizumab may also affect market dynamics for EYLEA in the United States.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ZALTRAP has not been manufactured and formulated for use in intravitreal injections, but there is a risk that third parties repackage ZALTRAP for off-label use and sale for the treatment of diseases of the eye, which would present a potential low-cost competitive threat to EYLEA for its approved indications. We are aware of claims by third parties, including those based on published clinical data, alleging that ZALTRAP may be safely administered to the eye.</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competitive. In atopic dermatitis, Pfizer Inc.'s Eucrisa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(crisaborole), a topical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ointment, competes with Dupixent and there are several other topical agents in development. In addition, a number of companies are developing antibodies against IL-13 for the treatment of atopic dermatitis, including LEO Pharma A/S (in collaboration with AstraZeneca PLC) with tralokinumab (currently in several Phase 3 trials) and Dermira, Inc. (in collaboration with Genentech/Roche) with lebrikizumab (currently in Phase 3 trials). Antibodies targeting OX40 are also in development for atopic dermatitis, with Glenmark Pharmaceuticals Ltd., Kyowa Hakko Kirin Co., Ltd., and Kymab Ltd conducting Phase 2 trials of their respective programs (GBR-830, KHK4083, and KY-1005). Galderma S.A. has initiated Phase 3 trials of nemolizumab, an antibody against IL-31R, in atopic dermatitis. XBiotech Inc. has completed a Phase 2 trial of bermekimab, an anti-IL-1alpha antibody. Orally administered small molecules are also being developed for atopic dermatitis, and, if approved, may compete with Dupixent in atopic dermatitis and other potential future indications. Several companies are studying JAK inhibitors for atopic dermatitis, including AbbVie Inc.'s upadacitinib, Pfizer's abrocitinib (PF-04965842) (two Phase 3 studies reported to have met their respective primary endpoints), Eli Lilly and Company's baricitinib (three atopic dermatitis Phase 3 studies reported to have met their respective primary endpoints), and Asana BioSciences, LLC's ASN002 (currently in Phase 2 development).</w:t>
      </w:r>
    </w:p>
    <w:p>
      <w:pPr>
        <w:spacing w:after="0" w:line="25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 asthma, competitors to Dupixent include antibodies against the IL-5 ligand or the IL-5 receptor such as GlaxoSmithKline plc's Nucala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(mepolizumab), AstraZeneca's Fasenra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(benralizumab), and Teva's Cinqair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(reslizumab), all of which are approved for asthma in the United States and other jurisdictions. Novartis and Genentech/Roche's Xolair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(omalizumab) is also approved for asthma in multiple jurisdictions. In CRSwNP, competitors to Dupixent may include, if approved, Xolair (two CRSwNP Phase 3 trials reported in June 2019 to have met their respective primary endpoints) as well as Nucala and Fasenra (each in Phase 3 development for CRSwNP). Orally administered small molecule agents may also compete with Dupixent in asthma and potential future indications. For example, Novartis is developing fevipiprant, an oral prostaglandin D2 receptor 2 (CRTh2/DP2) antagonist, in multiple Phase 3 trials for asthma. Inhaled products may also compete with Dupixent in asthma and potential future indications, including Pieris Pharmaceuticals, Inc.'s PRS-060 (an anticalin being developed in partnership with AstraZeneca against IL-4R) and Novartis' CSJ117 (an antibody fragment against thymic stromal lymphopoietin).</w:t>
      </w: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several other potentially competitive products in development that may compete with Dupixent in both the atopic dermatitis and asthma indications, as well as potential future indications. For example, Amgen/AstraZeneca's tezepelumab, an antibody against thymic stromal lymphopoietin, or TSLP, is currently in Phase 3 development for asthma and Phase 2 development for atopic dermatitis. Antibodies against the IL-33 ligand or the IL-33 receptor (ST2) may also be competitive with Dupixent across multiple indications. Phase 2 trials are ongoing in atopic dermatitis and asthma for etokimab (ANB-020), an antibody against IL-33 developed by AnaptysBio, Inc. Genentech/Roche is developing RG6149, an anti-ST2 antibody, in Phase 2 trials for asthma and atopic dermatitis. GlaxoSmithKline plc (GSK) is developing GSK3772847, an anti-ST2 antibody, in a Phase 2 trial for asthma (reported to have met proof-of-concept), and completed a Phase 1 trial that included atopic dermatitis patients. Eli Lilly is developing LY3375880, an anti-IL-33 antibody, in a Phase 2 trial for atopic dermatitis.</w:t>
      </w:r>
    </w:p>
    <w:p>
      <w:pPr>
        <w:spacing w:after="0" w:line="2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Praluent</w:t>
      </w:r>
      <w:r>
        <w:rPr>
          <w:rFonts w:ascii="Times New Roman" w:cs="Times New Roman" w:eastAsia="Times New Roman" w:hAnsi="Times New Roman"/>
          <w:sz w:val="18"/>
          <w:szCs w:val="18"/>
          <w:color w:val="auto"/>
        </w:rPr>
        <w:t>. Amgen's Repatha, an antibody targeting PCSK9, has received regulatory approvals in jurisdictions including the U.S., the EU, and Japan,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captured a significant market share in certain jurisdictions. Repatha also received regulatory approval for cardiovascular risk reduction before Praluent in certain jurisdictions, including the U.S. In addition, LIB Therapeutics LLC is conducting Phase 2 studies with LIB003, a recombinant fusion protein targeting PCSK9, in ASCVD, and has initiated a Phase 3 trial in HoFH. Other companies with development programs for injectables against PCSK9 include Alnylam Pharmaceuticals, Inc. (in collaboration with The Medicines Company), which is developing inclisiran, an RNAi molecule targeting PCSK9 (a Phase 3 trial in ASCVD has been completed and other Phase 3 trials in ASCVD and HeFH are ongoing).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(submitted for regulatory review in the U.S. and EU).</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i w:val="1"/>
          <w:iCs w:val="1"/>
          <w:color w:val="auto"/>
        </w:rPr>
        <w:t>Kevzara</w:t>
      </w:r>
      <w:r>
        <w:rPr>
          <w:rFonts w:ascii="Times New Roman" w:cs="Times New Roman" w:eastAsia="Times New Roman" w:hAnsi="Times New Roman"/>
          <w:sz w:val="18"/>
          <w:szCs w:val="18"/>
          <w:color w:val="auto"/>
        </w:rPr>
        <w:t>. Genentech/Roche and Chugai Pharmaceutical Co., Ltd. are marketing an antibody against IL-6R (Actemra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(tocilizumab)) for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rheumatoid arthritis that competes with Kevzara. In addition, several other companies, including R-Pharm JSC and BIOCAD, have antibodies against IL-6 or IL-6R in clinical development for rheumatoid arthritis. Biosimilar versions of Actemra may also compete with Kevzara, such as Mycenax Biotech Inc.'s LuciNex (a Phase 1 trial has been completed). Further, oral, small-molecule JAK inhibitors such as Pfizer's Xeljanz</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(tofacitinib)</w:t>
      </w:r>
      <w:r>
        <w:rPr>
          <w:rFonts w:ascii="Times New Roman" w:cs="Times New Roman" w:eastAsia="Times New Roman" w:hAnsi="Times New Roman"/>
          <w:sz w:val="18"/>
          <w:szCs w:val="18"/>
          <w:color w:val="auto"/>
        </w:rPr>
        <w:t>, Eli Lilly's Olumiant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10101"/>
        </w:rPr>
        <w:t>(baricitinib)</w:t>
      </w:r>
      <w:r>
        <w:rPr>
          <w:rFonts w:ascii="Times New Roman" w:cs="Times New Roman" w:eastAsia="Times New Roman" w:hAnsi="Times New Roman"/>
          <w:sz w:val="18"/>
          <w:szCs w:val="18"/>
          <w:color w:val="000000"/>
        </w:rPr>
        <w:t>, AbbVie's Rinvoq</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8"/>
          <w:szCs w:val="18"/>
          <w:color w:val="010101"/>
        </w:rPr>
        <w:t xml:space="preserve"> </w:t>
      </w:r>
      <w:r>
        <w:rPr>
          <w:rFonts w:ascii="Times New Roman" w:cs="Times New Roman" w:eastAsia="Times New Roman" w:hAnsi="Times New Roman"/>
          <w:sz w:val="18"/>
          <w:szCs w:val="18"/>
          <w:color w:val="000000"/>
        </w:rPr>
        <w:t>(upadacitinib), Gilead Sciences, Inc.'s filgotinib, and Astellas Pharma Inc.'s peficitinib pose a competitive threat for Kevzara.</w:t>
      </w:r>
    </w:p>
    <w:p>
      <w:pPr>
        <w:spacing w:after="0" w:line="15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i w:val="1"/>
          <w:iCs w:val="1"/>
          <w:color w:val="auto"/>
        </w:rPr>
        <w:t>Libtayo</w:t>
      </w:r>
      <w:r>
        <w:rPr>
          <w:rFonts w:ascii="Times New Roman" w:cs="Times New Roman" w:eastAsia="Times New Roman" w:hAnsi="Times New Roman"/>
          <w:sz w:val="18"/>
          <w:szCs w:val="18"/>
          <w:color w:val="auto"/>
        </w:rPr>
        <w:t>. There are several competitors that are marketing and/or developing antibodies against PD-1 and/or PDL-1, including Bristol-Myers Squibb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Opdivo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(nivolumab), Merck &amp; Co., Inc.'s Keytruda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(pembrolizumab), Roche's Tecentriq</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(durvalumab), Merck KGaA/Pfizer's Bavencio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(avelumab), Novartis' spartalizumab (PDR001), BeiGene Ltd.'s tislelizumab (BGB-A317), GSK's dostarlimab (TSR-042), Agenus Inc.'s AGEN2034, and Incyte Corporation's INCMGA0012.</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other late-stage and earlier-stage clinical candidates in development are all fully human antibodies, which were generated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Our antibody generation technologies and other late-stage and earlier-stage clinical candidates face competition from many pharmaceutical and biotechnology companies using various technologies.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Competitors to evinacumab include Ionis Pharmaceuticals, Inc./Akcea Therapeutics, Inc.'s AKCEA-ANGPTL3-LRx, a ligand conjugated antisense drug against ANGPTL3, and Arrowhead Pharmaceuticals, Inc.'s ARO-ANG3, an RNAi therapeutic against ANGPTL3. We are also aware of several companies developing or marketing small molecules that may compete with our antibody-based product candidates in various indications, if such product candidates obtain regulatory approval in those indications.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EYLEA and Dupixent, Praluent, Kevzara, and Libtayo, respectively.</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in countries outside the United States.</w:t>
      </w:r>
    </w:p>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while we have elected to co-commercialize Dupixent, Praluent, and Kevzara with Sanofi in the United States in accordance with the terms of our Antibody Collaboration, we continue to rely in part on Sanofi's sales and marketing organization in the United States for such products. Moreover, even though we lead commercialization efforts for Libtayo in the United States, Sanofi has exercised its option to co-commercialize Libtayo in the United States in accordance with the terms of our IO Collaboration. If we and Sanofi fail to coordinate our United States sales and marketing efforts effectively, sales of Dupixent, Praluent, Kevzara, or Libtayo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is responsible for regulatory filings and negotiations relating to such products and product candidates) in the United States, and may lead negotiations with payers relating to such products and product candidates. We also rely on Sanofi for sales, marketing, and distribution of Dupixent, Praluent, Kevzara, and Libtayo in countries outside the United States.</w:t>
      </w:r>
    </w:p>
    <w:p>
      <w:pPr>
        <w:spacing w:after="0" w:line="2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and our collaborators are unsuccessful in continuing to commercialize the marketed products subject to such collaborations, or if Bayer or Sanofi terminate their respective collaborations with us, our business, prospects, operating results, and financial</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6" w:right="239" w:bottom="1440" w:gutter="0" w:footer="0" w:header="0"/>
        </w:sectPr>
      </w:pPr>
    </w:p>
    <w:bookmarkStart w:id="52" w:name="page53"/>
    <w:bookmarkEnd w:id="5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condition would be materially impaired. We have limited commercial capabilities outside the United States and would have to develop or outsource these capabilities. Therefore, termination of the Bayer collaboration agreement, our Antibody Collaboration, or our IO Collaboration would create substantial new and additional risks to the successful commercialization of the applicable products, particularly outside the United States. For additional information regarding our collaborations with Bayer and Sanofi, see "Risks Related to Our Reliance on Third Parties - </w:t>
      </w:r>
      <w:r>
        <w:rPr>
          <w:rFonts w:ascii="Times New Roman" w:cs="Times New Roman" w:eastAsia="Times New Roman" w:hAnsi="Times New Roman"/>
          <w:sz w:val="18"/>
          <w:szCs w:val="18"/>
          <w:i w:val="1"/>
          <w:iCs w:val="1"/>
          <w:color w:val="auto"/>
        </w:rPr>
        <w:t>If our collaboration with Bayer for EYLEA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Times New Roman" w:cs="Times New Roman" w:eastAsia="Times New Roman" w:hAnsi="Times New Roman"/>
          <w:sz w:val="18"/>
          <w:szCs w:val="18"/>
          <w:color w:val="auto"/>
        </w:rPr>
        <w:t>"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"Risks Related to Our Reliance on Third Parties - </w:t>
      </w:r>
      <w:r>
        <w:rPr>
          <w:rFonts w:ascii="Times New Roman" w:cs="Times New Roman" w:eastAsia="Times New Roman" w:hAnsi="Times New Roman"/>
          <w:sz w:val="18"/>
          <w:szCs w:val="18"/>
          <w:i w:val="1"/>
          <w:iCs w:val="1"/>
          <w:color w:val="auto"/>
        </w:rPr>
        <w:t>If our Antibody Collaboration or our IO Collaboration with Sanofi is terminated, our business, prospects,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results, and financial condition, and our ability to develop, manufacture, and commercialize certain of our products and product candidates in the time expected, or at all, would be materially harmed</w:t>
      </w:r>
      <w:r>
        <w:rPr>
          <w:rFonts w:ascii="Times New Roman" w:cs="Times New Roman" w:eastAsia="Times New Roman" w:hAnsi="Times New Roman"/>
          <w:sz w:val="18"/>
          <w:szCs w:val="18"/>
          <w:color w:val="auto"/>
        </w:rPr>
        <w:t>" below.</w:t>
      </w:r>
    </w:p>
    <w:p>
      <w:pPr>
        <w:spacing w:after="0" w:line="2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under our collaboration agreements with them in the United States and other countries (which impact our share of any profits or losses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Similarly, under our Antibody Collaboration and IO Collaboration with Sanofi, pricing and reimbursement for the products 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If such proposals were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4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EYLEA, Libtayo, and ARCALYST in the United States to several distributors and specialty pharmacies. Under this distribution model, the distributors and specialty pharmacies generally take physical delivery of product and generally sell the product directly</w:t>
      </w:r>
    </w:p>
    <w:p>
      <w:pPr>
        <w:sectPr>
          <w:pgSz w:w="11900" w:h="16838" w:orient="portrait"/>
          <w:cols w:equalWidth="0" w:num="1">
            <w:col w:w="11420"/>
          </w:cols>
          <w:pgMar w:left="240" w:top="126"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6" w:right="239" w:bottom="1440" w:gutter="0" w:footer="0" w:header="0"/>
          <w:type w:val="continuous"/>
        </w:sectPr>
      </w:pPr>
    </w:p>
    <w:bookmarkStart w:id="53" w:name="page54"/>
    <w:bookmarkEnd w:id="5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healthcare providers. For the nine months ended September 30, 2019, our gross product sales of such products to two customers accounted on a combined basis for 90% of our total gross product revenue. We expect this significant customer concentration to continue for the foreseeable future. Our ability to generate and grow sales of these products will depend, in part, on the extent to which our distributors and specialty pharmacies are able to provide adequate distribution of these products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co-commercialize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w:t>
      </w:r>
    </w:p>
    <w:p>
      <w:pPr>
        <w:spacing w:after="0" w:line="2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Obtaining FDA approval is typically a lengthy and expensive process, and approval is highly uncertain. We cannot predict with certainty if or when we might submit for regulatory approval for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26" w:right="239" w:bottom="1440" w:gutter="0" w:footer="0" w:header="0"/>
        </w:sectPr>
      </w:pPr>
    </w:p>
    <w:bookmarkStart w:id="54" w:name="page55"/>
    <w:bookmarkEnd w:id="5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Standard review can be accomplished in a 10-month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additional information, see "Risks Related to Manufacturing and Supply - </w:t>
      </w:r>
      <w:r>
        <w:rPr>
          <w:rFonts w:ascii="Times New Roman" w:cs="Times New Roman" w:eastAsia="Times New Roman" w:hAnsi="Times New Roman"/>
          <w:sz w:val="18"/>
          <w:szCs w:val="18"/>
          <w:i w:val="1"/>
          <w:iCs w:val="1"/>
          <w:color w:val="auto"/>
        </w:rPr>
        <w:t>Our or our collaborators' failure to meet the stringent requirements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 noncompliance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requirements and regulations described in this paragraph.</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foreign jurisdictions. From time to time, we may hold a product's marketing approval in a jurisdiction outside the United States where we may have less experience and where our regulatory capabilities may be more limited.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the FDA's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and Dupixent)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an antibody to RSV, did not meet its primary endpoint of preventing medically-attended RSV infections in infants; as a result, we have discontinued further clinical development of this antibody. Moreover, even if we obtain positive results from preclinical testing or clinical trials, we may not achieve the same success in future trials, or the FDA and analogous foreign regulatory authorities may deem the results insufficient for an approval.</w:t>
      </w: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DMCs based on their review of such interim trial results. For example, in April 2018, the DMC monitoring the ongoing safety and efficacy of our Phase 3 clinical trials of fasinumab recommended that the higher dose-regimens be discontinued based on the risk-benefit assessment and that the program may continue with lower dose-regimens of fasinumab. As a result, the ongoing osteoarthritis trials have been modified accordingly and we discontinued dosing patients in the clinical study of fasinumab in chronic low back pain in patients with concomitant osteoarthritis of the knee and hip since this study was using only higher doses. The recommended termination or material modification of any of our ongoing late-stage clinical trials by a DMC could negatively impact the future development of our product candidate(s), and our business, prospects, operating results, and financial condition may be materially harmed.</w:t>
      </w:r>
    </w:p>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there are many potential safety concerns associated with significant blockade of VEGF that may limit our ability to further successfully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(IOI), sterile and culture positive endophthalmitis, corneal decomposition, retinal detachment, and retinal tear), which can cause injury to the eye and other complications. The side effects previously reported for EYLEA include conjunctival hemorrhage, macular degeneration, eye pain, retinal hemorrhage, and vitreous floaters. In addition, commercialization of EYLEA or our other products may be impacted by actions of third parties on which we rely, such as manufacturers of syringes or other devices used in the administration of our products. For example, in February 2018, we issued a letter to healthcare professionals providing updated guidance relating to reports of IOI following EYLEA injections. In this letter, we noted that while our review did not identify any association of IOI rates with the EYLEA drug itself, an association was seen with certain batches of the syringe that were included in specific lots of final packaged EYLEA kits. These and other complications or issues or side effects could harm further development and/or commercialization of EYLEA.</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Programs in Clinical Development." There is no guarantee that marketing approval of Dupixent or Libtayo (as applicable) in any of these indications will be successfully obtained. The side effects previously reported for Dupixent include hypersensitivity reactions, conjunctivitis and keratitis, injection-site reactions, eye and eyelid inflammation, cold sores, oropharyngeal pain, and eosinophilia; and the side effects previously reported for Libtayo include certain immune-mediated adverse reactions, such as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utilizing this method of administration, including Dupixent, Praluent, or Kevzara.</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6" w:right="239" w:bottom="1440" w:gutter="0" w:footer="0" w:header="0"/>
        </w:sectPr>
      </w:pPr>
    </w:p>
    <w:bookmarkStart w:id="57" w:name="page58"/>
    <w:bookmarkEnd w:id="5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products (including EYLEA, Dupixent, Praluent, and Kevzara) are used and some of our products and product candidates may be used, if approved, in combination with a drug-delivery device, including a pre-filled syringe, patch pump, auto-injector, or other delivery system. For example, the FDA recently approved the 2mg EYLEA pre-filled syringe, which has not yet been launched commercially.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2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6" w:right="239" w:bottom="1440" w:gutter="0" w:footer="0" w:header="0"/>
        </w:sectPr>
      </w:pPr>
    </w:p>
    <w:bookmarkStart w:id="58" w:name="page59"/>
    <w:bookmarkEnd w:id="5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2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could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2,264,163 is the subject of opposition proceedings in the European Patent Office (EPO) (currently pending before its Boards of Appeal), as described in Note 11 to our Condensed Consolidated Financial Statements included in this report. We have pending patent applications in the United States Patent and Trademark Office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and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and/or our collaborator Sanofi are currently party to patent infringement proceedings initiated by Amgen against us and Sanofi relating to Praluent and patent infringement proceedings relating to Dupixent, as described in Note 11 to our Condensed Consolidated Financial Statements. In addition, we are currently party to patent infringement proceedings initiated by us relating to our patents that concern genetically altered mice capable of producing chimeric antibodies that are part human and part mouse, as described in Note 11 to our Condensed Consolidated Financial Statements.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Kevzara (sarilumab), and Libtayo (cemiplimab), our late-stage antibody-based pipeline includes fasinumab, an antibody to NGF, and evinacumab, an antibody to ANGPTL3.</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do not believe that any of our products or our late-stage antibody-based product candidates infringe any valid claim in these patents or patent applications, these other parties could initiate lawsuits for patent infringement and assert that their patents are valid and cover our products or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August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2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increased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As discussed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subject to strong competition</w:t>
      </w:r>
      <w:r>
        <w:rPr>
          <w:rFonts w:ascii="Times New Roman" w:cs="Times New Roman" w:eastAsia="Times New Roman" w:hAnsi="Times New Roman"/>
          <w:sz w:val="18"/>
          <w:szCs w:val="18"/>
          <w:color w:val="auto"/>
        </w:rPr>
        <w:t>" above, there are several companies developing biosimilar versions of EYLEA. The loss of market exclusivity for a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 EYLEA) would likely materially and negatively affect revenues from product sales of that product and thus our financial results and condition.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2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Kevzara, and Libtayo and, if approved, our product candidates or other indications for our marketed products, and to advance our clinical pipeline.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Our manufacturing facilities would be inadequate to produce the active pharmaceutical ingredients of (a) our current marketed products, including EYLEA, Dupixent, Praluent, Kevzara, and Libtayo, and (b) our antibody-based product candidates in sufficient clinical quantities if our clinical pipeline advances as planned. In addition to expanding our internal capacity, we intend to continue to rely on our collaborators, and may also rely on contract manufacturers, to produce commercial quantities of drug material needed for commercialization of our products. As we increase our production in anticipation of potential regulatory approval for our late-stage antibody-based product candidates, our current manufacturing capacity will likely not be sufficient, and our dependence on our collaborators and/or contract manufacturers may increase, to produce adequate quantities of drug material for both commercial and clinical purposes. We rely entirely on other parties and our collaborators for filling and finishing services, including with respect to drug-delivery devices (such as a pre-filled syringe, patch pump, auto-injector, or other delivery system).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conduct fill/finish or other related activities in the future.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This also holds true for establishing fill/finish capabilities in the future, for which we have taken initial steps.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and any future fill/finish activities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Kevzara, and Libtayo, and could also delay or require us to discontinue one or more of our clinical development programs. As a result, our business, prospects, operating results, and financial condition could be materially harmed.</w:t>
      </w:r>
    </w:p>
    <w:p>
      <w:pPr>
        <w:spacing w:after="0" w:line="2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other third parties involved in our manufacture and supply chain (which</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EYLEA, Dupixent, Praluent, Kevzara, or Libtayo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w:t>
      </w:r>
    </w:p>
    <w:p>
      <w:pPr>
        <w:spacing w:after="0" w:line="2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the facilities of any other party participating in the supply chain, would adversely affect our ability to supply our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facilities. We and our collaborators would be unable to manufacture these materials if the relevant facility were to cease production due to regulatory requirements or actions, business interruptions, labor shortages or disputes, contaminations, fire, natural disasters, acts of war or terrorism, or other problems.</w:t>
      </w:r>
    </w:p>
    <w:p>
      <w:pPr>
        <w:spacing w:after="0" w:line="2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4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or our collaborators' ability to manufacture or supply marketed products and product candidates, which could materially and adversely affect our business and future prospects.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or our collaborators are required to substitute for these sources to comply with European regulatory requirements, our clinical development or commercial activities may be delayed or interrupted.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they obtain regulatory approval, and a reduction in sales.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Our inability, or the inability of our collaborators and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our collaborators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Litigation Risks</w:t>
      </w:r>
    </w:p>
    <w:p>
      <w:pPr>
        <w:spacing w:after="0" w:line="2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and sell approved products in a way that violates federal or state healthcare laws, we may be subject to civil or criminal penalties.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 Recently, the Bipartisan Budget Act of 2018 increased the criminal and civil penalties that can be imposed for violating certain federal health care laws, including the federal anti-kickback statute.</w:t>
      </w:r>
    </w:p>
    <w:p>
      <w:pPr>
        <w:spacing w:after="0" w:line="24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w:t>
      </w:r>
    </w:p>
    <w:p>
      <w:pPr>
        <w:sectPr>
          <w:pgSz w:w="11900" w:h="16838" w:orient="portrait"/>
          <w:cols w:equalWidth="0" w:num="1">
            <w:col w:w="11420"/>
          </w:cols>
          <w:pgMar w:left="240" w:top="126"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26" w:right="239" w:bottom="1440" w:gutter="0" w:footer="0" w:header="0"/>
          <w:type w:val="continuous"/>
        </w:sectPr>
      </w:pPr>
    </w:p>
    <w:bookmarkStart w:id="63" w:name="page64"/>
    <w:bookmarkEnd w:id="6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11 to our Condensed Consolidated Financial Statements included in this report, we are cooperating with pending government investigations concerning certain of our business activities. Any adverse finding, allegation, or exercise of enforcement or regulatory discretion in such investigations could harm our business, prospects, operating results, and financial condition.</w:t>
      </w: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continue to dedicate significant resources to comply with these requirements and need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4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6" w:right="239" w:bottom="1440" w:gutter="0" w:footer="0" w:header="0"/>
        </w:sectPr>
      </w:pPr>
    </w:p>
    <w:bookmarkStart w:id="64" w:name="page65"/>
    <w:bookmarkEnd w:id="6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affecting the healthcare industry could adversely affect our business.</w:t>
      </w:r>
    </w:p>
    <w:p>
      <w:pPr>
        <w:spacing w:after="0" w:line="2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95" w:lineRule="exact"/>
        <w:rPr>
          <w:sz w:val="20"/>
          <w:szCs w:val="20"/>
          <w:color w:val="auto"/>
        </w:rPr>
      </w:pP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FDA and foreign regulatory processes for new therapeutics that may delay or prevent the approval of any of our current or future product candidates;</w:t>
      </w: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current U.S. administration and Congress could carry out significant changes in legislation, regulation, and government policy (including with respect to the possible repeal of all or portions of the PPACA, government reimbursement changes and drug price control measures, and changes in the existing treaty and trade relationships with other countries), as evidenced by statements and actions of President Trump and certain members of Congress (including those discussed above under "Risks Related to Commercialization of Our Marketed Products, Product Candidates, and New Indications for Our Marketed Products</w:t>
      </w:r>
    </w:p>
    <w:p>
      <w:pPr>
        <w:spacing w:after="0" w:line="3" w:lineRule="exact"/>
        <w:rPr>
          <w:sz w:val="20"/>
          <w:szCs w:val="20"/>
          <w:color w:val="auto"/>
        </w:rPr>
      </w:pPr>
    </w:p>
    <w:p>
      <w:pPr>
        <w:jc w:val="both"/>
        <w:ind w:firstLine="8"/>
        <w:spacing w:after="0" w:line="252" w:lineRule="auto"/>
        <w:tabs>
          <w:tab w:leader="none" w:pos="1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of our marketed products are dependent on the availability and extent of reimbursement from third-party payers, and changes to such reimbursement may materially harm our business, prospects, operating results, and financial condition</w:t>
      </w:r>
      <w:r>
        <w:rPr>
          <w:rFonts w:ascii="Times New Roman" w:cs="Times New Roman" w:eastAsia="Times New Roman" w:hAnsi="Times New Roman"/>
          <w:sz w:val="18"/>
          <w:szCs w:val="18"/>
          <w:color w:val="auto"/>
        </w:rPr>
        <w:t>"). While it is not possible to predict whether and when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6" w:right="239" w:bottom="1440" w:gutter="0" w:footer="0" w:header="0"/>
        </w:sectPr>
      </w:pPr>
    </w:p>
    <w:bookmarkStart w:id="65" w:name="page66"/>
    <w:bookmarkEnd w:id="6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 collaborators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reputation and our business, prospects, operating results,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 referendum held in the United Kingdom, voters have approved an exit from the EU, commonly referred to as "Brexit." As a result of the referendum, the British government has been negotiating the terms of the United Kingdom's future relationship with the EU. The outcome of these negotiations is uncertain, and we do not know to what extent Brexit (or the expectations that Brexit will occur) will ultimately impact the business and regulatory environment in the United Kingdom, the rest of the EU, or other countries. We have large-scale manufacturing operations in Limerick, Ireland and have also established an office in the vicinity of London.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2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changes in tax laws and regulations, and tax effects of the accounting for stock-based compensation (which depend in part on the price of our stock and, therefore, are beyond our control). Changes in tax laws of various jurisdictions in which we do business could also result from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liability related to the privacy of health information and other personal information we obtain from clinical trials sponsored by us or our collaborators, from research institutions and our collaborators, and directly from individuals.</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clinical trial programs and research collaborations outside the U.S. (such as our consortium with a group of companies to fund the generation of genetic exome sequence data from the UK Biobank health resource) may implicate international data protection laws, including the European Union's General Data Protection Regulation (GDPR). The GDPR has created a range of new compliance obligations, including increased transparency requirements and new data subject rights. Violations of the GDPR carry significant financial penalties for noncompliance (including possible fines of up to 4% of global annual turnover for the preceding financial year or €20 million (whichever is higher) for the most serious infringements). In addition to the GDPR, certain EU Member States have issued or will be issuing their own implementation legislation. While we continue to monitor these developments, there remains some uncertainty surrounding the legal and regulatory environment for these evolving privacy and data protection laws. Complying with varying jurisdictional requirements could increase the costs and complexity of compliance, including the new risk of substantial financial penalties for data breach or improper processing of personal data under the GDPR. Failure by our collaborators to comply with the strict rules on the transfer of personal data outside of the EU into the U.S. may result in the imposition of criminal and administrative sanctions on such collaborators, which could adversely affect our business and could create liability for us.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and other personal information. Moreover, patients about whom we or our collaborators obtain health or other personal information, as well as the providers who share this information with us, may have statutory or contractual rights that limit our ability to use and disclose the information. We are likely to be required to expend significant capital and other resources to ensure ongoing compliance with applicable privacy and data security laws both inside and outside the United States.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prevent, or substantially increase the cost of marketing and sales of any affected products that we are able to commercialize. Any threatened or actual government enforcement action could also generate adverse publicity and require that we devote substantial resources that could otherwise be used in other aspects of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use of social media could give rise to liability, breaches of data security, or reputational damage.</w:t>
      </w: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or our IO Collaboration with Sanofi is terminated, our business, prospects, operating results, and financial condition, and our ability to develop, manufacture, and commercialize certain of our products and product candidates in the time expected, or at all, would be materially harmed.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funding and support from Sanofi to develop, manufacture, and commercialize certain of our products and product candidates. With respect to Dupixent, Praluent, Kevzara, and REGN3500, which we are co-developing with Sanofi under our Antibody Collaboration, Sanofi funds a significant portion of development expenses incurred in connection with the development of these products. In addition, we rely on Sanofi to lead much of the clinical development efforts, assist with or lead efforts to obtain and maintain regulatory approvals, and lead the commercialization efforts for these products and product candidates.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amendment and restatement of our IO Discovery and Development Agreement with Sanofi (which forms part of our IO Collaboration), we have all rights to, and we fund and conduct on our own all research, development, manufacturing, and commercialization activities to support, all of our immuno-oncology product candidates other than MUC16xCD3 Program antibodies (such as REGN4018) and BCMAxCD3 Program antibodies (such as REGN5458 and REGN5459). If Sanofi does not elect to co-develop MUC16xCD3 Program antibodies or BCMAxCD3 Program antibodies under our IO Collaboration, or opts out of their development under our IO Collaboration, we will be required to fund and conduct on our own all such efforts to support those product candidates, unless we enter into arrangements with other parties.</w:t>
      </w:r>
    </w:p>
    <w:p>
      <w:pPr>
        <w:sectPr>
          <w:pgSz w:w="11900" w:h="16838" w:orient="portrait"/>
          <w:cols w:equalWidth="0" w:num="1">
            <w:col w:w="11420"/>
          </w:cols>
          <w:pgMar w:left="240" w:top="126"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26" w:right="239" w:bottom="1440" w:gutter="0" w:footer="0" w:header="0"/>
          <w:type w:val="continuous"/>
        </w:sectPr>
      </w:pPr>
    </w:p>
    <w:bookmarkStart w:id="67" w:name="page68"/>
    <w:bookmarkEnd w:id="67"/>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Sanofi elects to co-develop BCMAxCD3 Program antibodies and/or MUC16xCD3 Program antibodies under our IO Collaboration, Sanofi will initially fund the development expenses incurred in connection with the development of BCMAxCD3 Program antibodies, for which Sanofi will be the principal controlling party, and half of the development expenses incurred in connection with the clinical development of MUC16xCD3 Program antibodies, for which we will be the principal controlling party. Under our IO Collaboration, Sanofi also funds half of the development expenses incurred in connection with the clinical development of Libtayo, subject to an agreed-upon development budget. In addition, if Sanofi elects to co-develop BCMAxCD3 Program antibodies, Sanofi will lead much of the clinical development efforts and assist with obtaining and maintaining regulatory approval. We also rely on Sanofi to lead commercialization efforts outside the United States for Libtayo. Following regulatory approval, we will rely on Sanofi to lead (i) the commercialization efforts in the United States for BCMAxCD3 Program antibodies and (ii) the commercialization efforts outside the United States for MUC16xCD3 Program antibodies and BCMAxCD3 Program antibodies.</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or our IO Collaboration, such as Libtayo (see also "Risks Related to Commercialization of Products - </w:t>
      </w:r>
      <w:r>
        <w:rPr>
          <w:rFonts w:ascii="Times New Roman" w:cs="Times New Roman" w:eastAsia="Times New Roman" w:hAnsi="Times New Roman"/>
          <w:sz w:val="18"/>
          <w:szCs w:val="18"/>
          <w:i w:val="1"/>
          <w:iCs w:val="1"/>
          <w:color w:val="auto"/>
        </w:rPr>
        <w:t>If we need to establish commercial capabilities outside the United States and are unable to do so,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or the IO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create substantial new and additional risks to the successful development and commercialization of (i) Dupixent, Praluent, and Kevzara and (ii) Libtayo, respectively, particularly outside the United States.</w:t>
      </w:r>
    </w:p>
    <w:p>
      <w:pPr>
        <w:spacing w:after="0" w:line="2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commercialize EYLEA outside the United States would be materially harmed.</w:t>
      </w:r>
    </w:p>
    <w:p>
      <w:pPr>
        <w:spacing w:after="0" w:line="2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rely heavily on Bayer with respect to the commercialization of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delays in the commercialization of EYLEA outside the United States and result in substantial additional costs and/or lower revenues to us. We have limited commercial capabilities outside the United States and would have to develop or outsource these capabilities (see also "Risks Related to Commercialization of Products - </w:t>
      </w:r>
      <w:r>
        <w:rPr>
          <w:rFonts w:ascii="Times New Roman" w:cs="Times New Roman" w:eastAsia="Times New Roman" w:hAnsi="Times New Roman"/>
          <w:sz w:val="18"/>
          <w:szCs w:val="18"/>
          <w:i w:val="1"/>
          <w:iCs w:val="1"/>
          <w:color w:val="auto"/>
        </w:rPr>
        <w:t>If we need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commercial capabilities outside the United States and are unable to do so,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 agreement would create substantial new and additional risks to the successful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commercialization of EYLEA outside the United States.</w:t>
      </w:r>
    </w:p>
    <w:p>
      <w:pPr>
        <w:spacing w:after="0" w:line="2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upon third-party collaborators, including Sanofi,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arrangements with them, these third parties may not perform adequately. If these service providers do not perform their services adequately, sales of our marketed products will suffer.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Employees</w:t>
      </w:r>
    </w:p>
    <w:p>
      <w:pPr>
        <w:spacing w:after="0" w:line="2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and George D. Yancopoulos, M.D., Ph.D., our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manufacture, and commercialization of drugs. We may not be able to continue to attract and retain the qualified personnel necessary to continue to advance our business and achieve our strategic objectives.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Risks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Results, Liquidity, and Need for Additional Financing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sustain profitability, our business, prospects, operating results, and financial condition would be materially harmed.</w:t>
      </w:r>
    </w:p>
    <w:p>
      <w:pPr>
        <w:spacing w:after="0" w:line="2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cannot sustain profitability, we may be unable to continue our operations. In the absence of substantial revenue from the sale of products on an ongoing basis, including our sales of EYLEA, our share of the profits from Bayer's sales of EYLEA outside the United States, funding we receive under our collaboration agreements,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6" w:right="239" w:bottom="1440" w:gutter="0" w:footer="0" w:header="0"/>
        </w:sectPr>
      </w:pPr>
    </w:p>
    <w:bookmarkStart w:id="69" w:name="page70"/>
    <w:bookmarkEnd w:id="69"/>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a $720.0 million lease financing for our existing corporate headquarters and other rentable area consisting of approximately 150 acres of predominately office buildings and laboratory space located in the towns of Mount Pleasant and Greenburgh, New York,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Conversely,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2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2019, we had $1,384.8 million in cash and cash equivalents and $4,605.7 million in marketable securities (including $429.7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6" w:right="239" w:bottom="1440" w:gutter="0" w:footer="0" w:header="0"/>
        </w:sectPr>
      </w:pPr>
    </w:p>
    <w:bookmarkStart w:id="70" w:name="page71"/>
    <w:bookmarkEnd w:id="70"/>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Dupixent, and Libtayo, as well as our overall operating results;</w:t>
      </w:r>
    </w:p>
    <w:p>
      <w:pPr>
        <w:ind w:left="660" w:right="2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needed on favorable terms;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directors, or significant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 by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 owned by a small number of our principal shareholders. As a result, the public float of our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6" w:right="239" w:bottom="1440" w:gutter="0" w:footer="0" w:header="0"/>
        </w:sectPr>
      </w:pPr>
    </w:p>
    <w:bookmarkStart w:id="71" w:name="page72"/>
    <w:bookmarkEnd w:id="71"/>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2019, our five largest shareholders (including our largest shareholder Sanofi) plus Dr. Schleifer, our Chief Executive Officer, beneficially owned approximately 44.8% of our outstanding shares of Common Stock, assuming, in the case of our Chief Executive Officer, the conversion of his Class A Stock into Common Stock and the exercise of all options held by him which are exercisable within 60 days of September 30, 2019. As of September 30, 2019, Sanofi beneficially owned 23,350,365 shares of our Common Stock, representing approximately 21.7%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(other than with respect to an aggregate of up to 869,828 shares, as to which we have agreed to waive the lock-up during the term of the letter agreement with Sanofi described below under "</w:t>
      </w:r>
      <w:r>
        <w:rPr>
          <w:rFonts w:ascii="Times New Roman" w:cs="Times New Roman" w:eastAsia="Times New Roman" w:hAnsi="Times New Roman"/>
          <w:sz w:val="18"/>
          <w:szCs w:val="18"/>
          <w:i w:val="1"/>
          <w:iCs w:val="1"/>
          <w:color w:val="auto"/>
        </w:rPr>
        <w:t>Our existing shareholders may be able to exert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 and which currently remain available to be sold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agreement). These restrictions on dispositions are subject to earlier termination upon the occurrence of certain events, such as the consummation of a change-of-control transaction involving us or a dissolution or liquidation of our Company. If Sanofi, our other significant shareholders, or we sell substantial amounts of our Common Stock in the public market (including, in the case of Sanofi, as a result of the lock-up waiver referred to above),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repurchase shares of our Common Stock or that we will repurchase shares at favorable prices.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a share repurchase program to repurchase up to $1.0 billion of our Common Stock. Any share repurchases will depend upon, among other factors, our cash balances and potential future capital requirements, our results of operations and financial condition, and other factors that we may deem relevant. We can provide no assurance that we will repurchase shares of our Common Stock at favorable prices, if at all.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significant influence over matters requiring shareholder approval and over our management.</w:t>
      </w:r>
    </w:p>
    <w:p>
      <w:pPr>
        <w:spacing w:after="0" w:line="2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2019, holders of Class A Stock held 14.6%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2019:</w:t>
      </w:r>
    </w:p>
    <w:p>
      <w:pPr>
        <w:spacing w:after="0" w:line="107" w:lineRule="exact"/>
        <w:rPr>
          <w:sz w:val="20"/>
          <w:szCs w:val="20"/>
          <w:color w:val="auto"/>
        </w:rPr>
      </w:pPr>
    </w:p>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9.5% of our outstanding shares of Common Stock, assuming conversion of their Class A Stock into Common Stock and the exercise of all options held by such persons which are exercisable within 60 days of September 30, 2019, and 20.3% of the combined voting power of our outstanding shares of Common Stock and Class A Stock, assuming the exercise of all options held by such persons which are exercisable within 60 days of September 30, 2019; and</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(including our largest shareholder Sanofi) plus Dr. Schleifer, our Chief Executive Officer, beneficially owned approximately 44.8% of our outstanding shares of Common Stock, assuming, in the case of our Chief Executive Officer, the conversion of his Class A Stock into Common Stock and the exercise of all options held by him which are exercisable within 60 days of September 30, 2019. In addition, these five shareholders plus our Chief Executive Officer held approximately 51.1% of the combined voting power of our outstanding shares of Common Stock and Class A Stock, assuming the exercise of all options held by our Chief Executive Officer which are exercisable within 60 days of September 30, 2019.</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(other than during the term of the letter agreement described below)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(Highest Percentage Threshold).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1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7, 2018, we and Sanofi and certain of Sanofi's direct and indirect subsidiaries entered into a letter agreement in connection with (a) the increase of the development budget amount for Libtayo set forth in the IO License and Collaboration Agreement and (b) the allocation of additional funds to certain proposed activities relating to the Dupilumab/REGN3500 Eligible Investments. Pursuant to the letter agreement, we have agreed, among other things, to grant a limited waiver of Sanofi's obligation to maintain the Highest Percentage Threshold during the term of the letter agreement in order to allow Sanofi to satisfy in whole or in part (a) its funding obligations with respect to the Libtayo development costs under the IO License and Collaboration Agreement for the quarterly periods commencing on October 1, 2017 and ending on September 30, 2020 by selling up to 800,000 shares of our Common Stock directly or indirectly owned by Sanofi (of which 373,880 currently remains available) and (b) its funding obligations with respect to the costs incurred by or on behalf of the parties to the Antibody License and Collaboration Agreement with respect to the Dupilumab/REGN3500 Eligible Investments for the quarterly periods commencing on January 1, 2018 and ending on September 30, 2020 by selling up to 600,000 shares of our Common Stock directly or indirectly owned by Sanofi (of which 495,948 currently remains available). If Sanofi desires to sell shares of our Common Stock during the term of the letter agreement to satisfy a portion or all of its funding obligations for the Libtayo development and/or Dupilumab/REGN3500 Eligible Investments, we may elect to purchase, in whole or in part, such shares from Sanofi. If we do not elect to purchase such shares, Sanofi may sell the applicable number of shares (subject to certain daily and quarterly limits) in one or more open-market transactions. In addition, we and Sanofi have agreed that, upon termination of the letter agreement, the amended and restated investor agreement will be amended to define "Highest Percentage Threshold" as the lower of (i) 25% of our outstanding shares of Class A Stock and Common Stock (taken together) and (ii) the higher of (a) Sanofi's percentage ownership of Class A Stock and Common Stock (taken together) on such termination date and (b) the highest percentage ownership of our outstanding shares of Class A Stock and Common Stock (taken together) Sanofi attains following such termination date.</w:t>
      </w:r>
    </w:p>
    <w:p>
      <w:pPr>
        <w:spacing w:after="0" w:line="1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9" w:lineRule="exact"/>
        <w:rPr>
          <w:sz w:val="20"/>
          <w:szCs w:val="20"/>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so that it would take three successive annual shareholder meetings to replace all of our directors;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significant influence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over matters requiring shareholder approval and over our management.</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126" w:right="239" w:bottom="1440" w:gutter="0" w:footer="0" w:header="0"/>
        </w:sectPr>
      </w:pPr>
    </w:p>
    <w:bookmarkStart w:id="73" w:name="page74"/>
    <w:bookmarkEnd w:id="73"/>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jc w:val="both"/>
        <w:ind w:firstLine="8"/>
        <w:spacing w:after="0" w:line="255"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Similarly, pursuant to our 2016 ANG2 license and collaboration agreement with Bayer (which was terminated on November 1, 2018 by agreement of the parties but whose "standstill" provisions continue to be in effect as described below),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November 1, 2023;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Times New Roman" w:cs="Times New Roman" w:eastAsia="Times New Roman" w:hAnsi="Times New Roman"/>
          <w:sz w:val="18"/>
          <w:szCs w:val="18"/>
          <w:i w:val="1"/>
          <w:iCs w:val="1"/>
          <w:color w:val="auto"/>
        </w:rPr>
        <w:t>Our existing shareholders may be able to exert significant influence over matters requiring shareholder approval and over our management</w:t>
      </w:r>
      <w:r>
        <w:rPr>
          <w:rFonts w:ascii="Times New Roman" w:cs="Times New Roman" w:eastAsia="Times New Roman" w:hAnsi="Times New Roman"/>
          <w:sz w:val="18"/>
          <w:szCs w:val="18"/>
          <w:color w:val="auto"/>
        </w:rPr>
        <w:t>," a Sanofi designee currently serves on our board of directors. These contractual provisions may also have the effect of deterring, delaying, or preventing an acquisition or other change in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26" w:right="239" w:bottom="1440" w:gutter="0" w:footer="0" w:header="0"/>
        </w:sectPr>
      </w:pPr>
    </w:p>
    <w:bookmarkStart w:id="74" w:name="page75"/>
    <w:bookmarkEnd w:id="74"/>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reflects shares of Common Stock we elected to purchase from Sanofi during the third quarter of 2019 pursuant to the terms of the Letter Agreement relating to Sanofi's funding obligation in connection with (i) Libtayo development costs incurred under the IO License and Collaboration Agreement and (ii) certain activities relating to dupilumab and REGN3500 incurred under the LCA. See Part I, Item 2. "Liquidity and Capital Resources - Sanofi Funding of Certain Development Costs" for further information.</w:t>
      </w:r>
    </w:p>
    <w:p>
      <w:pPr>
        <w:spacing w:after="0" w:line="365"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 Units) Purchased as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(or Units) that</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Yet Be Purchased</w:t>
            </w:r>
          </w:p>
        </w:tc>
      </w:tr>
      <w:tr>
        <w:trPr>
          <w:trHeight w:val="216"/>
        </w:trPr>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 or</w:t>
            </w:r>
          </w:p>
        </w:tc>
      </w:tr>
      <w:tr>
        <w:trPr>
          <w:trHeight w:val="238"/>
        </w:trPr>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(or Units) Purchased</w:t>
            </w:r>
          </w:p>
        </w:tc>
        <w:tc>
          <w:tcPr>
            <w:tcW w:w="26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7"/>
        </w:trPr>
        <w:tc>
          <w:tcPr>
            <w:tcW w:w="1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58"/>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9/1/2019–9/30/2019</w:t>
            </w:r>
          </w:p>
        </w:tc>
        <w:tc>
          <w:tcPr>
            <w:tcW w:w="2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172,904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281.15</w:t>
            </w:r>
          </w:p>
        </w:tc>
        <w:tc>
          <w:tcPr>
            <w:tcW w:w="120" w:type="dxa"/>
            <w:vAlign w:val="bottom"/>
          </w:tcPr>
          <w:p>
            <w:pPr>
              <w:spacing w:after="0"/>
              <w:rPr>
                <w:sz w:val="24"/>
                <w:szCs w:val="24"/>
                <w:color w:val="auto"/>
              </w:rPr>
            </w:pPr>
          </w:p>
        </w:tc>
        <w:tc>
          <w:tcPr>
            <w:tcW w:w="20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(a)</w:t>
        <w:tab/>
        <w:t>Exhibits</w:t>
      </w:r>
    </w:p>
    <w:p>
      <w:pPr>
        <w:spacing w:after="0" w:line="30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u w:val="single" w:color="auto"/>
          <w:color w:val="auto"/>
        </w:rPr>
        <w:t>Exhibit</w:t>
      </w:r>
    </w:p>
    <w:p>
      <w:pPr>
        <w:spacing w:after="0" w:line="31" w:lineRule="exact"/>
        <w:rPr>
          <w:sz w:val="20"/>
          <w:szCs w:val="20"/>
          <w:color w:val="auto"/>
        </w:rPr>
      </w:pPr>
    </w:p>
    <w:p>
      <w:pPr>
        <w:ind w:left="1060"/>
        <w:spacing w:after="0"/>
        <w:tabs>
          <w:tab w:leader="none" w:pos="208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22860</wp:posOffset>
            </wp:positionV>
            <wp:extent cx="593471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34710" cy="308610"/>
                    </a:xfrm>
                    <a:prstGeom prst="rect">
                      <a:avLst/>
                    </a:prstGeom>
                    <a:noFill/>
                  </pic:spPr>
                </pic:pic>
              </a:graphicData>
            </a:graphic>
          </wp:anchor>
        </w:drawing>
      </w:r>
    </w:p>
    <w:p>
      <w:pPr>
        <w:spacing w:after="0" w:line="25" w:lineRule="exact"/>
        <w:rPr>
          <w:sz w:val="20"/>
          <w:szCs w:val="20"/>
          <w:color w:val="auto"/>
        </w:rPr>
      </w:pPr>
    </w:p>
    <w:p>
      <w:pPr>
        <w:ind w:left="1060"/>
        <w:spacing w:after="0"/>
        <w:tabs>
          <w:tab w:leader="none" w:pos="2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hyperlink w:anchor="page77">
        <w:r>
          <w:rPr>
            <w:rFonts w:ascii="Times New Roman" w:cs="Times New Roman" w:eastAsia="Times New Roman" w:hAnsi="Times New Roman"/>
            <w:sz w:val="18"/>
            <w:szCs w:val="18"/>
            <w:u w:val="single" w:color="auto"/>
            <w:color w:val="0000FF"/>
          </w:rPr>
          <w:t>Certification of Principal Executive Officer pursuant to Rule 13a-14(a) under the Securities Exchange Act of</w:t>
        </w:r>
      </w:hyperlink>
    </w:p>
    <w:p>
      <w:pPr>
        <w:spacing w:after="0" w:line="27" w:lineRule="exact"/>
        <w:rPr>
          <w:sz w:val="20"/>
          <w:szCs w:val="20"/>
          <w:color w:val="auto"/>
        </w:rPr>
      </w:pPr>
    </w:p>
    <w:p>
      <w:pPr>
        <w:ind w:left="210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1934.</w:t>
        </w:r>
      </w:hyperlink>
    </w:p>
    <w:p>
      <w:pPr>
        <w:spacing w:after="0" w:line="45" w:lineRule="exact"/>
        <w:rPr>
          <w:sz w:val="20"/>
          <w:szCs w:val="20"/>
          <w:color w:val="auto"/>
        </w:rPr>
      </w:pPr>
    </w:p>
    <w:p>
      <w:pPr>
        <w:ind w:left="1060"/>
        <w:spacing w:after="0"/>
        <w:tabs>
          <w:tab w:leader="none" w:pos="20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hyperlink w:anchor="page79">
        <w:r>
          <w:rPr>
            <w:rFonts w:ascii="Times New Roman" w:cs="Times New Roman" w:eastAsia="Times New Roman" w:hAnsi="Times New Roman"/>
            <w:sz w:val="18"/>
            <w:szCs w:val="18"/>
            <w:u w:val="single" w:color="auto"/>
            <w:color w:val="0000FF"/>
          </w:rPr>
          <w:t>Certification of Principal Financial Officer pursuant to Rule 13a-14(a) 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593471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spacing w:after="0" w:line="43" w:lineRule="exact"/>
        <w:rPr>
          <w:sz w:val="20"/>
          <w:szCs w:val="20"/>
          <w:color w:val="auto"/>
        </w:rPr>
      </w:pPr>
    </w:p>
    <w:p>
      <w:pPr>
        <w:ind w:left="2100" w:hanging="1032"/>
        <w:spacing w:after="0"/>
        <w:tabs>
          <w:tab w:leader="none" w:pos="2100" w:val="left"/>
        </w:tabs>
        <w:numPr>
          <w:ilvl w:val="0"/>
          <w:numId w:val="29"/>
        </w:numPr>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hyperlink>
    </w:p>
    <w:p>
      <w:pPr>
        <w:spacing w:after="0" w:line="63" w:lineRule="exact"/>
        <w:rPr>
          <w:sz w:val="20"/>
          <w:szCs w:val="20"/>
          <w:color w:val="auto"/>
        </w:rPr>
      </w:pPr>
    </w:p>
    <w:p>
      <w:pPr>
        <w:ind w:left="2100" w:right="1060" w:hanging="1032"/>
        <w:spacing w:after="0" w:line="255" w:lineRule="auto"/>
        <w:tabs>
          <w:tab w:leader="none" w:pos="21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September 30, 2019 and December 31, 2018; (ii) the Registrant's Condensed Consolidated Statements of Operations and Comprehensive Income for the three and nine months ended September 30, 2019 and 2018; (iii) the Registrant's Condensed Consolidated Statements of Stockholders’ Equity for the three and nine months ended September 30, 2019 and 2018; (iv) the Registrant's Condensed Consolidated Statements of Cash Flows for the nine months ended September 30, 2019 and 2018;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9525</wp:posOffset>
            </wp:positionV>
            <wp:extent cx="593471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34710" cy="171450"/>
                    </a:xfrm>
                    <a:prstGeom prst="rect">
                      <a:avLst/>
                    </a:prstGeom>
                    <a:noFill/>
                  </pic:spPr>
                </pic:pic>
              </a:graphicData>
            </a:graphic>
          </wp:anchor>
        </w:drawing>
      </w:r>
    </w:p>
    <w:p>
      <w:pPr>
        <w:spacing w:after="0" w:line="3" w:lineRule="exact"/>
        <w:rPr>
          <w:sz w:val="20"/>
          <w:szCs w:val="20"/>
          <w:color w:val="auto"/>
        </w:rPr>
      </w:pPr>
    </w:p>
    <w:p>
      <w:pPr>
        <w:ind w:left="5620" w:right="2740" w:hanging="4552"/>
        <w:spacing w:after="0" w:line="846" w:lineRule="auto"/>
        <w:tabs>
          <w:tab w:leader="none" w:pos="21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73</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Times New Roman" w:cs="Times New Roman" w:eastAsia="Times New Roman" w:hAnsi="Times New Roman"/>
          <w:sz w:val="16"/>
          <w:szCs w:val="16"/>
          <w:u w:val="single" w:color="auto"/>
          <w:color w:val="0000EE"/>
        </w:rPr>
      </w:pPr>
      <w:hyperlink w:anchor="page2">
        <w:r>
          <w:rPr>
            <w:rFonts w:ascii="Times New Roman" w:cs="Times New Roman" w:eastAsia="Times New Roman" w:hAnsi="Times New Roman"/>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160" w:val="left"/>
          <w:tab w:leader="none" w:pos="47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Robert E. Landry</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Robert E. Landry</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Date: November 5, 2019</w:t>
            </w:r>
          </w:p>
        </w:tc>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211" w:lineRule="exact"/>
        <w:rPr>
          <w:rFonts w:ascii="Times New Roman" w:cs="Times New Roman" w:eastAsia="Times New Roman" w:hAnsi="Times New Roman"/>
          <w:sz w:val="18"/>
          <w:szCs w:val="18"/>
          <w:color w:val="auto"/>
        </w:rPr>
      </w:pPr>
    </w:p>
    <w:p>
      <w:pPr>
        <w:ind w:left="340" w:right="120" w:hanging="332"/>
        <w:spacing w:after="0" w:line="362" w:lineRule="auto"/>
        <w:tabs>
          <w:tab w:leader="none" w:pos="3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left="340" w:right="580" w:hanging="332"/>
        <w:spacing w:after="0" w:line="329"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80" w:hanging="332"/>
        <w:spacing w:after="0" w:line="313"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980" w:right="220" w:hanging="324"/>
        <w:spacing w:after="0" w:line="313"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980" w:right="540" w:hanging="324"/>
        <w:spacing w:after="0" w:line="313"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980" w:right="720" w:hanging="324"/>
        <w:spacing w:after="0" w:line="362" w:lineRule="auto"/>
        <w:tabs>
          <w:tab w:leader="none" w:pos="9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260" w:hanging="324"/>
        <w:spacing w:after="0" w:line="313"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340" w:right="520" w:hanging="332"/>
        <w:spacing w:after="0" w:line="329"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120" w:hanging="324"/>
        <w:spacing w:after="0" w:line="329"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100" w:hanging="324"/>
        <w:spacing w:after="0" w:line="329"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48" w:right="239" w:bottom="1440" w:gutter="0" w:footer="0" w:header="0"/>
        </w:sectPr>
      </w:pPr>
    </w:p>
    <w:bookmarkStart w:id="79" w:name="page80"/>
    <w:bookmarkEnd w:id="79"/>
    <w:p>
      <w:pPr>
        <w:ind w:left="3240" w:right="4319" w:hanging="4035"/>
        <w:spacing w:after="0" w:line="364" w:lineRule="auto"/>
        <w:tabs>
          <w:tab w:leader="none" w:pos="3220" w:val="left"/>
        </w:tabs>
        <w:rPr>
          <w:sz w:val="20"/>
          <w:szCs w:val="20"/>
          <w:color w:val="auto"/>
        </w:rPr>
      </w:pPr>
      <w:r>
        <w:rPr>
          <w:rFonts w:ascii="Times New Roman" w:cs="Times New Roman" w:eastAsia="Times New Roman" w:hAnsi="Times New Roman"/>
          <w:sz w:val="18"/>
          <w:szCs w:val="18"/>
          <w:color w:val="auto"/>
        </w:rPr>
        <w:t>Date: November 5, 2019</w:t>
      </w:r>
      <w:r>
        <w:rPr>
          <w:sz w:val="20"/>
          <w:szCs w:val="20"/>
          <w:color w:val="auto"/>
        </w:rPr>
        <w:tab/>
      </w:r>
      <w:r>
        <w:rPr>
          <w:rFonts w:ascii="Times New Roman" w:cs="Times New Roman" w:eastAsia="Times New Roman" w:hAnsi="Times New Roman"/>
          <w:sz w:val="17"/>
          <w:szCs w:val="17"/>
          <w:u w:val="single" w:color="auto"/>
          <w:color w:val="auto"/>
        </w:rPr>
        <w:t xml:space="preserve">/s/ Robert E. Landry </w:t>
      </w:r>
      <w:r>
        <w:rPr>
          <w:rFonts w:ascii="Times New Roman" w:cs="Times New Roman" w:eastAsia="Times New Roman" w:hAnsi="Times New Roman"/>
          <w:sz w:val="17"/>
          <w:szCs w:val="17"/>
          <w:color w:val="auto"/>
        </w:rPr>
        <w:t>Robert E. Landry</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Executive Vice President, Finance and Chief</w:t>
      </w:r>
    </w:p>
    <w:p>
      <w:pPr>
        <w:spacing w:after="0" w:line="3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463550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2019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2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November 5, 2019</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November 5, 2019</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lowerRoman"/>
      <w:start w:val="4"/>
    </w:lvl>
  </w:abstractNum>
  <w:abstractNum w:abstractNumId="28">
    <w:nsid w:val="737B8DDC"/>
    <w:multiLevelType w:val="hybridMultilevel"/>
    <w:lvl w:ilvl="0">
      <w:lvlJc w:val="left"/>
      <w:lvlText w:val="%1"/>
      <w:numFmt w:val="decimal"/>
      <w:start w:val="32"/>
    </w:lvl>
  </w:abstractNum>
  <w:abstractNum w:abstractNumId="29">
    <w:nsid w:val="6CEAF087"/>
    <w:multiLevelType w:val="hybridMultilevel"/>
    <w:lvl w:ilvl="0">
      <w:lvlJc w:val="left"/>
      <w:lvlText w:val="%1"/>
      <w:numFmt w:val="decimal"/>
      <w:start w:val="101"/>
    </w:lvl>
  </w:abstractNum>
  <w:abstractNum w:abstractNumId="30">
    <w:nsid w:val="22221A70"/>
    <w:multiLevelType w:val="hybridMultilevel"/>
    <w:lvl w:ilvl="0">
      <w:lvlJc w:val="left"/>
      <w:lvlText w:val="%1"/>
      <w:numFmt w:val="decimal"/>
      <w:start w:val="104"/>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2019-12-28T02:38:26Z</dcterms:created>
  <dcterms:modified xsi:type="dcterms:W3CDTF">2019-12-28T02:38:26Z</dcterms:modified>
</cp:coreProperties>
</file>