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June 30, 2025</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July 24, 2025:</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104,170,296</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2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240" w:type="dxa"/>
            <w:vAlign w:val="bottom"/>
            <w:gridSpan w:val="5"/>
            <w:shd w:val="clear" w:color="auto" w:fill="CCEEFF"/>
          </w:tcPr>
          <w:p>
            <w:pPr>
              <w:jc w:val="center"/>
              <w:ind w:left="99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09"/>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210"/>
        </w:trPr>
        <w:tc>
          <w:tcPr>
            <w:tcW w:w="9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280" w:type="dxa"/>
            <w:vAlign w:val="bottom"/>
            <w:gridSpan w:val="17"/>
            <w:shd w:val="clear" w:color="auto" w:fill="CCEEFF"/>
          </w:tcPr>
          <w:p>
            <w:pPr>
              <w:ind w:left="26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162"/>
        </w:trPr>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gridSpan w:val="2"/>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580" w:type="dxa"/>
            <w:vAlign w:val="bottom"/>
            <w:tcBorders>
              <w:top w:val="single" w:sz="8" w:color="CCEEFF"/>
            </w:tcBorders>
          </w:tcPr>
          <w:p>
            <w:pPr>
              <w:spacing w:after="0"/>
              <w:rPr>
                <w:sz w:val="14"/>
                <w:szCs w:val="14"/>
                <w:color w:val="auto"/>
              </w:rPr>
            </w:pPr>
          </w:p>
        </w:tc>
        <w:tc>
          <w:tcPr>
            <w:tcW w:w="600" w:type="dxa"/>
            <w:vAlign w:val="bottom"/>
            <w:tcBorders>
              <w:top w:val="single" w:sz="8" w:color="CCEEFF"/>
            </w:tcBorders>
          </w:tcPr>
          <w:p>
            <w:pPr>
              <w:spacing w:after="0"/>
              <w:rPr>
                <w:sz w:val="14"/>
                <w:szCs w:val="14"/>
                <w:color w:val="auto"/>
              </w:rPr>
            </w:pPr>
          </w:p>
        </w:tc>
        <w:tc>
          <w:tcPr>
            <w:tcW w:w="460" w:type="dxa"/>
            <w:vAlign w:val="bottom"/>
            <w:tcBorders>
              <w:top w:val="single" w:sz="8" w:color="CCEE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r>
      <w:tr>
        <w:trPr>
          <w:trHeight w:val="189"/>
        </w:trPr>
        <w:tc>
          <w:tcPr>
            <w:tcW w:w="81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240" w:type="dxa"/>
            <w:vAlign w:val="bottom"/>
            <w:gridSpan w:val="5"/>
            <w:shd w:val="clear" w:color="auto" w:fill="CCEEFF"/>
          </w:tcPr>
          <w:p>
            <w:pPr>
              <w:jc w:val="center"/>
              <w:ind w:left="97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
        </w:trPr>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w:t>
      </w:r>
    </w:p>
    <w:p>
      <w:pPr>
        <w:jc w:val="both"/>
        <w:ind w:right="20"/>
        <w:spacing w:after="0" w:line="188" w:lineRule="auto"/>
        <w:rPr>
          <w:sz w:val="20"/>
          <w:szCs w:val="20"/>
          <w:color w:val="auto"/>
        </w:rPr>
      </w:pPr>
      <w:r>
        <w:rPr>
          <w:rFonts w:ascii="Times New Roman" w:cs="Times New Roman" w:eastAsia="Times New Roman" w:hAnsi="Times New Roman"/>
          <w:sz w:val="17"/>
          <w:szCs w:val="17"/>
          <w:color w:val="auto"/>
        </w:rPr>
        <w:t>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1333500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0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71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Borders>
              <w:bottom w:val="single" w:sz="8" w:color="CCEEFF"/>
            </w:tcBorders>
          </w:tcPr>
          <w:p>
            <w:pPr>
              <w:spacing w:after="0"/>
              <w:rPr>
                <w:sz w:val="20"/>
                <w:szCs w:val="20"/>
                <w:color w:val="auto"/>
              </w:rPr>
            </w:pPr>
          </w:p>
        </w:tc>
        <w:tc>
          <w:tcPr>
            <w:tcW w:w="7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160" w:type="dxa"/>
            <w:vAlign w:val="bottom"/>
            <w:shd w:val="clear" w:color="auto" w:fill="CCEEFF"/>
          </w:tcPr>
          <w:p>
            <w:pPr>
              <w:spacing w:after="0"/>
              <w:rPr>
                <w:sz w:val="18"/>
                <w:szCs w:val="18"/>
                <w:color w:val="auto"/>
              </w:rPr>
            </w:pPr>
          </w:p>
        </w:tc>
        <w:tc>
          <w:tcPr>
            <w:tcW w:w="71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r>
      <w:tr>
        <w:trPr>
          <w:trHeight w:val="203"/>
        </w:trPr>
        <w:tc>
          <w:tcPr>
            <w:tcW w:w="82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8,900.1</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116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183"/>
        </w:trPr>
        <w:tc>
          <w:tcPr>
            <w:tcW w:w="116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8,405.8</w:t>
            </w:r>
          </w:p>
        </w:tc>
      </w:tr>
      <w:tr>
        <w:trPr>
          <w:trHeight w:val="142"/>
        </w:trPr>
        <w:tc>
          <w:tcPr>
            <w:tcW w:w="1160" w:type="dxa"/>
            <w:vAlign w:val="bottom"/>
            <w:shd w:val="clear" w:color="auto" w:fill="CCEEFF"/>
          </w:tcPr>
          <w:p>
            <w:pPr>
              <w:spacing w:after="0"/>
              <w:rPr>
                <w:sz w:val="12"/>
                <w:szCs w:val="12"/>
                <w:color w:val="auto"/>
              </w:rPr>
            </w:pPr>
          </w:p>
        </w:tc>
        <w:tc>
          <w:tcPr>
            <w:tcW w:w="7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 in 2025 and 2024</w:t>
            </w:r>
          </w:p>
        </w:tc>
        <w:tc>
          <w:tcPr>
            <w:tcW w:w="2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- 136.2 in 2025 and 136.0 in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31.6 shares in 2025 and 28.2 shares in 2024</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3000" w:type="dxa"/>
            <w:vAlign w:val="bottom"/>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5"/>
        </w:trPr>
        <w:tc>
          <w:tcPr>
            <w:tcW w:w="3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3"/>
                <w:szCs w:val="23"/>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5"/>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2,790.8</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r>
      <w:tr>
        <w:trPr>
          <w:trHeight w:val="223"/>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6,692.1</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3"/>
        </w:trPr>
        <w:tc>
          <w:tcPr>
            <w:tcW w:w="38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4,871.1</w:t>
            </w:r>
          </w:p>
        </w:tc>
      </w:tr>
      <w:tr>
        <w:trPr>
          <w:trHeight w:val="196"/>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r>
      <w:tr>
        <w:trPr>
          <w:trHeight w:val="216"/>
        </w:trPr>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23"/>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r>
      <w:tr>
        <w:trPr>
          <w:trHeight w:val="216"/>
        </w:trPr>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r>
        <w:trPr>
          <w:trHeight w:val="216"/>
        </w:trPr>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(loss) on foreign currency translation</w:t>
            </w: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45720</wp:posOffset>
            </wp:positionV>
            <wp:extent cx="6772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9"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$12,855.9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$31,672.9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$(15,167.4)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13,490.8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33,680.2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(17,284.7)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12,316.9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29,414.6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(13,455.9)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1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0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6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 w:type="dxa"/>
            <w:vAlign w:val="bottom"/>
          </w:tcPr>
          <w:p>
            <w:pPr>
              <w:spacing w:after="0"/>
              <w:rPr>
                <w:sz w:val="18"/>
                <w:szCs w:val="18"/>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r>
      <w:tr>
        <w:trPr>
          <w:trHeight w:val="229"/>
        </w:trPr>
        <w:tc>
          <w:tcPr>
            <w:tcW w:w="80" w:type="dxa"/>
            <w:vAlign w:val="bottom"/>
          </w:tcPr>
          <w:p>
            <w:pPr>
              <w:spacing w:after="0"/>
              <w:rPr>
                <w:sz w:val="19"/>
                <w:szCs w:val="19"/>
                <w:color w:val="auto"/>
              </w:rPr>
            </w:pPr>
          </w:p>
        </w:tc>
        <w:tc>
          <w:tcPr>
            <w:tcW w:w="8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68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3"/>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(10,073.4)</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8,186.7</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0" w:type="dxa"/>
            <w:vAlign w:val="bottom"/>
          </w:tcPr>
          <w:p>
            <w:pPr>
              <w:spacing w:after="0"/>
              <w:rPr>
                <w:sz w:val="19"/>
                <w:szCs w:val="19"/>
                <w:color w:val="auto"/>
              </w:rPr>
            </w:pPr>
          </w:p>
        </w:tc>
        <w:tc>
          <w:tcPr>
            <w:tcW w:w="8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1,119.7</w:t>
            </w:r>
          </w:p>
        </w:tc>
      </w:tr>
      <w:tr>
        <w:trPr>
          <w:trHeight w:val="229"/>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r>
      <w:tr>
        <w:trPr>
          <w:trHeight w:val="230"/>
        </w:trPr>
        <w:tc>
          <w:tcPr>
            <w:tcW w:w="80" w:type="dxa"/>
            <w:vAlign w:val="bottom"/>
          </w:tcPr>
          <w:p>
            <w:pPr>
              <w:spacing w:after="0"/>
              <w:rPr>
                <w:sz w:val="19"/>
                <w:szCs w:val="19"/>
                <w:color w:val="auto"/>
              </w:rPr>
            </w:pPr>
          </w:p>
        </w:tc>
        <w:tc>
          <w:tcPr>
            <w:tcW w:w="8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w:t>
            </w: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16"/>
        </w:trPr>
        <w:tc>
          <w:tcPr>
            <w:tcW w:w="80" w:type="dxa"/>
            <w:vAlign w:val="bottom"/>
          </w:tcPr>
          <w:p>
            <w:pPr>
              <w:spacing w:after="0"/>
              <w:rPr>
                <w:sz w:val="18"/>
                <w:szCs w:val="18"/>
                <w:color w:val="auto"/>
              </w:rPr>
            </w:pPr>
          </w:p>
        </w:tc>
        <w:tc>
          <w:tcPr>
            <w:tcW w:w="80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19685</wp:posOffset>
            </wp:positionV>
            <wp:extent cx="7029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45720</wp:posOffset>
            </wp:positionV>
            <wp:extent cx="7029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566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Standard/Description</w:t>
            </w:r>
          </w:p>
        </w:tc>
        <w:tc>
          <w:tcPr>
            <w:tcW w:w="22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660" w:type="dxa"/>
            <w:vAlign w:val="bottom"/>
            <w:gridSpan w:val="2"/>
            <w:vMerge w:val="continue"/>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5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ASU 2023-09: In December 2023, the FASB issued amended guidance</w:t>
            </w:r>
          </w:p>
        </w:tc>
        <w:tc>
          <w:tcPr>
            <w:tcW w:w="10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 significant impact expected</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6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 xml:space="preserve">related to improvements to </w:t>
            </w:r>
            <w:r>
              <w:rPr>
                <w:rFonts w:ascii="Times New Roman" w:cs="Times New Roman" w:eastAsia="Times New Roman" w:hAnsi="Times New Roman"/>
                <w:sz w:val="18"/>
                <w:szCs w:val="18"/>
                <w:b w:val="1"/>
                <w:bCs w:val="1"/>
                <w:color w:val="auto"/>
              </w:rPr>
              <w:t>income tax disclosures</w:t>
            </w:r>
            <w:r>
              <w:rPr>
                <w:rFonts w:ascii="Times New Roman" w:cs="Times New Roman" w:eastAsia="Times New Roman" w:hAnsi="Times New Roman"/>
                <w:sz w:val="18"/>
                <w:szCs w:val="18"/>
                <w:color w:val="auto"/>
              </w:rPr>
              <w:t>. The amendments</w:t>
            </w:r>
          </w:p>
        </w:tc>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6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require annually (i) enhanced disclosures in connection with an entity's</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6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effective tax rate reconciliation and (ii) income taxes paid disaggregated</w:t>
            </w:r>
          </w:p>
        </w:tc>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jurisdiction.</w:t>
            </w: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100"/>
        <w:spacing w:after="0" w:line="236" w:lineRule="auto"/>
        <w:rPr>
          <w:sz w:val="20"/>
          <w:szCs w:val="20"/>
          <w:color w:val="auto"/>
        </w:rPr>
      </w:pPr>
      <w:r>
        <w:rPr>
          <w:rFonts w:ascii="Times New Roman" w:cs="Times New Roman" w:eastAsia="Times New Roman" w:hAnsi="Times New Roman"/>
          <w:sz w:val="18"/>
          <w:szCs w:val="18"/>
          <w:color w:val="auto"/>
        </w:rPr>
        <w:t>ASU 2024-03: In November 2024, the FASB issued new guidance which</w:t>
      </w:r>
    </w:p>
    <w:p>
      <w:pPr>
        <w:spacing w:after="0" w:line="1" w:lineRule="exact"/>
        <w:rPr>
          <w:sz w:val="20"/>
          <w:szCs w:val="20"/>
          <w:color w:val="auto"/>
        </w:rPr>
      </w:pPr>
    </w:p>
    <w:p>
      <w:pPr>
        <w:ind w:left="260"/>
        <w:spacing w:after="0" w:line="220" w:lineRule="auto"/>
        <w:rPr>
          <w:sz w:val="20"/>
          <w:szCs w:val="20"/>
          <w:color w:val="auto"/>
        </w:rPr>
      </w:pPr>
      <w:r>
        <w:rPr>
          <w:rFonts w:ascii="Times New Roman" w:cs="Times New Roman" w:eastAsia="Times New Roman" w:hAnsi="Times New Roman"/>
          <w:sz w:val="17"/>
          <w:szCs w:val="17"/>
          <w:color w:val="auto"/>
        </w:rPr>
        <w:t xml:space="preserve">requires disclosure of </w:t>
      </w:r>
      <w:r>
        <w:rPr>
          <w:rFonts w:ascii="Times New Roman" w:cs="Times New Roman" w:eastAsia="Times New Roman" w:hAnsi="Times New Roman"/>
          <w:sz w:val="17"/>
          <w:szCs w:val="17"/>
          <w:b w:val="1"/>
          <w:bCs w:val="1"/>
          <w:color w:val="auto"/>
        </w:rPr>
        <w:t>disaggregated income statement expense</w:t>
      </w:r>
      <w:r>
        <w:rPr>
          <w:rFonts w:ascii="Times New Roman" w:cs="Times New Roman" w:eastAsia="Times New Roman" w:hAnsi="Times New Roman"/>
          <w:sz w:val="17"/>
          <w:szCs w:val="17"/>
          <w:color w:val="auto"/>
        </w:rPr>
        <w:t xml:space="preserve"> information about specific categories (including purchases of inventory, employee compensation, depreciation, and intangible asset amortization)</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notes to financial statements.</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January 1, 2027 for annual</w:t>
      </w:r>
      <w:r>
        <w:rPr>
          <w:sz w:val="20"/>
          <w:szCs w:val="20"/>
          <w:color w:val="auto"/>
        </w:rPr>
        <w:tab/>
      </w:r>
      <w:r>
        <w:rPr>
          <w:rFonts w:ascii="Times New Roman" w:cs="Times New Roman" w:eastAsia="Times New Roman" w:hAnsi="Times New Roman"/>
          <w:sz w:val="17"/>
          <w:szCs w:val="17"/>
          <w:color w:val="auto"/>
        </w:rPr>
        <w:t>Currently evaluating impact</w:t>
      </w:r>
    </w:p>
    <w:p>
      <w:pPr>
        <w:spacing w:after="0" w:line="204" w:lineRule="auto"/>
        <w:rPr>
          <w:sz w:val="20"/>
          <w:szCs w:val="20"/>
          <w:color w:val="auto"/>
        </w:rPr>
      </w:pPr>
      <w:r>
        <w:rPr>
          <w:rFonts w:ascii="Times New Roman" w:cs="Times New Roman" w:eastAsia="Times New Roman" w:hAnsi="Times New Roman"/>
          <w:sz w:val="18"/>
          <w:szCs w:val="18"/>
          <w:color w:val="auto"/>
        </w:rPr>
        <w:t>reporting periods and</w:t>
      </w:r>
    </w:p>
    <w:p>
      <w:pPr>
        <w:spacing w:after="0" w:line="203" w:lineRule="auto"/>
        <w:rPr>
          <w:sz w:val="20"/>
          <w:szCs w:val="20"/>
          <w:color w:val="auto"/>
        </w:rPr>
      </w:pPr>
      <w:r>
        <w:rPr>
          <w:rFonts w:ascii="Times New Roman" w:cs="Times New Roman" w:eastAsia="Times New Roman" w:hAnsi="Times New Roman"/>
          <w:sz w:val="18"/>
          <w:szCs w:val="18"/>
          <w:color w:val="auto"/>
        </w:rPr>
        <w:t>January 1, 2028 for interim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periods</w:t>
      </w:r>
    </w:p>
    <w:p>
      <w:pPr>
        <w:spacing w:after="0" w:line="389" w:lineRule="exact"/>
        <w:rPr>
          <w:sz w:val="20"/>
          <w:szCs w:val="20"/>
          <w:color w:val="auto"/>
        </w:rPr>
      </w:pPr>
    </w:p>
    <w:p>
      <w:pPr>
        <w:sectPr>
          <w:pgSz w:w="11900" w:h="16838" w:orient="portrait"/>
          <w:cols w:equalWidth="0" w:num="2">
            <w:col w:w="5500" w:space="260"/>
            <w:col w:w="5480"/>
          </w:cols>
          <w:pgMar w:left="320" w:top="369" w:right="33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00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8"/>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30"/>
        </w:trPr>
        <w:tc>
          <w:tcPr>
            <w:tcW w:w="2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2,432.1</w:t>
            </w:r>
          </w:p>
        </w:tc>
      </w:tr>
      <w:tr>
        <w:trPr>
          <w:trHeight w:val="22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3,679.9</w:t>
            </w:r>
          </w:p>
        </w:tc>
      </w:tr>
      <w:tr>
        <w:trPr>
          <w:trHeight w:val="21"/>
        </w:trPr>
        <w:tc>
          <w:tcPr>
            <w:tcW w:w="2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Company had $3.581 billion and $4.278 billion, respectively, of trade accounts receivable that were recorded within Accounts receivable,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and six months ended June 30, 2025 and 2024. Sales to each of these customers as a percentage of the Company's total gross product revenue are as follows:</w:t>
      </w:r>
    </w:p>
    <w:p>
      <w:pPr>
        <w:spacing w:after="0" w:line="189"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23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2420" w:type="dxa"/>
            <w:vAlign w:val="bottom"/>
          </w:tcPr>
          <w:p>
            <w:pPr>
              <w:spacing w:after="0"/>
              <w:rPr>
                <w:sz w:val="20"/>
                <w:szCs w:val="20"/>
                <w:color w:val="auto"/>
              </w:rPr>
            </w:pPr>
          </w:p>
        </w:tc>
        <w:tc>
          <w:tcPr>
            <w:tcW w:w="150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r>
      <w:tr>
        <w:trPr>
          <w:trHeight w:val="225"/>
        </w:trPr>
        <w:tc>
          <w:tcPr>
            <w:tcW w:w="24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June 30, 2025, the Company's contingent reimbursement obligation to Sanofi in connection with the development balance was approximately $1.2 billion.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The parties equally share profits from sales within the United States. The parties share profits outside the United States on a sliding scale based on sales starting at 65% (Sanofi)/35% (Regeneron) and ending at 55% (Sanofi)/45% (Regeneron).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9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740" w:type="dxa"/>
            <w:vAlign w:val="bottom"/>
          </w:tcPr>
          <w:p>
            <w:pPr>
              <w:spacing w:after="0"/>
              <w:rPr>
                <w:sz w:val="20"/>
                <w:szCs w:val="20"/>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r>
      <w:tr>
        <w:trPr>
          <w:trHeight w:val="175"/>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175"/>
        </w:trPr>
        <w:tc>
          <w:tcPr>
            <w:tcW w:w="3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374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176"/>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52"/>
        </w:trPr>
        <w:tc>
          <w:tcPr>
            <w:tcW w:w="30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7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00" w:type="dxa"/>
            <w:vAlign w:val="bottom"/>
          </w:tcPr>
          <w:p>
            <w:pPr>
              <w:spacing w:after="0"/>
              <w:rPr>
                <w:sz w:val="19"/>
                <w:szCs w:val="19"/>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7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353.0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175"/>
        </w:trPr>
        <w:tc>
          <w:tcPr>
            <w:tcW w:w="300" w:type="dxa"/>
            <w:vAlign w:val="bottom"/>
          </w:tcPr>
          <w:p>
            <w:pPr>
              <w:spacing w:after="0"/>
              <w:rPr>
                <w:sz w:val="15"/>
                <w:szCs w:val="15"/>
                <w:color w:val="auto"/>
              </w:rPr>
            </w:pPr>
          </w:p>
        </w:tc>
        <w:tc>
          <w:tcPr>
            <w:tcW w:w="3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1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43"/>
        </w:trPr>
        <w:tc>
          <w:tcPr>
            <w:tcW w:w="300" w:type="dxa"/>
            <w:vAlign w:val="bottom"/>
          </w:tcPr>
          <w:p>
            <w:pPr>
              <w:spacing w:after="0"/>
              <w:rPr>
                <w:sz w:val="21"/>
                <w:szCs w:val="21"/>
                <w:color w:val="auto"/>
              </w:rPr>
            </w:pPr>
          </w:p>
        </w:tc>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supplies</w:t>
            </w: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176"/>
        </w:trPr>
        <w:tc>
          <w:tcPr>
            <w:tcW w:w="300" w:type="dxa"/>
            <w:vAlign w:val="bottom"/>
          </w:tcPr>
          <w:p>
            <w:pPr>
              <w:spacing w:after="0"/>
              <w:rPr>
                <w:sz w:val="15"/>
                <w:szCs w:val="15"/>
                <w:color w:val="auto"/>
              </w:rPr>
            </w:pPr>
          </w:p>
        </w:tc>
        <w:tc>
          <w:tcPr>
            <w:tcW w:w="3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w:t>
            </w:r>
          </w:p>
        </w:tc>
        <w:tc>
          <w:tcPr>
            <w:tcW w:w="1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184"/>
        </w:trPr>
        <w:tc>
          <w:tcPr>
            <w:tcW w:w="300" w:type="dxa"/>
            <w:vAlign w:val="bottom"/>
          </w:tcPr>
          <w:p>
            <w:pPr>
              <w:spacing w:after="0"/>
              <w:rPr>
                <w:sz w:val="16"/>
                <w:szCs w:val="16"/>
                <w:color w:val="auto"/>
              </w:rPr>
            </w:pPr>
          </w:p>
        </w:tc>
        <w:tc>
          <w:tcPr>
            <w:tcW w:w="3740" w:type="dxa"/>
            <w:vAlign w:val="bottom"/>
            <w:gridSpan w:val="2"/>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34"/>
        </w:trPr>
        <w:tc>
          <w:tcPr>
            <w:tcW w:w="300" w:type="dxa"/>
            <w:vAlign w:val="bottom"/>
          </w:tcPr>
          <w:p>
            <w:pPr>
              <w:spacing w:after="0"/>
              <w:rPr>
                <w:sz w:val="20"/>
                <w:szCs w:val="20"/>
                <w:color w:val="auto"/>
              </w:rPr>
            </w:pPr>
          </w:p>
        </w:tc>
        <w:tc>
          <w:tcPr>
            <w:tcW w:w="3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445"/>
        </w:trPr>
        <w:tc>
          <w:tcPr>
            <w:tcW w:w="7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The following table summarizes contract balances in connection with the Company's Bayer collaboration: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6"/>
        </w:trPr>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3"/>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4"/>
                <w:szCs w:val="24"/>
                <w:color w:val="auto"/>
              </w:rPr>
            </w:pPr>
          </w:p>
        </w:tc>
        <w:tc>
          <w:tcPr>
            <w:tcW w:w="164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349.9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20"/>
                <w:szCs w:val="20"/>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other collaboration and license agreements that are not individually significant to its operating results or financial condition at this time. Pursuant to the terms of those agreements, the Company may (i) incur, and/or get reimbursed for, research and development costs, and/or (ii) be required to pay, and/or may receive, additional amounts contingent upon the occurrence of various future events (e.g., upon the achievement of development and commercial milestones), which in the aggregate could be significant.</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2025, the Company purchased an FDA Rare Pediatric Disease Priority Review Voucher from a third party for $155.0 million (which was recorded as an indefinite-lived intangible asset).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2025, the Company's license agreement with Hansoh Pharmaceuticals Group Company Limited to acquire development and commercial rights outside mainland China, Hong Kong, and Macau for HS-20094 (a dual GLP-1/GIP receptor agonist currently in Phase 3 clinical development in China) became effective. Under the terms of the agreement, the Company made an $80.0 million up-front payment (which will be recorded to Acquired in-process research and development expense in the third quarter of 2025).</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96"/>
        </w:trPr>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860" w:type="dxa"/>
            <w:vAlign w:val="bottom"/>
          </w:tcPr>
          <w:p>
            <w:pPr>
              <w:spacing w:after="0"/>
              <w:rPr>
                <w:sz w:val="19"/>
                <w:szCs w:val="19"/>
                <w:color w:val="auto"/>
              </w:rPr>
            </w:pPr>
          </w:p>
        </w:tc>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70"/>
        </w:trPr>
        <w:tc>
          <w:tcPr>
            <w:tcW w:w="86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86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60" w:type="dxa"/>
            <w:vAlign w:val="bottom"/>
          </w:tcPr>
          <w:p>
            <w:pPr>
              <w:spacing w:after="0"/>
              <w:rPr>
                <w:sz w:val="19"/>
                <w:szCs w:val="19"/>
                <w:color w:val="auto"/>
              </w:rPr>
            </w:pPr>
          </w:p>
        </w:tc>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8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0"/>
        </w:trPr>
        <w:tc>
          <w:tcPr>
            <w:tcW w:w="86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r>
      <w:tr>
        <w:trPr>
          <w:trHeight w:val="234"/>
        </w:trPr>
        <w:tc>
          <w:tcPr>
            <w:tcW w:w="8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340" w:type="dxa"/>
            <w:vAlign w:val="bottom"/>
            <w:gridSpan w:val="5"/>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4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5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r>
      <w:tr>
        <w:trPr>
          <w:trHeight w:val="805"/>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Marketable securities as of June 30, 2025 and December 31, 2024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June 30, 2025</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8,959.5</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3,663.9</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3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June 30, 2025 mature at various dates through July 2030.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7,804.8</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by category and disaggregated by the length of time that the Company's available-for-sale debt securities have been in a continuous unrealized loss position.</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4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98"/>
        </w:trPr>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June 30, 2025</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
        </w:trPr>
        <w:tc>
          <w:tcPr>
            <w:tcW w:w="15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1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4"/>
        </w:trPr>
        <w:tc>
          <w:tcPr>
            <w:tcW w:w="314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12,179.8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marketable securities, for the three and six months ended June 30, 2025 and 2024, amounts reclassified from Accumulated other comprehensive income (loss) into Other income (expense), net were related to realized gains/losses on sales of available-for-sale debt securities. For the three and six months ended June 30, 2025 and 2024, realized gains/losses on sales of marketable securities were not material.</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June 30, 2025</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15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1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89"/>
        </w:trPr>
        <w:tc>
          <w:tcPr>
            <w:tcW w:w="4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5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49" w:lineRule="exact"/>
        <w:rPr>
          <w:sz w:val="20"/>
          <w:szCs w:val="20"/>
          <w:color w:val="auto"/>
        </w:rPr>
      </w:pPr>
    </w:p>
    <w:p>
      <w:pPr>
        <w:ind w:left="40" w:right="100" w:firstLine="6"/>
        <w:spacing w:after="0"/>
        <w:tabs>
          <w:tab w:leader="none" w:pos="199"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of $34.7 million and $43.2 million as of June 30, 2025 and December 31, 2024, respectively, that are subject to transfer restrictions expiring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classified the following investments within Other noncurrent assets:</w:t>
      </w:r>
    </w:p>
    <w:p>
      <w:pPr>
        <w:spacing w:after="0" w:line="144"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and December 31, 2024, $316.8 million and $159.8 million, respectively, of equity securities that do not have a readily determinable fair value. The change in carrying value of such investments was a result of additional purchases.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and December 31, 2024, equity securities held through ownership interest in an investment fund of $92.3 million and $52.0 million, respectively, which are measured at fair value based on Level 3 inputs. The change in carrying value was primarily the result of additional investments by the fund.</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included net unrealized gains on equity securities of $249.8 million and $389.5 million for the three and six months ended June 30, 2025, respectively, and $392.5 million and $196.3 million for the three and six months ended June 30, 2024, respectively.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$1.538 billion and $1.484 billion as of June 30, 2025 and December 31, 2024,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94" w:lineRule="exact"/>
        <w:rPr>
          <w:sz w:val="20"/>
          <w:szCs w:val="20"/>
          <w:color w:val="auto"/>
        </w:rPr>
      </w:pPr>
    </w:p>
    <w:tbl>
      <w:tblPr>
        <w:tblLayout w:type="fixed"/>
        <w:tblInd w:w="268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2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48"/>
        </w:trPr>
        <w:tc>
          <w:tcPr>
            <w:tcW w:w="2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The Company's effective tax rate was 8.4% and 12.0% for the three months ended June 30, 2025 and 2024, respectively, and 9.2% and 7.5% for the six months ended June 30, 2025 and 2024, respectively. The Company's effective tax rate for the three and six months ended June 30, 2025 was positively impacted, compared to the U.S. federal statutory rate, primarily by income earned in foreign jurisdictions with tax rates lower than the U.S. federal statutory rate, federal tax credits for research activities, and, in the second quarter of 2025, the release of liabilities for uncertain tax positions recognized upon the effective settlement of the IRS audit of the Company's 2017 and 2018 federal income tax returns.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six months ended June 30, 2024 was positively impacted, compared to the U.S. federal statutory rate, primarily by stock-based compensation and income earned in foreign jurisdictions with tax rates lower than the U.S. federal statutory rate, partly offset by the remeasurement of existing uncertain tax positions.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4, 2025, bill H.R. 1, commonly referred to as the "One Big Beautiful Bill Act" or "OBBBA", was signed into law.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The Company is in the process of evaluating the impact of the OBBBA on its financial statements.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for up to $3.0 billion of the Company's Common Stock. In each of April 2024 and February 2025, the Company's board of directors authorized share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repurchase programs for up to an additional $3.0 billion (up to $6.0 billion in the aggregate). The programs have no time limit and can be discontinued at any time.</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and the cost of such shares, which were recorded as Treasury Stock.</w:t>
      </w:r>
    </w:p>
    <w:p>
      <w:pPr>
        <w:spacing w:after="0" w:line="108"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2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899.4</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$2.814 billion remained available for share repurchases under the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Dividends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each of the first and second quarters of 2025, the Company's board of directors declared quarterly cash dividends of $0.88 per share on its Common Stock and Class A Stock. Each quarterly dividend was paid to the Company's shareholders in the quarter in which the dividend was declared.</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in July 2025, the Company's board of directors declared a cash dividend of $0.88 per share on its Common Stock and Class A Stock. The dividend will be payable to the Company's shareholders in September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17"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1,920.7</w:t>
            </w:r>
          </w:p>
        </w:tc>
        <w:tc>
          <w:tcPr>
            <w:tcW w:w="0" w:type="dxa"/>
            <w:vAlign w:val="bottom"/>
          </w:tcPr>
          <w:p>
            <w:pPr>
              <w:spacing w:after="0"/>
              <w:rPr>
                <w:sz w:val="1"/>
                <w:szCs w:val="1"/>
                <w:color w:val="auto"/>
              </w:rPr>
            </w:pPr>
          </w:p>
        </w:tc>
      </w:tr>
      <w:tr>
        <w:trPr>
          <w:trHeight w:val="229"/>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64"/>
        </w:trPr>
        <w:tc>
          <w:tcPr>
            <w:tcW w:w="57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12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0" w:type="dxa"/>
            <w:vAlign w:val="bottom"/>
          </w:tcPr>
          <w:p>
            <w:pPr>
              <w:spacing w:after="0"/>
              <w:rPr>
                <w:sz w:val="1"/>
                <w:szCs w:val="1"/>
                <w:color w:val="auto"/>
              </w:rPr>
            </w:pPr>
          </w:p>
        </w:tc>
      </w:tr>
      <w:tr>
        <w:trPr>
          <w:trHeight w:val="227"/>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4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40"/>
        <w:spacing w:after="0" w:line="435" w:lineRule="auto"/>
        <w:rPr>
          <w:sz w:val="20"/>
          <w:szCs w:val="20"/>
          <w:color w:val="auto"/>
        </w:rPr>
      </w:pPr>
      <w:r>
        <w:rPr>
          <w:rFonts w:ascii="Times New Roman" w:cs="Times New Roman" w:eastAsia="Times New Roman" w:hAnsi="Times New Roman"/>
          <w:sz w:val="18"/>
          <w:szCs w:val="18"/>
          <w:color w:val="auto"/>
        </w:rPr>
        <w:t xml:space="preserve">Restricted cash consists of amounts held pursuant to contractual arrangements and for dividends payable on certain equity awards. </w:t>
      </w:r>
      <w:r>
        <w:rPr>
          <w:rFonts w:ascii="Times New Roman" w:cs="Times New Roman" w:eastAsia="Times New Roman" w:hAnsi="Times New Roman"/>
          <w:sz w:val="18"/>
          <w:szCs w:val="18"/>
          <w:i w:val="1"/>
          <w:iCs w:val="1"/>
          <w:color w:val="auto"/>
        </w:rPr>
        <w:t>Supplemental disclosure of non-cash investing and financing activities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9"/>
                <w:szCs w:val="19"/>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tcPr>
          <w:p>
            <w:pPr>
              <w:spacing w:after="0"/>
              <w:rPr>
                <w:sz w:val="19"/>
                <w:szCs w:val="19"/>
                <w:color w:val="auto"/>
              </w:rPr>
            </w:pPr>
          </w:p>
        </w:tc>
      </w:tr>
      <w:tr>
        <w:trPr>
          <w:trHeight w:val="175"/>
        </w:trPr>
        <w:tc>
          <w:tcPr>
            <w:tcW w:w="3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0" w:type="dxa"/>
            <w:vAlign w:val="bottom"/>
          </w:tcPr>
          <w:p>
            <w:pPr>
              <w:spacing w:after="0"/>
              <w:rPr>
                <w:sz w:val="21"/>
                <w:szCs w:val="21"/>
                <w:color w:val="auto"/>
              </w:rPr>
            </w:pPr>
          </w:p>
        </w:tc>
      </w:tr>
      <w:tr>
        <w:trPr>
          <w:trHeight w:val="796"/>
        </w:trPr>
        <w:tc>
          <w:tcPr>
            <w:tcW w:w="3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3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Condensed Consolidated Statements of Operations, see below for disaggregated amounts that comprise research and development expenses:</w:t>
      </w:r>
    </w:p>
    <w:p>
      <w:pPr>
        <w:spacing w:after="0" w:line="108"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r>
      <w:tr>
        <w:trPr>
          <w:trHeight w:val="228"/>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4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w:t>
            </w:r>
          </w:p>
        </w:tc>
      </w:tr>
      <w:tr>
        <w:trPr>
          <w:trHeight w:val="270"/>
        </w:trPr>
        <w:tc>
          <w:tcPr>
            <w:tcW w:w="4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4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w:t>
            </w:r>
          </w:p>
        </w:tc>
      </w:tr>
      <w:tr>
        <w:trPr>
          <w:trHeight w:val="229"/>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r>
      <w:tr>
        <w:trPr>
          <w:trHeight w:val="250"/>
        </w:trPr>
        <w:tc>
          <w:tcPr>
            <w:tcW w:w="4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70"/>
        </w:trPr>
        <w:tc>
          <w:tcPr>
            <w:tcW w:w="4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76"/>
        </w:trPr>
        <w:tc>
          <w:tcPr>
            <w:tcW w:w="4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43"/>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70"/>
        </w:trPr>
        <w:tc>
          <w:tcPr>
            <w:tcW w:w="48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260" w:right="1160" w:firstLine="8"/>
        <w:spacing w:after="0" w:line="215" w:lineRule="auto"/>
        <w:tabs>
          <w:tab w:leader="none" w:pos="143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gain contingencies associated with such proceedings when the award or recovery is realized or realizable and loss contingencies when it is probable that a liability will be incurred and the amount of loss can be reasonably estimated. As of June 30, 2025 and December 31, 2024, the Company's accruals for loss contingencies were not material. There are certain loss contingencies that the Company deems reasonably possible for which the possible loss or range of possible loss is not estimable at this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the European Patent Office (the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Pharmaceuticals Inc. ("Mylan"), a wholly-owned subsidiary of Viatris Inc., in the United States District Court for the Northern District of West Virginia alleging that Mylan's filing for U.S. Food and Drug Administration ("FDA") approval of an aflibercept 2 mg biosimilar infringes certain Company patents. On June 5, 2023, Biocon Biologics Inc. ("Biocon"), as successor-in-interest to the aflibercept 2 mg biosimilar, was joined as a defendant to the lawsuit. A trial was held in June 2023 concerning certain claims of the '601 Patent, the '572 Patent, and the Company's U.S. Patent No. 11,084,865 (the "'865 Patent"). On December 27, 2023, the court issued a decision finding that</w:t>
      </w:r>
    </w:p>
    <w:p>
      <w:pPr>
        <w:spacing w:after="0" w:line="3" w:lineRule="exact"/>
        <w:rPr>
          <w:sz w:val="20"/>
          <w:szCs w:val="20"/>
          <w:color w:val="auto"/>
        </w:rPr>
      </w:pPr>
    </w:p>
    <w:p>
      <w:pPr>
        <w:jc w:val="both"/>
        <w:ind w:firstLine="8"/>
        <w:spacing w:after="0" w:line="252" w:lineRule="auto"/>
        <w:tabs>
          <w:tab w:leader="none" w:pos="2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asserted claims of the '865 Patent were valid and infringed by Mylan and Biocon and (ii) the asserted claims of the '601 and '572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June 21, 2024, Mylan and Biocon filed a notice of appeal of the court's December 27, 2023 and June 11, 2024 decisions to the Federal Circuit. An oral hearing concerning Mylan and Biocon's appeal was held on February 7, 2025. On April 14, 2025, the parties entered into a settlement agreement, pursuant to which Mylan and Biocon's appeal to the Federal Circuit and all related litigation have been dismissed and Biocon is precluded from launching its aflibercept 2 mg biosimilar until the second half of 2026.</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Inc. ("Celltrion"), Samsung Bioepis Co., Ltd. ("Samsung Bioepis"), and Formycon AG ("Formycon") in the United States District Court for the Northern District of West Virginia following service on Regeneron of each company's notice of commercial marketing. The lawsuits alleged that each company had infringed certain Company patents, including based on each company's filing for FDA approval of an aflibercept 2 mg biosimilar. On December 27, 2023, the Company filed a second patent infringement lawsuit against Samsung Bioepis. On June 14, June 21, and June 28, 2024, respectively, the court granted the Company's motions for preliminary injunctions against Samsung Bioepis, Formycon, and Celltrion; each of these decisions was appealed to the Federal Circuit. On January 29, 2025, the Federal Circuit affirmed the lower court's preliminary injunction decisions against Samsung Bioepis and Formycon; and on March 5, 2025, the Federal Circuit affirmed the lower court's preliminary injunction decision against Celltrion. On May 23, 2025, Formycon petitioned the lower court to revoke the preliminary injunction.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Inc. ("Amgen") in the United States District Court for the Central District of California alleging that Amgen's filing for FDA approval of an aflibercept 2 mg biosimilar infringed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September 23, 2024, the court denied the Company's motion for a preliminary injunction; and on September 25, 2024, the Federal Circuit issued an administrative stay pending its review of the Company's temporary injunction motion. On October 22, 2024, the Federal Circuit denied the Company's temporary injunction motion and lifted the administrative stay. On March 14, 2025, the Federal Circuit affirmed the lower court's preliminary injunction decision. On June 17, 2025, the Company filed an additional patent infringement lawsuit against Amgen in the United States District Court for the Central District of California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alleging that Amgen's continued commercialization of its aflibercept 2 mg biosimilar infringes the Company's U.S. Patent No. 12,331,099.</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2024, the Company filed a patent infringement lawsuit against Sandoz Inc. ("Sandoz") in the United States District Court for the District of New Jersey alleging that Sandoz's filing for FDA approval of an aflibercept 2 mg biosimilar infringed certain Company patents. On September 12,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paragraphs. On July 11, 2025, the Company filed a motion for a preliminary injunction against Sandoz based on the '865 Patent.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the USPTO</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On November 20, 2024, November 29, 2024, and January 15, 2025, Samsung Bioepis, Formycon, and Celltrion, respectively,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'865 Patent, each seeking a declaration that the '865 Patent is invalid. On June 6, 2025, the USPTO denied institution of Samsung and Formycon's respective IPR petitions, and on June 25, 2025, the USPTO denied institution of Celltrion's IPR petition.</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14, 2025, Fresenius Kabi SwissBioSim GmbH filed IPR petitions in the USPTO against the '865 Patent and U.S. Patent No. 10,828,345 (the "'345 Patent"), seeking a declaration that the '865 Patent and '345 Patent are invalid.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Post-Grant Proceedings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("OD") of the EPO. On November 26, 2024, following an oral hearing, the OD announced its decision to revoke the '306 Patent. On March 11, 2025, the Company appealed the OD's decision. Oral hearings concerning the '992 and '049 Patents have been scheduled for October and December 2025, respectively.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Country-Specific Proceedings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parties, including Samsung Bioepis and Formycon and/or their affiliated entities, are seeking revocation of the '306 Patent, the '992 Patent, and the Company's European Patent No. 2,364,691 (the "'691 Patent") and/or a declaration that its aflibercept 2 mg biosimilar would not infringe these patents in several European national courts (including those in Belgium, France, Germany, Italy, the Netherlands, and the United Kingdom). In the United Kingdom, the Company has filed a preemptive counterclaim against Formycon, Klinge Biopharma GmbH, and Samsung Bioepis UK Limited for infringement of the '306 Patent and the '691 Patent. In April 2025, the Company and Amgen entered into a settlement agreement, pursuant to which Amgen is no longer party to the United Kingdom proceedings. In Germany, following a trial held in June 2025, the German Federal Patent Court upheld the '691 Patent as valid and dismissed the revocation proceeding brought by Samsung Bioepis. In the United Kingdom, trials concerning the '691 and '306 Patents were held in June 2025, and the '992 Patent proceedings are stayed pending resolution of the EPO proceedings concerning this patent. In the Netherlands, a trial concerning the '691 and '306 Patents was held on July 18, 2025.</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commenced proceedings in Belgium against various parties, including Amgen, Celltrion, Sterigenics (Petit-Rechain) NV, and Sandoz GmbH, for infringement of the Company's European Patent No. 1,183,353 (as extended by Supplementary Protection Certificate 2013C/029).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constructing, using, or selling of an aflibercept 2 mg biosimilar would directly or indirectly infringe one or more claims of the Company's '510 Patent and '276 Patent, respectively. On June 28, 2024, Amgen Canada filed a motion to delist the '276 Patent from the Canada Patent Register; and on November 20, 2024, the court granted Amgen Canada's motion. That decision has been appealed by the Company and Bayer. A trial concerning the '510 Patent and the '276 Patent was held in May–June 2025; and a trial concerning the '315 Patent and the '193 Patent has been scheduled for August–September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Sandoz</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24, 2025, the Company, Bayer Inc., and Bayer Healthcare LLC filed patent infringement lawsuits against Sandoz Canada Inc. in the Federal Court of Canada seeking a declaration that the making, constructing, using, or selling of an aflibercept 2 mg biosimilar would directly or indirectly infringe one or more claims of the '510 Patent, the '276 Patent, the '495 Patent, the '768 Patent, the '193 Patent, the '315 Patent, and Canadian Patent No. 3,137,326 (the "'326 Patent"). A trial concerning the '510 Patent, the '276 Patent, the '315 Patent, and the '326 Patent has been scheduled for October–November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2022, Samsung Bioepis initiated invalidation proceedings before the Intellectual Property Trial and Appeal Board of the Korean Intellectual Property Office ("KIPO") against the Company's Korean Patent No. 1406811 (the "'811 Patent"), seeking revocation of the '811 Patent in its entirety. On October 23, 2024, the KIPO maintained the '811 Patent as valid; Samsung Bioepis has appealed that decision.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as applicable, Bayer Consumer Care AG, have also filed patent infringement lawsuits in the Seoul Central District Court against various parties including Samsung Bioepis and its parent company Samsung Biologics Co., Ltd. (collectively, "Samsung"), Sam Chun Dang Pharm. Co., Ltd. and OPTUS Pharmaceutical Co., Ltd., and Celltrion.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 On February 7, 2025, the Seoul Central District Court granted the Company's preliminary injunction request against Samsung on the basis of the '811 Patent; Samsung has appealed that decision. The preliminary injunction against Samsung prohibits Samsung from manufacturing and selling its aflibercept 2 mg biosimilar in South Korea. Also on February 7, 2025, the Seoul Central District Court denied Regeneron's preliminary injunction request against Celltrion; Regeneron has appealed that decision.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Australia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Bayer Consumer Care AG, and Bayer Australia filed a patent infringement lawsuit against Sandoz Pty Ltd. and a request for a preliminary injunction in the Federal Court of Australia alleging that the importing, selling, supplying, or otherwise disposing of an aflibercept 2 mg biosimilar would infringe one or more claims of the Company's Australian Patent No. 2012205599. An oral hearing to consider the preliminary injunction request has been scheduled for August 14, 2025.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seeking a judgment that the defendants' conduct relating to Novartis's attempt to assert its U.S. Patent No. 9,220,631 against Regeneron in 2020 violated Sections 1 and 2 of the Sherman Antitrust Act of 1890, as amended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February 10, 2023, the court denied Amgen's motion to stay these proceedings; and on March 21, 2023, the court denied Amgen's motion to dismiss the complaint. On August 28, 2023, the Company filed an amended complaint in this matter; and, as part of its response, on September 20, 2023, Amgen filed a counterclaim alleging that the Company engaged in unfair business practices in violation of state law. On April 10, 2025, the court denied Amgen's motion for summary judgment.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 (i) permanent injunctive relief, (ii) a constructive trust, and (iii) prejudgment interest. An oral hearing on Amgen's and Regeneron's respective post-trial motions has been scheduled for August 27,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the Technical Board of Appeal of the EPO. On July 16, 2024, following a trial, the Munich Central Division of the UPC issued a decision revoking the '797 Patent in its entirety. On September 16, 2024, Amgen appealed the decision of the Munich Central Division of the UPC to the Court of Appeal of the UPC. An oral hearing before the Court of Appeal of the UPC has been scheduled for August 2025.</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Sanofi are also seeking revocation of the '797 Patent at the EPO. On April 3, 2025, the OD upheld the '797 Patent as valid. The Company and Sanofi have appealed this decision to the Technical Board of Appeal of the EPO. An oral hearing before the Technical Board of Appeal of the EPO has been scheduled for April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ZALTRAP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certain other related documents and communications. 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False Claims Act and state law. Also on June 3, 2021, the United States and the State Plaintiffs notified the court of their decision to decline to intervene in the case. On October 29, 2021, the qui tam plaintiffs filed an amended complaint in this matter.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 federal False Claims Act and a claim for unjust enrichment. Also on March 28, 2024, the U.S. District Court of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 laws. On July 18, 2024, the Company filed a motion to dismiss the March 2024 Civil Complaint and the June 2024 Civil Complaint. An oral hearing on the Company's motion to dismiss was held on December 16, 2024. On April 29, 2025, the court denied the Company's motion to dismiss. On May 27, 2025, the Company filed its answers to the March 2024 Civil Complaint and the June 2024 Civil Complaint. On June 17, 2025, the court granted a motion by the States of Maine, Nebraska, Ohio, Oregon, and Wyoming to intervene in the action. On June 18, 2025, those states filed a consolidated complaint asserting causes of action under their respective state laws (the "June 2025 Civil Complaint"). On July 23, 2025, the Company filed its answer and counterclaims to the June 2025 Civil Complaint.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 jointly filed a stipulation to stay the action pending resolution of the proceedings before the same court concerning the allegations in the June 2020 Civil Complaint.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 – Department of Justice June 2020 Civil Complaint Matters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Complaints – Department of Justice March 2024 Civil Complaint Matters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16 and January 22, 2025, purported shareholders filed two separate shareholder derivative complaints in the U.S. District Court for the Southern District of New York against members of the Company's board of directors and certain current and former executive officers of the Company as defendants and Regeneron as a nominal defendant. The complaints each allege that the individual defendants, among other things, breached their fiduciary duties to the Company by failing to properly manage and oversee the Company in connection with the conduct alleged in the March 2024 Civil Complaint discussed under "Department of Justice Matters" above. The complaints also each allege that the individual defendants breached the federal securities laws, wasted corporate assets, and unjustly enriched themselves at the expense of the Company. The complaints each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On June 3, 2025, the court consolidated the two separate shareholder derivative complaints pursuant to a joint stipulation by the parties.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2025, two purported shareholders filed separate shareholder derivative complaints in the New York Supreme Court against members of the Company's board of directors and certain current and former executive officers of the Company as defendants and Regeneron as a nominal defendant. These actions make similar allegations to the ones filed on January 16 and January 22, 2025. On June 16, 2025, the Company filed notices of removal, removing both of the newly filed actions from the New York Supreme Court to the U.S. District Court of the Southern District of New York. On July 16, 2025, the purported shareholders each filed a motion to remand their respective actions back to the New York Supreme Court.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a purported shareholder filed another shareholder derivative complaint in the U.S. District Court for the Southern District of New York against members of the Company's board of directors and certain current and former executive officers of the Company as defendants and Regeneron as a nominal defendant. This complaint makes similar allegations to the ones filed on January 16, 2025, January 22, 2025, and June 5,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 – Director Compensation</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an alleged shareholder filed a shareholder derivative complaint in the New York Supreme Court, naming the current non-employee members of our board of directors, and the co-Chairs of our board of directors (who also serve as our President and Chief Executive Officer and our President and Chief Scientific Officer, respectively) as defendants and Regeneron as a nominal defendant. The complaint asserts that the individual defendants breached their fiduciary duties and/or 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Civil Complaint</w:t>
      </w:r>
    </w:p>
    <w:p>
      <w:pPr>
        <w:spacing w:after="0" w:line="14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January 7,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complaint asserts violations of federal securities laws in connection with statements or disclosures purportedly related to the conduct alleged in the March 2024 Civil Complaint discussed under "Department of Justice Matters" above. On July 10, 2025, the court appointed a lead plaintiff and lead counsel for the action.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Litigation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 On July 3, 2025, Sanofi filed a motion to dismiss the complaint.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laws, regulations, and policies affecting the healthcare industry;</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spacing w:after="0" w:line="7" w:lineRule="exact"/>
        <w:rPr>
          <w:rFonts w:ascii="Times New Roman" w:cs="Times New Roman" w:eastAsia="Times New Roman" w:hAnsi="Times New Roman"/>
          <w:sz w:val="18"/>
          <w:szCs w:val="18"/>
          <w:i w:val="1"/>
          <w:iCs w:val="1"/>
          <w:color w:val="auto"/>
        </w:rPr>
      </w:pPr>
    </w:p>
    <w:p>
      <w:pPr>
        <w:jc w:val="both"/>
        <w:ind w:left="660" w:hanging="328"/>
        <w:spacing w:after="0"/>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12 to our Condensed Consolidated Financial Statements included in this report), risks associated with intellectual property of other parties and pending or future litigation relating thereto (including without limitation the patent litigation and other related proceedings described further in Note 12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42"/>
        </w:trPr>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14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6,692.1</w:t>
            </w:r>
          </w:p>
        </w:tc>
      </w:tr>
      <w:tr>
        <w:trPr>
          <w:trHeight w:val="229"/>
        </w:trPr>
        <w:tc>
          <w:tcPr>
            <w:tcW w:w="14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2,154.3</w:t>
            </w:r>
          </w:p>
        </w:tc>
      </w:tr>
      <w:tr>
        <w:trPr>
          <w:trHeight w:val="230"/>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-2540</wp:posOffset>
            </wp:positionV>
            <wp:extent cx="45605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Macular edema following retinal vein occlusion</w:t>
      </w:r>
    </w:p>
    <w:p>
      <w:pPr>
        <w:ind w:left="4020"/>
        <w:spacing w:after="0" w:line="205" w:lineRule="auto"/>
        <w:rPr>
          <w:sz w:val="20"/>
          <w:szCs w:val="20"/>
          <w:color w:val="auto"/>
        </w:rPr>
      </w:pPr>
      <w:r>
        <w:rPr>
          <w:rFonts w:ascii="Times New Roman" w:cs="Times New Roman" w:eastAsia="Times New Roman" w:hAnsi="Times New Roman"/>
          <w:sz w:val="18"/>
          <w:szCs w:val="18"/>
          <w:color w:val="auto"/>
        </w:rPr>
        <w:t>("RVO"), which includes macular edema following</w:t>
      </w:r>
    </w:p>
    <w:p>
      <w:pPr>
        <w:ind w:left="4020"/>
        <w:spacing w:after="0" w:line="216" w:lineRule="auto"/>
        <w:rPr>
          <w:sz w:val="20"/>
          <w:szCs w:val="20"/>
          <w:color w:val="auto"/>
        </w:rPr>
      </w:pPr>
      <w:r>
        <w:rPr>
          <w:rFonts w:ascii="Times New Roman" w:cs="Times New Roman" w:eastAsia="Times New Roman" w:hAnsi="Times New Roman"/>
          <w:sz w:val="17"/>
          <w:szCs w:val="17"/>
          <w:color w:val="auto"/>
        </w:rPr>
        <w:t>central retinal vein occlusion ("CRVO") and macular</w:t>
      </w:r>
    </w:p>
    <w:p>
      <w:pPr>
        <w:ind w:left="4020"/>
        <w:spacing w:after="0" w:line="219" w:lineRule="auto"/>
        <w:rPr>
          <w:sz w:val="20"/>
          <w:szCs w:val="20"/>
          <w:color w:val="auto"/>
        </w:rPr>
      </w:pPr>
      <w:r>
        <w:rPr>
          <w:rFonts w:ascii="Times New Roman" w:cs="Times New Roman" w:eastAsia="Times New Roman" w:hAnsi="Times New Roman"/>
          <w:sz w:val="18"/>
          <w:szCs w:val="18"/>
          <w:color w:val="auto"/>
        </w:rPr>
        <w:t>edema following branch retinal vein occlusion</w:t>
      </w:r>
    </w:p>
    <w:p>
      <w:pPr>
        <w:ind w:left="4020"/>
        <w:spacing w:after="0"/>
        <w:rPr>
          <w:sz w:val="20"/>
          <w:szCs w:val="20"/>
          <w:color w:val="auto"/>
        </w:rPr>
      </w:pPr>
      <w:r>
        <w:rPr>
          <w:rFonts w:ascii="Times New Roman" w:cs="Times New Roman" w:eastAsia="Times New Roman" w:hAnsi="Times New Roman"/>
          <w:sz w:val="18"/>
          <w:szCs w:val="18"/>
          <w:color w:val="auto"/>
        </w:rPr>
        <w:t>("BRVO")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4445</wp:posOffset>
            </wp:positionV>
            <wp:extent cx="24771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8"/>
          <w:szCs w:val="18"/>
          <w:color w:val="auto"/>
        </w:rPr>
        <w:t>Myopic choroidal neovascularization ("mCNV")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17145</wp:posOffset>
            </wp:positionV>
            <wp:extent cx="24771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Neovascular glaucoma ("NVG")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43180</wp:posOffset>
            </wp:positionV>
            <wp:extent cx="2477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Retinopathy of prematurity ("ROP")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49891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483870</wp:posOffset>
            </wp:positionV>
            <wp:extent cx="2014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100"/>
        <w:spacing w:after="0"/>
        <w:tabs>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20955</wp:posOffset>
            </wp:positionV>
            <wp:extent cx="2014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45" w:lineRule="exact"/>
        <w:rPr>
          <w:sz w:val="20"/>
          <w:szCs w:val="20"/>
          <w:color w:val="auto"/>
        </w:rPr>
      </w:pPr>
    </w:p>
    <w:p>
      <w:pPr>
        <w:ind w:left="2200"/>
        <w:spacing w:after="0"/>
        <w:rPr>
          <w:sz w:val="20"/>
          <w:szCs w:val="20"/>
          <w:color w:val="auto"/>
        </w:rPr>
      </w:pP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58420</wp:posOffset>
            </wp:positionV>
            <wp:extent cx="20142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01"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46990</wp:posOffset>
            </wp:positionV>
            <wp:extent cx="2014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7840" w:space="580"/>
            <w:col w:w="2820"/>
          </w:cols>
          <w:pgMar w:left="320" w:top="369"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 and pediatrics aged 1 year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Bullous pemphigoid</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lung cancer ("NSCLC")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NSCLC (in</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64"/>
        </w:trPr>
        <w:tc>
          <w:tcPr>
            <w:tcW w:w="6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20" w:type="dxa"/>
            <w:vAlign w:val="bottom"/>
          </w:tcPr>
          <w:p>
            <w:pPr>
              <w:spacing w:after="0"/>
              <w:rPr>
                <w:sz w:val="22"/>
                <w:szCs w:val="22"/>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2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178"/>
        </w:trPr>
        <w:tc>
          <w:tcPr>
            <w:tcW w:w="60" w:type="dxa"/>
            <w:vAlign w:val="bottom"/>
          </w:tcPr>
          <w:p>
            <w:pPr>
              <w:spacing w:after="0"/>
              <w:rPr>
                <w:sz w:val="15"/>
                <w:szCs w:val="15"/>
                <w:color w:val="auto"/>
              </w:rPr>
            </w:pPr>
          </w:p>
        </w:tc>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 pediatrics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aged 1 year and older)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952"/>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(e)</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4"/>
        </w:trPr>
        <w:tc>
          <w:tcPr>
            <w:tcW w:w="38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spacing w:after="0" w:line="40"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720" w:hanging="5"/>
        <w:spacing w:after="0" w:line="189" w:lineRule="auto"/>
        <w:tabs>
          <w:tab w:leader="none" w:pos="4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Praluent in the United States and Sanofi is responsible for the development and commercialization of Praluent outside the United States</w:t>
      </w:r>
    </w:p>
    <w:p>
      <w:pPr>
        <w:spacing w:after="0" w:line="6" w:lineRule="exact"/>
        <w:rPr>
          <w:rFonts w:ascii="Times New Roman" w:cs="Times New Roman" w:eastAsia="Times New Roman" w:hAnsi="Times New Roman"/>
          <w:sz w:val="23"/>
          <w:szCs w:val="23"/>
          <w:color w:val="auto"/>
          <w:vertAlign w:val="superscript"/>
        </w:rPr>
      </w:pPr>
    </w:p>
    <w:p>
      <w:pPr>
        <w:ind w:left="240" w:right="400" w:hanging="5"/>
        <w:spacing w:after="0" w:line="199" w:lineRule="auto"/>
        <w:tabs>
          <w:tab w:leader="none" w:pos="4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Evkeeza in the United States and Ultragenyx is responsible for the development and commercialization of Evkeeza outside the United States</w:t>
      </w:r>
    </w:p>
    <w:p>
      <w:pPr>
        <w:ind w:left="400" w:hanging="165"/>
        <w:spacing w:after="0" w:line="217"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Kiniksa is responsible for the development and commercialization of ARCALYST</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jc w:val="center"/>
        <w:ind w:left="1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jc w:val="center"/>
        <w:ind w:left="1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60" w:type="dxa"/>
            <w:vAlign w:val="bottom"/>
            <w:gridSpan w:val="2"/>
          </w:tcPr>
          <w:p>
            <w:pPr>
              <w:jc w:val="center"/>
              <w:ind w:right="380"/>
              <w:spacing w:after="0" w:line="223"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(f)</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r>
      <w:tr>
        <w:trPr>
          <w:trHeight w:val="223"/>
        </w:trPr>
        <w:tc>
          <w:tcPr>
            <w:tcW w:w="2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2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848.7</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1,139.6</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946.2</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12"/>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8"/>
        </w:trPr>
        <w:tc>
          <w:tcPr>
            <w:tcW w:w="2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8"/>
        </w:trPr>
        <w:tc>
          <w:tcPr>
            <w:tcW w:w="2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3"/>
        </w:trPr>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U.S.</w:t>
            </w: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ROW</w:t>
            </w:r>
          </w:p>
        </w:tc>
        <w:tc>
          <w:tcPr>
            <w:tcW w:w="22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Sales)</w:t>
            </w:r>
          </w:p>
        </w:tc>
      </w:tr>
      <w:tr>
        <w:trPr>
          <w:trHeight w:val="223"/>
        </w:trPr>
        <w:tc>
          <w:tcPr>
            <w:tcW w:w="27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1,088.1</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27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1,447.4</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4,115.0</w:t>
            </w: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2,175.8</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6,633.2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87"/>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ind w:left="180" w:right="40" w:firstLine="8"/>
        <w:spacing w:after="0"/>
        <w:tabs>
          <w:tab w:leader="none" w:pos="35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1" w:lineRule="exact"/>
        <w:rPr>
          <w:rFonts w:ascii="Times New Roman" w:cs="Times New Roman" w:eastAsia="Times New Roman" w:hAnsi="Times New Roman"/>
          <w:sz w:val="21"/>
          <w:szCs w:val="21"/>
          <w:color w:val="auto"/>
          <w:vertAlign w:val="superscript"/>
        </w:rPr>
      </w:pPr>
    </w:p>
    <w:p>
      <w:pPr>
        <w:ind w:left="180" w:right="800" w:firstLine="8"/>
        <w:spacing w:after="0" w:line="215" w:lineRule="auto"/>
        <w:tabs>
          <w:tab w:leader="none" w:pos="356"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1" w:lineRule="exact"/>
        <w:rPr>
          <w:rFonts w:ascii="Times New Roman" w:cs="Times New Roman" w:eastAsia="Times New Roman" w:hAnsi="Times New Roman"/>
          <w:sz w:val="21"/>
          <w:szCs w:val="21"/>
          <w:color w:val="auto"/>
          <w:vertAlign w:val="superscript"/>
        </w:rPr>
      </w:pPr>
    </w:p>
    <w:p>
      <w:pPr>
        <w:ind w:left="360" w:hanging="172"/>
        <w:spacing w:after="0" w:line="208" w:lineRule="auto"/>
        <w:tabs>
          <w:tab w:leader="none" w:pos="3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37" w:lineRule="exact"/>
        <w:rPr>
          <w:rFonts w:ascii="Times New Roman" w:cs="Times New Roman" w:eastAsia="Times New Roman" w:hAnsi="Times New Roman"/>
          <w:sz w:val="23"/>
          <w:szCs w:val="23"/>
          <w:color w:val="auto"/>
          <w:vertAlign w:val="superscript"/>
        </w:rPr>
      </w:pPr>
    </w:p>
    <w:p>
      <w:pPr>
        <w:ind w:left="180" w:right="100" w:firstLine="8"/>
        <w:spacing w:after="0" w:line="202" w:lineRule="auto"/>
        <w:tabs>
          <w:tab w:leader="none" w:pos="36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5" w:lineRule="exact"/>
        <w:rPr>
          <w:rFonts w:ascii="Times New Roman" w:cs="Times New Roman" w:eastAsia="Times New Roman" w:hAnsi="Times New Roman"/>
          <w:sz w:val="22"/>
          <w:szCs w:val="22"/>
          <w:color w:val="auto"/>
          <w:vertAlign w:val="superscript"/>
        </w:rPr>
      </w:pPr>
    </w:p>
    <w:p>
      <w:pPr>
        <w:ind w:left="180" w:right="220" w:firstLine="8"/>
        <w:spacing w:after="0" w:line="211" w:lineRule="auto"/>
        <w:tabs>
          <w:tab w:leader="none" w:pos="35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complete listing of net product sales recorded by us. Not included in this line item are net product sales of ARCALYST, which are recorded by Kiniksa.</w:t>
      </w:r>
    </w:p>
    <w:p>
      <w:pPr>
        <w:spacing w:after="0" w:line="1" w:lineRule="exact"/>
        <w:rPr>
          <w:rFonts w:ascii="Times New Roman" w:cs="Times New Roman" w:eastAsia="Times New Roman" w:hAnsi="Times New Roman"/>
          <w:sz w:val="22"/>
          <w:szCs w:val="22"/>
          <w:color w:val="auto"/>
          <w:vertAlign w:val="superscript"/>
        </w:rPr>
      </w:pPr>
    </w:p>
    <w:p>
      <w:pPr>
        <w:ind w:left="340" w:hanging="152"/>
        <w:spacing w:after="0" w:line="192" w:lineRule="auto"/>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bl>
    <w:p>
      <w:pPr>
        <w:spacing w:after="0" w:line="271" w:lineRule="exact"/>
        <w:rPr>
          <w:sz w:val="20"/>
          <w:szCs w:val="20"/>
          <w:color w:val="auto"/>
        </w:rPr>
      </w:pPr>
    </w:p>
    <w:p>
      <w:pPr>
        <w:sectPr>
          <w:pgSz w:w="11900" w:h="16838" w:orient="portrait"/>
          <w:cols w:equalWidth="0" w:num="2">
            <w:col w:w="7080" w:space="80"/>
            <w:col w:w="4080"/>
          </w:cols>
          <w:pgMar w:left="320" w:top="369" w:right="339" w:bottom="1440" w:gutter="0" w:footer="0" w:header="0"/>
          <w:type w:val="continuous"/>
        </w:sectPr>
      </w:pPr>
    </w:p>
    <w:p>
      <w:pPr>
        <w:ind w:left="20"/>
        <w:spacing w:after="0"/>
        <w:tabs>
          <w:tab w:leader="none" w:pos="3780" w:val="left"/>
          <w:tab w:leader="none" w:pos="5500" w:val="left"/>
        </w:tabs>
        <w:rPr>
          <w:sz w:val="20"/>
          <w:szCs w:val="20"/>
          <w:color w:val="auto"/>
        </w:rPr>
      </w:pPr>
      <w:r>
        <w:rPr>
          <w:rFonts w:ascii="Times New Roman" w:cs="Times New Roman" w:eastAsia="Times New Roman" w:hAnsi="Times New Roman"/>
          <w:sz w:val="18"/>
          <w:szCs w:val="18"/>
          <w:b w:val="1"/>
          <w:bCs w:val="1"/>
          <w:color w:val="auto"/>
        </w:rPr>
        <w:t>EYLEA HD (aflibercept)</w:t>
      </w:r>
      <w:r>
        <w:rPr>
          <w:sz w:val="20"/>
          <w:szCs w:val="20"/>
          <w:color w:val="auto"/>
        </w:rPr>
        <w:tab/>
      </w:r>
      <w:r>
        <w:rPr>
          <w:rFonts w:ascii="Times New Roman" w:cs="Times New Roman" w:eastAsia="Times New Roman" w:hAnsi="Times New Roman"/>
          <w:sz w:val="18"/>
          <w:szCs w:val="18"/>
          <w:color w:val="auto"/>
        </w:rPr>
        <w:t>–RVO</w:t>
      </w:r>
      <w:r>
        <w:rPr>
          <w:sz w:val="20"/>
          <w:szCs w:val="20"/>
          <w:color w:val="auto"/>
        </w:rPr>
        <w:tab/>
      </w:r>
      <w:r>
        <w:rPr>
          <w:rFonts w:ascii="Times New Roman" w:cs="Times New Roman" w:eastAsia="Times New Roman" w:hAnsi="Times New Roman"/>
          <w:sz w:val="17"/>
          <w:szCs w:val="17"/>
          <w:color w:val="auto"/>
        </w:rPr>
        <w:t>–Pre-filled syringe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351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351530"/>
                    </a:xfrm>
                    <a:prstGeom prst="rect">
                      <a:avLst/>
                    </a:prstGeom>
                    <a:noFill/>
                  </pic:spPr>
                </pic:pic>
              </a:graphicData>
            </a:graphic>
          </wp:anchor>
        </w:drawing>
      </w:r>
    </w:p>
    <w:p>
      <w:pPr>
        <w:ind w:left="20"/>
        <w:spacing w:after="0"/>
        <w:tabs>
          <w:tab w:leader="none" w:pos="5500" w:val="left"/>
        </w:tabs>
        <w:rPr>
          <w:sz w:val="20"/>
          <w:szCs w:val="20"/>
          <w:color w:val="auto"/>
        </w:rPr>
      </w:pPr>
      <w:r>
        <w:rPr>
          <w:rFonts w:ascii="Times New Roman" w:cs="Times New Roman" w:eastAsia="Times New Roman" w:hAnsi="Times New Roman"/>
          <w:sz w:val="18"/>
          <w:szCs w:val="18"/>
          <w:b w:val="1"/>
          <w:bCs w:val="1"/>
          <w:color w:val="auto"/>
        </w:rPr>
        <w:t>8 mg</w:t>
      </w:r>
      <w:r>
        <w:rPr>
          <w:rFonts w:ascii="Times New Roman" w:cs="Times New Roman" w:eastAsia="Times New Roman" w:hAnsi="Times New Roman"/>
          <w:sz w:val="23"/>
          <w:szCs w:val="23"/>
          <w:b w:val="1"/>
          <w:bCs w:val="1"/>
          <w:color w:val="auto"/>
          <w:vertAlign w:val="superscript"/>
        </w:rPr>
        <w:t>(a)</w:t>
      </w:r>
      <w:r>
        <w:rPr>
          <w:sz w:val="20"/>
          <w:szCs w:val="20"/>
          <w:color w:val="auto"/>
        </w:rPr>
        <w:tab/>
      </w:r>
      <w:r>
        <w:rPr>
          <w:rFonts w:ascii="Times New Roman" w:cs="Times New Roman" w:eastAsia="Times New Roman" w:hAnsi="Times New Roman"/>
          <w:sz w:val="18"/>
          <w:szCs w:val="18"/>
          <w:color w:val="auto"/>
        </w:rPr>
        <w:t>(U.S.)</w:t>
      </w:r>
    </w:p>
    <w:p>
      <w:pPr>
        <w:spacing w:after="0" w:line="1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–RVO (U.S.)</w:t>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–Every 4-week</w:t>
      </w:r>
    </w:p>
    <w:p>
      <w:pPr>
        <w:ind w:left="5520"/>
        <w:spacing w:after="0" w:line="205" w:lineRule="auto"/>
        <w:rPr>
          <w:sz w:val="20"/>
          <w:szCs w:val="20"/>
          <w:color w:val="auto"/>
        </w:rPr>
      </w:pPr>
      <w:r>
        <w:rPr>
          <w:rFonts w:ascii="Times New Roman" w:cs="Times New Roman" w:eastAsia="Times New Roman" w:hAnsi="Times New Roman"/>
          <w:sz w:val="18"/>
          <w:szCs w:val="18"/>
          <w:color w:val="auto"/>
        </w:rPr>
        <w:t>dosing regimen for</w:t>
      </w:r>
    </w:p>
    <w:p>
      <w:pPr>
        <w:ind w:left="5520"/>
        <w:spacing w:after="0" w:line="216" w:lineRule="auto"/>
        <w:rPr>
          <w:sz w:val="20"/>
          <w:szCs w:val="20"/>
          <w:color w:val="auto"/>
        </w:rPr>
      </w:pPr>
      <w:r>
        <w:rPr>
          <w:rFonts w:ascii="Times New Roman" w:cs="Times New Roman" w:eastAsia="Times New Roman" w:hAnsi="Times New Roman"/>
          <w:sz w:val="17"/>
          <w:szCs w:val="17"/>
          <w:color w:val="auto"/>
        </w:rPr>
        <w:t>approved indications</w:t>
      </w:r>
    </w:p>
    <w:p>
      <w:pPr>
        <w:ind w:left="552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–Geographic atrophy,</w:t>
            </w:r>
          </w:p>
        </w:tc>
      </w:tr>
      <w:tr>
        <w:trPr>
          <w:trHeight w:val="181"/>
        </w:trPr>
        <w:tc>
          <w:tcPr>
            <w:tcW w:w="286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3880" w:type="dxa"/>
            <w:vAlign w:val="bottom"/>
          </w:tcPr>
          <w:p>
            <w:pPr>
              <w:ind w:left="920"/>
              <w:spacing w:after="0" w:line="181" w:lineRule="exact"/>
              <w:rPr>
                <w:sz w:val="20"/>
                <w:szCs w:val="20"/>
                <w:color w:val="auto"/>
              </w:rPr>
            </w:pPr>
            <w:r>
              <w:rPr>
                <w:rFonts w:ascii="Times New Roman" w:cs="Times New Roman" w:eastAsia="Times New Roman" w:hAnsi="Times New Roman"/>
                <w:sz w:val="18"/>
                <w:szCs w:val="18"/>
                <w:color w:val="auto"/>
              </w:rPr>
              <w:t>cemdisiran</w:t>
            </w:r>
          </w:p>
        </w:tc>
      </w:tr>
      <w:tr>
        <w:trPr>
          <w:trHeight w:val="283"/>
        </w:trPr>
        <w:tc>
          <w:tcPr>
            <w:tcW w:w="2860" w:type="dxa"/>
            <w:vAlign w:val="bottom"/>
          </w:tcPr>
          <w:p>
            <w:pPr>
              <w:spacing w:after="0"/>
              <w:rPr>
                <w:sz w:val="24"/>
                <w:szCs w:val="24"/>
                <w:color w:val="auto"/>
              </w:rPr>
            </w:pP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(l)</w:t>
            </w:r>
          </w:p>
        </w:tc>
      </w:tr>
      <w:tr>
        <w:trPr>
          <w:trHeight w:val="238"/>
        </w:trPr>
        <w:tc>
          <w:tcPr>
            <w:tcW w:w="2860" w:type="dxa"/>
            <w:vAlign w:val="bottom"/>
          </w:tcPr>
          <w:p>
            <w:pPr>
              <w:spacing w:after="0"/>
              <w:rPr>
                <w:sz w:val="20"/>
                <w:szCs w:val="20"/>
                <w:color w:val="auto"/>
              </w:rPr>
            </w:pPr>
          </w:p>
        </w:tc>
        <w:tc>
          <w:tcPr>
            <w:tcW w:w="38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Immunology &amp; Inflammation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positive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three-year data from extension study of Phase 3 wAMD trial at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Angiogenesis, Exudation, and Degeneration ("Angiogenesis")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–Presented positive data from Phase 3 QUASAR</w:t>
      </w:r>
    </w:p>
    <w:p>
      <w:pPr>
        <w:ind w:right="480"/>
        <w:spacing w:after="0" w:line="231" w:lineRule="auto"/>
        <w:rPr>
          <w:sz w:val="20"/>
          <w:szCs w:val="20"/>
          <w:color w:val="auto"/>
        </w:rPr>
      </w:pPr>
      <w:r>
        <w:rPr>
          <w:rFonts w:ascii="Times New Roman" w:cs="Times New Roman" w:eastAsia="Times New Roman" w:hAnsi="Times New Roman"/>
          <w:sz w:val="17"/>
          <w:szCs w:val="17"/>
          <w:color w:val="auto"/>
        </w:rPr>
        <w:t>trial in RVO at Angiogenesis 2025 annual meeting</w:t>
      </w:r>
    </w:p>
    <w:p>
      <w:pPr>
        <w:spacing w:after="0" w:line="199"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–FDA issued Complete Response Letters ("CRLs") for sBLA for</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addition of extended dosing intervals and for regulatory application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pre-filled syringe</w:t>
      </w:r>
    </w:p>
    <w:p>
      <w:pPr>
        <w:spacing w:after="0" w:line="19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–Approved by EC for extended dosing intervals</w:t>
      </w:r>
    </w:p>
    <w:p>
      <w:pPr>
        <w:ind w:right="260"/>
        <w:spacing w:after="0" w:line="218" w:lineRule="auto"/>
        <w:rPr>
          <w:sz w:val="20"/>
          <w:szCs w:val="20"/>
          <w:color w:val="auto"/>
        </w:rPr>
      </w:pPr>
      <w:r>
        <w:rPr>
          <w:rFonts w:ascii="Times New Roman" w:cs="Times New Roman" w:eastAsia="Times New Roman" w:hAnsi="Times New Roman"/>
          <w:sz w:val="18"/>
          <w:szCs w:val="18"/>
          <w:color w:val="auto"/>
        </w:rPr>
        <w:t>up to 6 months (24 weeks) in wAMD and DME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Food and Drug</w:t>
      </w:r>
    </w:p>
    <w:p>
      <w:pPr>
        <w:spacing w:after="0" w:line="2"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Administration ("FDA") decision for pre-filled syringe</w:t>
      </w:r>
    </w:p>
    <w:p>
      <w:pPr>
        <w:spacing w:after="0" w:line="199" w:lineRule="exact"/>
        <w:rPr>
          <w:sz w:val="20"/>
          <w:szCs w:val="20"/>
          <w:color w:val="auto"/>
        </w:rPr>
      </w:pPr>
    </w:p>
    <w:p>
      <w:pPr>
        <w:ind w:right="400"/>
        <w:spacing w:after="0" w:line="229" w:lineRule="auto"/>
        <w:rPr>
          <w:sz w:val="20"/>
          <w:szCs w:val="20"/>
          <w:color w:val="auto"/>
        </w:rPr>
      </w:pPr>
      <w:r>
        <w:rPr>
          <w:rFonts w:ascii="Times New Roman" w:cs="Times New Roman" w:eastAsia="Times New Roman" w:hAnsi="Times New Roman"/>
          <w:sz w:val="17"/>
          <w:szCs w:val="17"/>
          <w:color w:val="auto"/>
        </w:rPr>
        <w:t>–FDA decision on supplemental Biologics License Application</w:t>
      </w:r>
    </w:p>
    <w:p>
      <w:pPr>
        <w:spacing w:after="0"/>
        <w:rPr>
          <w:sz w:val="20"/>
          <w:szCs w:val="20"/>
          <w:color w:val="auto"/>
        </w:rPr>
      </w:pPr>
      <w:r>
        <w:rPr>
          <w:rFonts w:ascii="Times New Roman" w:cs="Times New Roman" w:eastAsia="Times New Roman" w:hAnsi="Times New Roman"/>
          <w:sz w:val="18"/>
          <w:szCs w:val="18"/>
          <w:color w:val="auto"/>
        </w:rPr>
        <w:t>("sBLA") for RVO</w:t>
      </w:r>
    </w:p>
    <w:p>
      <w:pPr>
        <w:spacing w:after="0" w:line="192" w:lineRule="exact"/>
        <w:rPr>
          <w:sz w:val="20"/>
          <w:szCs w:val="20"/>
          <w:color w:val="auto"/>
        </w:rPr>
      </w:pPr>
    </w:p>
    <w:p>
      <w:pPr>
        <w:ind w:right="40"/>
        <w:spacing w:after="0" w:line="222" w:lineRule="auto"/>
        <w:rPr>
          <w:sz w:val="20"/>
          <w:szCs w:val="20"/>
          <w:color w:val="auto"/>
        </w:rPr>
      </w:pPr>
      <w:r>
        <w:rPr>
          <w:rFonts w:ascii="Times New Roman" w:cs="Times New Roman" w:eastAsia="Times New Roman" w:hAnsi="Times New Roman"/>
          <w:sz w:val="18"/>
          <w:szCs w:val="18"/>
          <w:color w:val="auto"/>
        </w:rPr>
        <w:t>–FDA decision on sBLA for every 4-week dosing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regimen</w:t>
      </w:r>
    </w:p>
    <w:p>
      <w:pPr>
        <w:spacing w:after="0" w:line="3680" w:lineRule="exact"/>
        <w:rPr>
          <w:sz w:val="20"/>
          <w:szCs w:val="20"/>
          <w:color w:val="auto"/>
        </w:rPr>
      </w:pPr>
    </w:p>
    <w:p>
      <w:pPr>
        <w:sectPr>
          <w:pgSz w:w="11900" w:h="16838" w:orient="portrait"/>
          <w:cols w:equalWidth="0" w:num="3">
            <w:col w:w="7020" w:space="160"/>
            <w:col w:w="1860" w:space="12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36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–Ulcerative colitis</w:t>
            </w:r>
          </w:p>
        </w:tc>
        <w:tc>
          <w:tcPr>
            <w:tcW w:w="1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–Asthma in pediatrics</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–Asthma in</w:t>
            </w:r>
          </w:p>
        </w:tc>
        <w:tc>
          <w:tcPr>
            <w:tcW w:w="1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–Approved by Japan's</w:t>
            </w:r>
          </w:p>
        </w:tc>
        <w:tc>
          <w:tcPr>
            <w:tcW w:w="2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–European Commission</w:t>
            </w:r>
          </w:p>
        </w:tc>
        <w:tc>
          <w:tcPr>
            <w:tcW w:w="0" w:type="dxa"/>
            <w:vAlign w:val="bottom"/>
          </w:tcPr>
          <w:p>
            <w:pPr>
              <w:spacing w:after="0"/>
              <w:rPr>
                <w:sz w:val="1"/>
                <w:szCs w:val="1"/>
                <w:color w:val="auto"/>
              </w:rPr>
            </w:pPr>
          </w:p>
        </w:tc>
      </w:tr>
      <w:tr>
        <w:trPr>
          <w:trHeight w:val="182"/>
        </w:trPr>
        <w:tc>
          <w:tcPr>
            <w:tcW w:w="36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800" w:type="dxa"/>
            <w:vAlign w:val="bottom"/>
            <w:shd w:val="clear" w:color="auto" w:fill="CCEEFF"/>
          </w:tcPr>
          <w:p>
            <w:pPr>
              <w:ind w:left="16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6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(6–11</w:t>
            </w:r>
          </w:p>
        </w:tc>
        <w:tc>
          <w:tcPr>
            <w:tcW w:w="19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Ministry of Health,</w:t>
            </w:r>
          </w:p>
        </w:tc>
        <w:tc>
          <w:tcPr>
            <w:tcW w:w="218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("EC") decision on</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subunit</w:t>
            </w:r>
          </w:p>
        </w:tc>
        <w:tc>
          <w:tcPr>
            <w:tcW w:w="1800" w:type="dxa"/>
            <w:vAlign w:val="bottom"/>
            <w:shd w:val="clear" w:color="auto" w:fill="CCEEFF"/>
          </w:tcPr>
          <w:p>
            <w:pPr>
              <w:spacing w:after="0"/>
              <w:rPr>
                <w:sz w:val="15"/>
                <w:szCs w:val="15"/>
                <w:color w:val="auto"/>
              </w:rPr>
            </w:pP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years of age) (Japan)</w:t>
            </w: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Labour and Welfare</w:t>
            </w:r>
          </w:p>
        </w:tc>
        <w:tc>
          <w:tcPr>
            <w:tcW w:w="218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–Chronic pruritus of</w:t>
            </w:r>
          </w:p>
        </w:tc>
        <w:tc>
          <w:tcPr>
            <w:tcW w:w="1660" w:type="dxa"/>
            <w:vAlign w:val="bottom"/>
            <w:shd w:val="clear" w:color="auto" w:fill="CCEEFF"/>
          </w:tcPr>
          <w:p>
            <w:pPr>
              <w:spacing w:after="0"/>
              <w:rPr>
                <w:sz w:val="16"/>
                <w:szCs w:val="16"/>
                <w:color w:val="auto"/>
              </w:rPr>
            </w:pP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("MHLW") for COPD</w:t>
            </w:r>
          </w:p>
        </w:tc>
        <w:tc>
          <w:tcPr>
            <w:tcW w:w="218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CSU in adults and</w:t>
            </w:r>
          </w:p>
        </w:tc>
        <w:tc>
          <w:tcPr>
            <w:tcW w:w="0" w:type="dxa"/>
            <w:vAlign w:val="bottom"/>
          </w:tcPr>
          <w:p>
            <w:pPr>
              <w:spacing w:after="0"/>
              <w:rPr>
                <w:sz w:val="1"/>
                <w:szCs w:val="1"/>
                <w:color w:val="auto"/>
              </w:rPr>
            </w:pPr>
          </w:p>
        </w:tc>
      </w:tr>
      <w:tr>
        <w:trPr>
          <w:trHeight w:val="59"/>
        </w:trPr>
        <w:tc>
          <w:tcPr>
            <w:tcW w:w="364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–CSU in adults and</w:t>
            </w:r>
          </w:p>
        </w:tc>
        <w:tc>
          <w:tcPr>
            <w:tcW w:w="1960" w:type="dxa"/>
            <w:vAlign w:val="bottom"/>
            <w:shd w:val="clear" w:color="auto" w:fill="CCEEFF"/>
          </w:tcPr>
          <w:p>
            <w:pPr>
              <w:spacing w:after="0"/>
              <w:rPr>
                <w:sz w:val="5"/>
                <w:szCs w:val="5"/>
                <w:color w:val="auto"/>
              </w:rPr>
            </w:pP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adolescents (second half</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unknown origin</w:t>
            </w:r>
          </w:p>
        </w:tc>
        <w:tc>
          <w:tcPr>
            <w:tcW w:w="1660" w:type="dxa"/>
            <w:vAlign w:val="bottom"/>
            <w:vMerge w:val="continue"/>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spacing w:after="0"/>
              <w:rPr>
                <w:sz w:val="16"/>
                <w:szCs w:val="16"/>
                <w:color w:val="auto"/>
              </w:rPr>
            </w:pPr>
          </w:p>
        </w:tc>
        <w:tc>
          <w:tcPr>
            <w:tcW w:w="18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("CPUO")</w:t>
            </w:r>
          </w:p>
        </w:tc>
        <w:tc>
          <w:tcPr>
            <w:tcW w:w="16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adolescents (EU)</w:t>
            </w:r>
          </w:p>
        </w:tc>
        <w:tc>
          <w:tcPr>
            <w:tcW w:w="19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–Approved by FDA for</w:t>
            </w:r>
          </w:p>
        </w:tc>
        <w:tc>
          <w:tcPr>
            <w:tcW w:w="21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CSU in adults and</w:t>
            </w: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16"/>
                <w:szCs w:val="16"/>
                <w:color w:val="auto"/>
              </w:rPr>
            </w:pPr>
          </w:p>
        </w:tc>
        <w:tc>
          <w:tcPr>
            <w:tcW w:w="18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–Lichen simplex</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–CSU in pediatrics</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adolescents</w:t>
            </w:r>
          </w:p>
        </w:tc>
        <w:tc>
          <w:tcPr>
            <w:tcW w:w="21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64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960" w:type="dxa"/>
            <w:vAlign w:val="bottom"/>
            <w:shd w:val="clear" w:color="auto" w:fill="CCEEFF"/>
          </w:tcPr>
          <w:p>
            <w:pPr>
              <w:spacing w:after="0"/>
              <w:rPr>
                <w:sz w:val="5"/>
                <w:szCs w:val="5"/>
                <w:color w:val="auto"/>
              </w:rPr>
            </w:pPr>
          </w:p>
        </w:tc>
        <w:tc>
          <w:tcPr>
            <w:tcW w:w="2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submission for bullous</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chronicus</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(2–11 years of age)</w:t>
            </w:r>
          </w:p>
        </w:tc>
        <w:tc>
          <w:tcPr>
            <w:tcW w:w="1960" w:type="dxa"/>
            <w:vAlign w:val="bottom"/>
            <w:shd w:val="clear" w:color="auto" w:fill="CCEEFF"/>
          </w:tcPr>
          <w:p>
            <w:pPr>
              <w:spacing w:after="0"/>
              <w:rPr>
                <w:sz w:val="15"/>
                <w:szCs w:val="15"/>
                <w:color w:val="auto"/>
              </w:rPr>
            </w:pPr>
          </w:p>
        </w:tc>
        <w:tc>
          <w:tcPr>
            <w:tcW w:w="2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6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(U.S. and EU)</w:t>
            </w:r>
          </w:p>
        </w:tc>
        <w:tc>
          <w:tcPr>
            <w:tcW w:w="19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–Resubmitted regulatory</w:t>
            </w:r>
          </w:p>
        </w:tc>
        <w:tc>
          <w:tcPr>
            <w:tcW w:w="21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pemphigoid (first half 2026)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9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application for CSU in</w:t>
            </w:r>
          </w:p>
        </w:tc>
        <w:tc>
          <w:tcPr>
            <w:tcW w:w="2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–Bullous</w:t>
            </w:r>
          </w:p>
        </w:tc>
        <w:tc>
          <w:tcPr>
            <w:tcW w:w="19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adults and adolescents in</w:t>
            </w:r>
          </w:p>
        </w:tc>
        <w:tc>
          <w:tcPr>
            <w:tcW w:w="2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364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1660" w:type="dxa"/>
            <w:vAlign w:val="bottom"/>
            <w:vMerge w:val="continue"/>
            <w:shd w:val="clear" w:color="auto" w:fill="CCEEFF"/>
          </w:tcPr>
          <w:p>
            <w:pPr>
              <w:spacing w:after="0"/>
              <w:rPr>
                <w:sz w:val="5"/>
                <w:szCs w:val="5"/>
                <w:color w:val="auto"/>
              </w:rPr>
            </w:pPr>
          </w:p>
        </w:tc>
        <w:tc>
          <w:tcPr>
            <w:tcW w:w="19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EU</w:t>
            </w:r>
          </w:p>
        </w:tc>
        <w:tc>
          <w:tcPr>
            <w:tcW w:w="2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pemphigoid (EU and</w:t>
            </w:r>
          </w:p>
        </w:tc>
        <w:tc>
          <w:tcPr>
            <w:tcW w:w="1960" w:type="dxa"/>
            <w:vAlign w:val="bottom"/>
            <w:vMerge w:val="continue"/>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16"/>
        </w:trPr>
        <w:tc>
          <w:tcPr>
            <w:tcW w:w="36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30</w:t>
            </w:r>
          </w:p>
        </w:tc>
        <w:tc>
          <w:tcPr>
            <w:tcW w:w="1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6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6"/>
        </w:trPr>
        <w:tc>
          <w:tcPr>
            <w:tcW w:w="20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–Presented positive data</w:t>
            </w: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from Phase 2/3 bullous</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pemphigoid trial at 2025</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American Academy of</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Dermatology ("AAD")</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idiopathic arthritis</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pJIA</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("sJIA") (pivotal</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–Non-cystic fibrosis</w:t>
            </w:r>
          </w:p>
        </w:tc>
        <w:tc>
          <w:tcPr>
            <w:tcW w:w="1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trial (AERIFY-1) in</w:t>
            </w:r>
          </w:p>
        </w:tc>
        <w:tc>
          <w:tcPr>
            <w:tcW w:w="2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COPD met its primary</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endpoint; second Phase 3</w:t>
            </w: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–Chronic</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trial (AERIFY-2) did not</w:t>
            </w: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rhinosinusitis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meet same primary</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endpoint</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("CRSsNP")</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REGN5713-5715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Bet v 1</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REGN1908-1909</w:t>
            </w:r>
            <w:r>
              <w:rPr>
                <w:rFonts w:ascii="Times New Roman" w:cs="Times New Roman" w:eastAsia="Times New Roman" w:hAnsi="Times New Roman"/>
                <w:sz w:val="21"/>
                <w:szCs w:val="21"/>
                <w:b w:val="1"/>
                <w:bCs w:val="1"/>
                <w:color w:val="auto"/>
                <w:vertAlign w:val="superscript"/>
              </w:rPr>
              <w:t>(f)</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Fel d 1</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Solid Organ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77" w:lineRule="exact"/>
        <w:rPr>
          <w:sz w:val="20"/>
          <w:szCs w:val="20"/>
          <w:color w:val="auto"/>
        </w:rPr>
      </w:pPr>
    </w:p>
    <w:p>
      <w:pPr>
        <w:ind w:left="20" w:right="140"/>
        <w:spacing w:after="0" w:line="217" w:lineRule="auto"/>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–Neoadjuvant CSCC –Adjuvant CSCC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to PD-1</w:t>
      </w:r>
    </w:p>
    <w:p>
      <w:pPr>
        <w:ind w:left="2140"/>
        <w:spacing w:after="0" w:line="224" w:lineRule="auto"/>
        <w:tabs>
          <w:tab w:leader="none" w:pos="3780" w:val="left"/>
        </w:tabs>
        <w:rPr>
          <w:sz w:val="20"/>
          <w:szCs w:val="20"/>
          <w:color w:val="auto"/>
        </w:rPr>
      </w:pPr>
      <w:r>
        <w:rPr>
          <w:rFonts w:ascii="Times New Roman" w:cs="Times New Roman" w:eastAsia="Times New Roman" w:hAnsi="Times New Roman"/>
          <w:sz w:val="18"/>
          <w:szCs w:val="18"/>
          <w:color w:val="auto"/>
        </w:rPr>
        <w:t>–First-line NSCLC,</w:t>
        <w:tab/>
        <w:t>–Early-stage CSCC</w:t>
      </w:r>
    </w:p>
    <w:p>
      <w:pPr>
        <w:ind w:left="2140"/>
        <w:spacing w:after="0" w:line="217" w:lineRule="auto"/>
        <w:tabs>
          <w:tab w:leader="none" w:pos="3780" w:val="left"/>
        </w:tabs>
        <w:rPr>
          <w:sz w:val="20"/>
          <w:szCs w:val="20"/>
          <w:color w:val="auto"/>
        </w:rPr>
      </w:pPr>
      <w:r>
        <w:rPr>
          <w:rFonts w:ascii="Times New Roman" w:cs="Times New Roman" w:eastAsia="Times New Roman" w:hAnsi="Times New Roman"/>
          <w:sz w:val="17"/>
          <w:szCs w:val="17"/>
          <w:color w:val="auto"/>
        </w:rPr>
        <w:t>BNT116</w:t>
      </w:r>
      <w:r>
        <w:rPr>
          <w:rFonts w:ascii="Times New Roman" w:cs="Times New Roman" w:eastAsia="Times New Roman" w:hAnsi="Times New Roman"/>
          <w:sz w:val="21"/>
          <w:szCs w:val="21"/>
          <w:color w:val="auto"/>
          <w:vertAlign w:val="superscript"/>
        </w:rPr>
        <w:t>(i)</w:t>
      </w:r>
      <w:r>
        <w:rPr>
          <w:sz w:val="20"/>
          <w:szCs w:val="20"/>
          <w:color w:val="auto"/>
        </w:rPr>
        <w:tab/>
      </w:r>
      <w:r>
        <w:rPr>
          <w:rFonts w:ascii="Times New Roman" w:cs="Times New Roman" w:eastAsia="Times New Roman" w:hAnsi="Times New Roman"/>
          <w:sz w:val="18"/>
          <w:szCs w:val="18"/>
          <w:color w:val="auto"/>
        </w:rPr>
        <w:t>(intralesional)</w:t>
      </w:r>
    </w:p>
    <w:p>
      <w:pPr>
        <w:ind w:left="2140"/>
        <w:spacing w:after="0"/>
        <w:rPr>
          <w:sz w:val="20"/>
          <w:szCs w:val="20"/>
          <w:color w:val="auto"/>
        </w:rPr>
      </w:pPr>
      <w:r>
        <w:rPr>
          <w:rFonts w:ascii="Times New Roman" w:cs="Times New Roman" w:eastAsia="Times New Roman" w:hAnsi="Times New Roman"/>
          <w:sz w:val="18"/>
          <w:szCs w:val="18"/>
          <w:color w:val="auto"/>
        </w:rPr>
        <w:t>combination</w:t>
      </w:r>
    </w:p>
    <w:p>
      <w:pPr>
        <w:spacing w:after="0" w:line="19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–Neoadjuvant</w:t>
      </w:r>
    </w:p>
    <w:p>
      <w:pPr>
        <w:ind w:left="2140"/>
        <w:spacing w:after="0"/>
        <w:rPr>
          <w:sz w:val="20"/>
          <w:szCs w:val="20"/>
          <w:color w:val="auto"/>
        </w:rPr>
      </w:pPr>
      <w:r>
        <w:rPr>
          <w:rFonts w:ascii="Times New Roman" w:cs="Times New Roman" w:eastAsia="Times New Roman" w:hAnsi="Times New Roman"/>
          <w:sz w:val="18"/>
          <w:szCs w:val="18"/>
          <w:color w:val="auto"/>
        </w:rPr>
        <w:t>NSCLC</w:t>
      </w:r>
    </w:p>
    <w:p>
      <w:pPr>
        <w:spacing w:after="0" w:line="19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–Neoadjuvant</w:t>
      </w:r>
    </w:p>
    <w:p>
      <w:pPr>
        <w:ind w:left="2140"/>
        <w:spacing w:after="0" w:line="205" w:lineRule="auto"/>
        <w:rPr>
          <w:sz w:val="20"/>
          <w:szCs w:val="20"/>
          <w:color w:val="auto"/>
        </w:rPr>
      </w:pPr>
      <w:r>
        <w:rPr>
          <w:rFonts w:ascii="Times New Roman" w:cs="Times New Roman" w:eastAsia="Times New Roman" w:hAnsi="Times New Roman"/>
          <w:sz w:val="18"/>
          <w:szCs w:val="18"/>
          <w:color w:val="auto"/>
        </w:rPr>
        <w:t>hepatocellular</w:t>
      </w:r>
    </w:p>
    <w:p>
      <w:pPr>
        <w:spacing w:after="0" w:line="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carcinoma ("HCC")</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–First-line NSCLC,</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–Reported positive data</w:t>
            </w: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–MHLW decision on</w:t>
            </w:r>
          </w:p>
        </w:tc>
        <w:tc>
          <w:tcPr>
            <w:tcW w:w="0" w:type="dxa"/>
            <w:vAlign w:val="bottom"/>
          </w:tcPr>
          <w:p>
            <w:pPr>
              <w:spacing w:after="0"/>
              <w:rPr>
                <w:sz w:val="1"/>
                <w:szCs w:val="1"/>
                <w:color w:val="auto"/>
              </w:rPr>
            </w:pPr>
          </w:p>
        </w:tc>
      </w:tr>
      <w:tr>
        <w:trPr>
          <w:trHeight w:val="175"/>
        </w:trPr>
        <w:tc>
          <w:tcPr>
            <w:tcW w:w="1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monotherapy and</w:t>
            </w: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from Phase 3 trial in</w:t>
            </w:r>
          </w:p>
        </w:tc>
        <w:tc>
          <w:tcPr>
            <w:tcW w:w="2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regulatory submission for</w:t>
            </w:r>
          </w:p>
        </w:tc>
        <w:tc>
          <w:tcPr>
            <w:tcW w:w="0" w:type="dxa"/>
            <w:vAlign w:val="bottom"/>
          </w:tcPr>
          <w:p>
            <w:pPr>
              <w:spacing w:after="0"/>
              <w:rPr>
                <w:sz w:val="1"/>
                <w:szCs w:val="1"/>
                <w:color w:val="auto"/>
              </w:rPr>
            </w:pPr>
          </w:p>
        </w:tc>
      </w:tr>
      <w:tr>
        <w:trPr>
          <w:trHeight w:val="189"/>
        </w:trPr>
        <w:tc>
          <w:tcPr>
            <w:tcW w:w="15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chemotherapy</w:t>
            </w:r>
          </w:p>
        </w:tc>
        <w:tc>
          <w:tcPr>
            <w:tcW w:w="20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adjuvant CSCC; results</w:t>
            </w:r>
          </w:p>
        </w:tc>
        <w:tc>
          <w:tcPr>
            <w:tcW w:w="20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NSCLC, monotherapy and</w:t>
            </w:r>
          </w:p>
        </w:tc>
        <w:tc>
          <w:tcPr>
            <w:tcW w:w="0" w:type="dxa"/>
            <w:vAlign w:val="bottom"/>
          </w:tcPr>
          <w:p>
            <w:pPr>
              <w:spacing w:after="0"/>
              <w:rPr>
                <w:sz w:val="1"/>
                <w:szCs w:val="1"/>
                <w:color w:val="auto"/>
              </w:rPr>
            </w:pPr>
          </w:p>
        </w:tc>
      </w:tr>
      <w:tr>
        <w:trPr>
          <w:trHeight w:val="175"/>
        </w:trPr>
        <w:tc>
          <w:tcPr>
            <w:tcW w:w="1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combination (Japan)</w:t>
            </w: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presented at 2025</w:t>
            </w:r>
          </w:p>
        </w:tc>
        <w:tc>
          <w:tcPr>
            <w:tcW w:w="2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chemotherapy combination</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6"/>
                <w:szCs w:val="16"/>
                <w:color w:val="auto"/>
              </w:rPr>
            </w:pPr>
          </w:p>
        </w:tc>
        <w:tc>
          <w:tcPr>
            <w:tcW w:w="20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American Society of</w:t>
            </w:r>
          </w:p>
        </w:tc>
        <w:tc>
          <w:tcPr>
            <w:tcW w:w="204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–Adjuvant CSCC</w:t>
            </w:r>
          </w:p>
        </w:tc>
        <w:tc>
          <w:tcPr>
            <w:tcW w:w="2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Clinical Oncology</w:t>
            </w:r>
          </w:p>
        </w:tc>
        <w:tc>
          <w:tcPr>
            <w:tcW w:w="20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–FDA decision on sBLA</w:t>
            </w:r>
          </w:p>
        </w:tc>
        <w:tc>
          <w:tcPr>
            <w:tcW w:w="0" w:type="dxa"/>
            <w:vAlign w:val="bottom"/>
          </w:tcPr>
          <w:p>
            <w:pPr>
              <w:spacing w:after="0"/>
              <w:rPr>
                <w:sz w:val="1"/>
                <w:szCs w:val="1"/>
                <w:color w:val="auto"/>
              </w:rPr>
            </w:pPr>
          </w:p>
        </w:tc>
      </w:tr>
      <w:tr>
        <w:trPr>
          <w:trHeight w:val="175"/>
        </w:trPr>
        <w:tc>
          <w:tcPr>
            <w:tcW w:w="15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(U.S. and EU)</w:t>
            </w: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("ASCO") Annual</w:t>
            </w: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Meeting and published in</w:t>
            </w:r>
          </w:p>
        </w:tc>
        <w:tc>
          <w:tcPr>
            <w:tcW w:w="2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(October 2025) and EC</w:t>
            </w:r>
          </w:p>
        </w:tc>
        <w:tc>
          <w:tcPr>
            <w:tcW w:w="0" w:type="dxa"/>
            <w:vAlign w:val="bottom"/>
          </w:tcPr>
          <w:p>
            <w:pPr>
              <w:spacing w:after="0"/>
              <w:rPr>
                <w:sz w:val="1"/>
                <w:szCs w:val="1"/>
                <w:color w:val="auto"/>
              </w:rPr>
            </w:pPr>
          </w:p>
        </w:tc>
      </w:tr>
      <w:tr>
        <w:trPr>
          <w:trHeight w:val="189"/>
        </w:trPr>
        <w:tc>
          <w:tcPr>
            <w:tcW w:w="1560" w:type="dxa"/>
            <w:vAlign w:val="bottom"/>
          </w:tcPr>
          <w:p>
            <w:pPr>
              <w:spacing w:after="0"/>
              <w:rPr>
                <w:sz w:val="16"/>
                <w:szCs w:val="16"/>
                <w:color w:val="auto"/>
              </w:rPr>
            </w:pPr>
          </w:p>
        </w:tc>
        <w:tc>
          <w:tcPr>
            <w:tcW w:w="20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i w:val="1"/>
                <w:iCs w:val="1"/>
                <w:color w:val="auto"/>
              </w:rPr>
              <w:t>New England Journal of</w:t>
            </w:r>
          </w:p>
        </w:tc>
        <w:tc>
          <w:tcPr>
            <w:tcW w:w="20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decision on regulatory</w:t>
            </w: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200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Medicine ("NEJM")</w:t>
            </w:r>
          </w:p>
        </w:tc>
        <w:tc>
          <w:tcPr>
            <w:tcW w:w="204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w w:val="98"/>
              </w:rPr>
              <w:t>submission (first half 2026)</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adjuvant CSCC</w:t>
            </w:r>
          </w:p>
        </w:tc>
        <w:tc>
          <w:tcPr>
            <w:tcW w:w="0" w:type="dxa"/>
            <w:vAlign w:val="bottom"/>
          </w:tcPr>
          <w:p>
            <w:pPr>
              <w:spacing w:after="0"/>
              <w:rPr>
                <w:sz w:val="1"/>
                <w:szCs w:val="1"/>
                <w:color w:val="auto"/>
              </w:rPr>
            </w:pPr>
          </w:p>
        </w:tc>
      </w:tr>
    </w:tbl>
    <w:p>
      <w:pPr>
        <w:spacing w:after="0" w:line="299" w:lineRule="exact"/>
        <w:rPr>
          <w:sz w:val="20"/>
          <w:szCs w:val="20"/>
          <w:color w:val="auto"/>
        </w:rPr>
      </w:pPr>
    </w:p>
    <w:p>
      <w:pPr>
        <w:sectPr>
          <w:pgSz w:w="11900" w:h="16838" w:orient="portrait"/>
          <w:cols w:equalWidth="0" w:num="2">
            <w:col w:w="5220" w:space="320"/>
            <w:col w:w="57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–First-line advanced</w:t>
            </w:r>
          </w:p>
        </w:tc>
        <w:tc>
          <w:tcPr>
            <w:tcW w:w="17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–First-line metastatic</w:t>
            </w:r>
          </w:p>
        </w:tc>
        <w:tc>
          <w:tcPr>
            <w:tcW w:w="36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–Based on pre-planned</w:t>
            </w:r>
          </w:p>
        </w:tc>
        <w:tc>
          <w:tcPr>
            <w:tcW w:w="2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–Initiate Phase 2 study (in</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NSCLC (Phase 2/3)</w:t>
            </w:r>
          </w:p>
        </w:tc>
        <w:tc>
          <w:tcPr>
            <w:tcW w:w="17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6"/>
                <w:szCs w:val="16"/>
                <w:color w:val="auto"/>
              </w:rPr>
              <w:t>melanoma</w:t>
            </w:r>
            <w:r>
              <w:rPr>
                <w:rFonts w:ascii="Times New Roman" w:cs="Times New Roman" w:eastAsia="Times New Roman" w:hAnsi="Times New Roman"/>
                <w:sz w:val="20"/>
                <w:szCs w:val="20"/>
                <w:color w:val="auto"/>
                <w:vertAlign w:val="superscript"/>
              </w:rPr>
              <w:t>(e)</w:t>
            </w:r>
          </w:p>
        </w:tc>
        <w:tc>
          <w:tcPr>
            <w:tcW w:w="364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8"/>
                <w:szCs w:val="18"/>
                <w:color w:val="auto"/>
              </w:rPr>
              <w:t>interim analysis of two</w:t>
            </w:r>
          </w:p>
        </w:tc>
        <w:tc>
          <w:tcPr>
            <w:tcW w:w="21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combination with Libtayo)</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640" w:type="dxa"/>
            <w:vAlign w:val="bottom"/>
            <w:shd w:val="clear" w:color="auto" w:fill="CCEEFF"/>
          </w:tcPr>
          <w:p>
            <w:pPr>
              <w:ind w:left="1760"/>
              <w:spacing w:after="0" w:line="189" w:lineRule="exact"/>
              <w:rPr>
                <w:sz w:val="20"/>
                <w:szCs w:val="20"/>
                <w:color w:val="auto"/>
              </w:rPr>
            </w:pPr>
            <w:r>
              <w:rPr>
                <w:rFonts w:ascii="Times New Roman" w:cs="Times New Roman" w:eastAsia="Times New Roman" w:hAnsi="Times New Roman"/>
                <w:sz w:val="18"/>
                <w:szCs w:val="18"/>
                <w:color w:val="auto"/>
              </w:rPr>
              <w:t>Phase 2/3 studies in first-</w:t>
            </w:r>
          </w:p>
        </w:tc>
        <w:tc>
          <w:tcPr>
            <w:tcW w:w="21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in first-line metastatic head</w:t>
            </w:r>
          </w:p>
        </w:tc>
        <w:tc>
          <w:tcPr>
            <w:tcW w:w="0" w:type="dxa"/>
            <w:vAlign w:val="bottom"/>
          </w:tcPr>
          <w:p>
            <w:pPr>
              <w:spacing w:after="0"/>
              <w:rPr>
                <w:sz w:val="1"/>
                <w:szCs w:val="1"/>
                <w:color w:val="auto"/>
              </w:rPr>
            </w:pPr>
          </w:p>
        </w:tc>
      </w:tr>
      <w:tr>
        <w:trPr>
          <w:trHeight w:val="203"/>
        </w:trPr>
        <w:tc>
          <w:tcPr>
            <w:tcW w:w="2060" w:type="dxa"/>
            <w:vAlign w:val="bottom"/>
            <w:shd w:val="clear" w:color="auto" w:fill="CCEEFF"/>
          </w:tcPr>
          <w:p>
            <w:pPr>
              <w:spacing w:after="0"/>
              <w:rPr>
                <w:sz w:val="17"/>
                <w:szCs w:val="17"/>
                <w:color w:val="auto"/>
              </w:rPr>
            </w:pPr>
          </w:p>
        </w:tc>
        <w:tc>
          <w:tcPr>
            <w:tcW w:w="16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–Perioperative</w:t>
            </w:r>
          </w:p>
        </w:tc>
        <w:tc>
          <w:tcPr>
            <w:tcW w:w="172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–Adjuvant melanoma</w:t>
            </w:r>
          </w:p>
        </w:tc>
        <w:tc>
          <w:tcPr>
            <w:tcW w:w="3640" w:type="dxa"/>
            <w:vAlign w:val="bottom"/>
            <w:shd w:val="clear" w:color="auto" w:fill="CCEEFF"/>
          </w:tcPr>
          <w:p>
            <w:pPr>
              <w:ind w:left="1760"/>
              <w:spacing w:after="0" w:line="202" w:lineRule="exact"/>
              <w:rPr>
                <w:sz w:val="20"/>
                <w:szCs w:val="20"/>
                <w:color w:val="auto"/>
              </w:rPr>
            </w:pPr>
            <w:r>
              <w:rPr>
                <w:rFonts w:ascii="Times New Roman" w:cs="Times New Roman" w:eastAsia="Times New Roman" w:hAnsi="Times New Roman"/>
                <w:sz w:val="18"/>
                <w:szCs w:val="18"/>
                <w:color w:val="auto"/>
              </w:rPr>
              <w:t>line advanced NSCLC,</w:t>
            </w:r>
          </w:p>
        </w:tc>
        <w:tc>
          <w:tcPr>
            <w:tcW w:w="2160" w:type="dxa"/>
            <w:vAlign w:val="bottom"/>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and neck squamous cell</w:t>
            </w:r>
          </w:p>
        </w:tc>
        <w:tc>
          <w:tcPr>
            <w:tcW w:w="0" w:type="dxa"/>
            <w:vAlign w:val="bottom"/>
          </w:tcPr>
          <w:p>
            <w:pPr>
              <w:spacing w:after="0"/>
              <w:rPr>
                <w:sz w:val="1"/>
                <w:szCs w:val="1"/>
                <w:color w:val="auto"/>
              </w:rPr>
            </w:pPr>
          </w:p>
        </w:tc>
      </w:tr>
      <w:tr>
        <w:trPr>
          <w:trHeight w:val="149"/>
        </w:trPr>
        <w:tc>
          <w:tcPr>
            <w:tcW w:w="2060" w:type="dxa"/>
            <w:vAlign w:val="bottom"/>
            <w:shd w:val="clear" w:color="auto" w:fill="CCEEFF"/>
          </w:tcPr>
          <w:p>
            <w:pPr>
              <w:spacing w:after="0"/>
              <w:rPr>
                <w:sz w:val="12"/>
                <w:szCs w:val="12"/>
                <w:color w:val="auto"/>
              </w:rPr>
            </w:pPr>
          </w:p>
        </w:tc>
        <w:tc>
          <w:tcPr>
            <w:tcW w:w="16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NSCLC</w:t>
            </w:r>
          </w:p>
        </w:tc>
        <w:tc>
          <w:tcPr>
            <w:tcW w:w="1720" w:type="dxa"/>
            <w:vAlign w:val="bottom"/>
            <w:shd w:val="clear" w:color="auto" w:fill="CCEEFF"/>
          </w:tcPr>
          <w:p>
            <w:pPr>
              <w:spacing w:after="0"/>
              <w:rPr>
                <w:sz w:val="12"/>
                <w:szCs w:val="12"/>
                <w:color w:val="auto"/>
              </w:rPr>
            </w:pPr>
          </w:p>
        </w:tc>
        <w:tc>
          <w:tcPr>
            <w:tcW w:w="3640" w:type="dxa"/>
            <w:vAlign w:val="bottom"/>
            <w:shd w:val="clear" w:color="auto" w:fill="CCEEFF"/>
          </w:tcPr>
          <w:p>
            <w:pPr>
              <w:ind w:left="1760"/>
              <w:spacing w:after="0" w:line="149" w:lineRule="exact"/>
              <w:rPr>
                <w:sz w:val="20"/>
                <w:szCs w:val="20"/>
                <w:color w:val="auto"/>
              </w:rPr>
            </w:pPr>
            <w:r>
              <w:rPr>
                <w:rFonts w:ascii="Times New Roman" w:cs="Times New Roman" w:eastAsia="Times New Roman" w:hAnsi="Times New Roman"/>
                <w:sz w:val="17"/>
                <w:szCs w:val="17"/>
                <w:color w:val="auto"/>
              </w:rPr>
              <w:t>Phase 2 portion of the</w:t>
            </w:r>
          </w:p>
        </w:tc>
        <w:tc>
          <w:tcPr>
            <w:tcW w:w="21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carcinoma (first quarter</w:t>
            </w:r>
          </w:p>
        </w:tc>
        <w:tc>
          <w:tcPr>
            <w:tcW w:w="0" w:type="dxa"/>
            <w:vAlign w:val="bottom"/>
          </w:tcPr>
          <w:p>
            <w:pPr>
              <w:spacing w:after="0"/>
              <w:rPr>
                <w:sz w:val="1"/>
                <w:szCs w:val="1"/>
                <w:color w:val="auto"/>
              </w:rPr>
            </w:pPr>
          </w:p>
        </w:tc>
      </w:tr>
      <w:tr>
        <w:trPr>
          <w:trHeight w:val="189"/>
        </w:trPr>
        <w:tc>
          <w:tcPr>
            <w:tcW w:w="20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640" w:type="dxa"/>
            <w:vAlign w:val="bottom"/>
            <w:shd w:val="clear" w:color="auto" w:fill="CCEEFF"/>
          </w:tcPr>
          <w:p>
            <w:pPr>
              <w:ind w:left="1760"/>
              <w:spacing w:after="0" w:line="189" w:lineRule="exact"/>
              <w:rPr>
                <w:sz w:val="20"/>
                <w:szCs w:val="20"/>
                <w:color w:val="auto"/>
              </w:rPr>
            </w:pPr>
            <w:r>
              <w:rPr>
                <w:rFonts w:ascii="Times New Roman" w:cs="Times New Roman" w:eastAsia="Times New Roman" w:hAnsi="Times New Roman"/>
                <w:sz w:val="18"/>
                <w:szCs w:val="18"/>
                <w:color w:val="auto"/>
              </w:rPr>
              <w:t>studies will continue</w:t>
            </w:r>
          </w:p>
        </w:tc>
        <w:tc>
          <w:tcPr>
            <w:tcW w:w="21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spacing w:after="0"/>
              <w:rPr>
                <w:sz w:val="20"/>
                <w:szCs w:val="20"/>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–Perioperative</w:t>
            </w:r>
          </w:p>
        </w:tc>
        <w:tc>
          <w:tcPr>
            <w:tcW w:w="1720" w:type="dxa"/>
            <w:vAlign w:val="bottom"/>
            <w:shd w:val="clear" w:color="auto" w:fill="CCEEFF"/>
          </w:tcPr>
          <w:p>
            <w:pPr>
              <w:spacing w:after="0"/>
              <w:rPr>
                <w:sz w:val="20"/>
                <w:szCs w:val="20"/>
                <w:color w:val="auto"/>
              </w:rPr>
            </w:pPr>
          </w:p>
        </w:tc>
        <w:tc>
          <w:tcPr>
            <w:tcW w:w="364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unchanged</w:t>
            </w:r>
          </w:p>
        </w:tc>
        <w:tc>
          <w:tcPr>
            <w:tcW w:w="2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60" w:type="dxa"/>
            <w:vAlign w:val="bottom"/>
            <w:shd w:val="clear" w:color="auto" w:fill="CCEEFF"/>
          </w:tcPr>
          <w:p>
            <w:pPr>
              <w:spacing w:after="0"/>
              <w:rPr>
                <w:sz w:val="3"/>
                <w:szCs w:val="3"/>
                <w:color w:val="auto"/>
              </w:rPr>
            </w:pPr>
          </w:p>
        </w:tc>
        <w:tc>
          <w:tcPr>
            <w:tcW w:w="1660" w:type="dxa"/>
            <w:vAlign w:val="bottom"/>
            <w:vMerge w:val="continue"/>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36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melanoma</w:t>
            </w:r>
          </w:p>
        </w:tc>
        <w:tc>
          <w:tcPr>
            <w:tcW w:w="17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2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2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206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Fianlimab</w:t>
            </w:r>
            <w:r>
              <w:rPr>
                <w:rFonts w:ascii="Times New Roman" w:cs="Times New Roman" w:eastAsia="Times New Roman" w:hAnsi="Times New Roman"/>
                <w:sz w:val="20"/>
                <w:szCs w:val="20"/>
                <w:b w:val="1"/>
                <w:bCs w:val="1"/>
                <w:color w:val="auto"/>
                <w:vertAlign w:val="superscript"/>
              </w:rPr>
              <w:t>(f)</w:t>
            </w:r>
            <w:r>
              <w:rPr>
                <w:rFonts w:ascii="Times New Roman" w:cs="Times New Roman" w:eastAsia="Times New Roman" w:hAnsi="Times New Roman"/>
                <w:sz w:val="16"/>
                <w:szCs w:val="16"/>
                <w:b w:val="1"/>
                <w:bCs w:val="1"/>
                <w:color w:val="auto"/>
              </w:rPr>
              <w:t xml:space="preserve"> (REGN3767)</w:t>
            </w:r>
          </w:p>
        </w:tc>
        <w:tc>
          <w:tcPr>
            <w:tcW w:w="8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 study versus</w:t>
            </w: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pembrolizumab in first-line</w:t>
            </w: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metastatic melanoma (fourth</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quarter 2025/first quarter</w:t>
            </w:r>
          </w:p>
        </w:tc>
        <w:tc>
          <w:tcPr>
            <w:tcW w:w="0" w:type="dxa"/>
            <w:vAlign w:val="bottom"/>
          </w:tcPr>
          <w:p>
            <w:pPr>
              <w:spacing w:after="0"/>
              <w:rPr>
                <w:sz w:val="1"/>
                <w:szCs w:val="1"/>
                <w:color w:val="auto"/>
              </w:rPr>
            </w:pPr>
          </w:p>
        </w:tc>
      </w:tr>
      <w:tr>
        <w:trPr>
          <w:trHeight w:val="234"/>
        </w:trPr>
        <w:tc>
          <w:tcPr>
            <w:tcW w:w="2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368"/>
        </w:trPr>
        <w:tc>
          <w:tcPr>
            <w:tcW w:w="20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–Report data from Phase 2/3</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studies in first-line</w:t>
            </w: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advanced NSCLC (first</w:t>
            </w: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2026)</w:t>
            </w: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 targeting</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TLR9</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1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Ubamatamab</w:t>
            </w:r>
            <w:r>
              <w:rPr>
                <w:rFonts w:ascii="Times New Roman" w:cs="Times New Roman" w:eastAsia="Times New Roman" w:hAnsi="Times New Roman"/>
                <w:sz w:val="20"/>
                <w:szCs w:val="20"/>
                <w:b w:val="1"/>
                <w:bCs w:val="1"/>
                <w:color w:val="auto"/>
                <w:vertAlign w:val="superscript"/>
              </w:rPr>
              <w:t>(f)</w:t>
            </w:r>
          </w:p>
        </w:tc>
        <w:tc>
          <w:tcPr>
            <w:tcW w:w="16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–Ovarian cancer</w:t>
            </w: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84"/>
        </w:trPr>
        <w:tc>
          <w:tcPr>
            <w:tcW w:w="2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from study in platinum-</w:t>
            </w:r>
          </w:p>
        </w:tc>
        <w:tc>
          <w:tcPr>
            <w:tcW w:w="0" w:type="dxa"/>
            <w:vAlign w:val="bottom"/>
          </w:tcPr>
          <w:p>
            <w:pPr>
              <w:spacing w:after="0"/>
              <w:rPr>
                <w:sz w:val="1"/>
                <w:szCs w:val="1"/>
                <w:color w:val="auto"/>
              </w:rPr>
            </w:pPr>
          </w:p>
        </w:tc>
      </w:tr>
      <w:tr>
        <w:trPr>
          <w:trHeight w:val="176"/>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resistant ovarian cancer</w:t>
            </w:r>
          </w:p>
        </w:tc>
        <w:tc>
          <w:tcPr>
            <w:tcW w:w="0" w:type="dxa"/>
            <w:vAlign w:val="bottom"/>
          </w:tcPr>
          <w:p>
            <w:pPr>
              <w:spacing w:after="0"/>
              <w:rPr>
                <w:sz w:val="1"/>
                <w:szCs w:val="1"/>
                <w:color w:val="auto"/>
              </w:rPr>
            </w:pPr>
          </w:p>
        </w:tc>
      </w:tr>
      <w:tr>
        <w:trPr>
          <w:trHeight w:val="229"/>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b w:val="1"/>
                <w:bCs w:val="1"/>
                <w:color w:val="auto"/>
              </w:rPr>
              <w:t>REGN5668</w:t>
            </w:r>
            <w:r>
              <w:rPr>
                <w:rFonts w:ascii="Times New Roman" w:cs="Times New Roman" w:eastAsia="Times New Roman" w:hAnsi="Times New Roman"/>
                <w:sz w:val="21"/>
                <w:szCs w:val="21"/>
                <w:b w:val="1"/>
                <w:bCs w:val="1"/>
                <w:color w:val="auto"/>
                <w:vertAlign w:val="superscript"/>
              </w:rPr>
              <w:t>(p)</w:t>
            </w:r>
          </w:p>
        </w:tc>
        <w:tc>
          <w:tcPr>
            <w:tcW w:w="16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–Ovarian cancer</w:t>
            </w: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Nezastomig (REGN5678)</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additional</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study in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prostate cancer at</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Association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 Cancer Research</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("AACR") Annual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REGN7075</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–Solid tumors</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study in solid tumors</w:t>
            </w:r>
          </w:p>
        </w:tc>
        <w:tc>
          <w:tcPr>
            <w:tcW w:w="0" w:type="dxa"/>
            <w:vAlign w:val="bottom"/>
          </w:tcPr>
          <w:p>
            <w:pPr>
              <w:spacing w:after="0"/>
              <w:rPr>
                <w:sz w:val="1"/>
                <w:szCs w:val="1"/>
                <w:color w:val="auto"/>
              </w:rPr>
            </w:pPr>
          </w:p>
        </w:tc>
      </w:tr>
      <w:tr>
        <w:trPr>
          <w:trHeight w:val="243"/>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half 2025)</w:t>
            </w: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–MET-altered</w:t>
            </w: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advanced NSCLC</w:t>
            </w: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two distinct MET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6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280" w:type="dxa"/>
            <w:vAlign w:val="bottom"/>
            <w:shd w:val="clear" w:color="auto" w:fill="ACACAC"/>
          </w:tcPr>
          <w:p>
            <w:pPr>
              <w:spacing w:after="0"/>
              <w:rPr>
                <w:sz w:val="19"/>
                <w:szCs w:val="19"/>
                <w:color w:val="auto"/>
              </w:rPr>
            </w:pPr>
          </w:p>
        </w:tc>
        <w:tc>
          <w:tcPr>
            <w:tcW w:w="2120" w:type="dxa"/>
            <w:vAlign w:val="bottom"/>
            <w:gridSpan w:val="4"/>
            <w:shd w:val="clear" w:color="auto" w:fill="ACACAC"/>
          </w:tcPr>
          <w:p>
            <w:pPr>
              <w:ind w:left="100"/>
              <w:spacing w:after="0"/>
              <w:rPr>
                <w:sz w:val="20"/>
                <w:szCs w:val="20"/>
                <w:color w:val="auto"/>
              </w:rPr>
            </w:pPr>
            <w:r>
              <w:rPr>
                <w:rFonts w:ascii="Times New Roman" w:cs="Times New Roman" w:eastAsia="Times New Roman" w:hAnsi="Times New Roman"/>
                <w:sz w:val="18"/>
                <w:szCs w:val="18"/>
                <w:b w:val="1"/>
                <w:bCs w:val="1"/>
                <w:color w:val="auto"/>
              </w:rPr>
              <w:t>Hematology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–Myasthenia gravis,</w:t>
            </w:r>
          </w:p>
        </w:tc>
        <w:tc>
          <w:tcPr>
            <w:tcW w:w="1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cemdisiran</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 cemdisiran combination</w:t>
            </w:r>
          </w:p>
        </w:tc>
        <w:tc>
          <w:tcPr>
            <w:tcW w:w="0" w:type="dxa"/>
            <w:vAlign w:val="bottom"/>
          </w:tcPr>
          <w:p>
            <w:pPr>
              <w:spacing w:after="0"/>
              <w:rPr>
                <w:sz w:val="1"/>
                <w:szCs w:val="1"/>
                <w:color w:val="auto"/>
              </w:rPr>
            </w:pPr>
          </w:p>
        </w:tc>
      </w:tr>
      <w:tr>
        <w:trPr>
          <w:trHeight w:val="204"/>
        </w:trPr>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study in myasthenia gravis</w:t>
            </w:r>
          </w:p>
        </w:tc>
        <w:tc>
          <w:tcPr>
            <w:tcW w:w="0" w:type="dxa"/>
            <w:vAlign w:val="bottom"/>
          </w:tcPr>
          <w:p>
            <w:pPr>
              <w:spacing w:after="0"/>
              <w:rPr>
                <w:sz w:val="1"/>
                <w:szCs w:val="1"/>
                <w:color w:val="auto"/>
              </w:rPr>
            </w:pPr>
          </w:p>
        </w:tc>
      </w:tr>
    </w:tbl>
    <w:p>
      <w:pPr>
        <w:ind w:left="9160"/>
        <w:spacing w:after="0" w:line="234" w:lineRule="auto"/>
        <w:rPr>
          <w:sz w:val="20"/>
          <w:szCs w:val="20"/>
          <w:color w:val="auto"/>
        </w:rPr>
      </w:pPr>
      <w:r>
        <w:rPr>
          <w:rFonts w:ascii="Times New Roman" w:cs="Times New Roman" w:eastAsia="Times New Roman" w:hAnsi="Times New Roman"/>
          <w:sz w:val="18"/>
          <w:szCs w:val="18"/>
          <w:color w:val="auto"/>
        </w:rPr>
        <w:t>(third quarter 2025)</w:t>
      </w:r>
    </w:p>
    <w:p>
      <w:pPr>
        <w:ind w:left="3800"/>
        <w:spacing w:after="0" w:line="219" w:lineRule="auto"/>
        <w:rPr>
          <w:sz w:val="20"/>
          <w:szCs w:val="20"/>
          <w:color w:val="auto"/>
        </w:rPr>
      </w:pPr>
      <w:r>
        <w:rPr>
          <w:rFonts w:ascii="Times New Roman" w:cs="Times New Roman" w:eastAsia="Times New Roman" w:hAnsi="Times New Roman"/>
          <w:sz w:val="18"/>
          <w:szCs w:val="18"/>
          <w:color w:val="auto"/>
        </w:rPr>
        <w:t>–Paroxysmal</w:t>
      </w:r>
    </w:p>
    <w:p>
      <w:pPr>
        <w:ind w:left="3800"/>
        <w:spacing w:after="0" w:line="204" w:lineRule="auto"/>
        <w:rPr>
          <w:sz w:val="20"/>
          <w:szCs w:val="20"/>
          <w:color w:val="auto"/>
        </w:rPr>
      </w:pPr>
      <w:r>
        <w:rPr>
          <w:rFonts w:ascii="Times New Roman" w:cs="Times New Roman" w:eastAsia="Times New Roman" w:hAnsi="Times New Roman"/>
          <w:sz w:val="18"/>
          <w:szCs w:val="18"/>
          <w:color w:val="auto"/>
        </w:rPr>
        <w:t>nocturnal</w:t>
      </w:r>
    </w:p>
    <w:p>
      <w:pPr>
        <w:ind w:left="3800"/>
        <w:spacing w:after="0" w:line="203" w:lineRule="auto"/>
        <w:rPr>
          <w:sz w:val="20"/>
          <w:szCs w:val="20"/>
          <w:color w:val="auto"/>
        </w:rPr>
      </w:pPr>
      <w:r>
        <w:rPr>
          <w:rFonts w:ascii="Times New Roman" w:cs="Times New Roman" w:eastAsia="Times New Roman" w:hAnsi="Times New Roman"/>
          <w:sz w:val="18"/>
          <w:szCs w:val="18"/>
          <w:color w:val="auto"/>
        </w:rPr>
        <w:t>hemoglobinuria</w:t>
      </w:r>
    </w:p>
    <w:p>
      <w:pPr>
        <w:ind w:left="3800"/>
        <w:spacing w:after="0" w:line="206" w:lineRule="auto"/>
        <w:rPr>
          <w:sz w:val="20"/>
          <w:szCs w:val="20"/>
          <w:color w:val="auto"/>
        </w:rPr>
      </w:pPr>
      <w:r>
        <w:rPr>
          <w:rFonts w:ascii="Times New Roman" w:cs="Times New Roman" w:eastAsia="Times New Roman" w:hAnsi="Times New Roman"/>
          <w:sz w:val="18"/>
          <w:szCs w:val="18"/>
          <w:color w:val="auto"/>
        </w:rPr>
        <w:t>("PNH"), cemdisiran</w:t>
      </w:r>
    </w:p>
    <w:p>
      <w:pPr>
        <w:spacing w:after="0" w:line="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–B-cell non-</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–FL</w:t>
            </w:r>
            <w:r>
              <w:rPr>
                <w:rFonts w:ascii="Times New Roman" w:cs="Times New Roman" w:eastAsia="Times New Roman" w:hAnsi="Times New Roman"/>
                <w:sz w:val="10"/>
                <w:szCs w:val="10"/>
                <w:color w:val="auto"/>
              </w:rPr>
              <w:t>(c)(e)</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issued CRL for</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6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Hodgkin lymphoma</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BLA for</w:t>
            </w:r>
          </w:p>
        </w:tc>
        <w:tc>
          <w:tcPr>
            <w:tcW w:w="2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shd w:val="clear" w:color="auto" w:fill="CCEEFF"/>
          </w:tcPr>
          <w:p>
            <w:pPr>
              <w:jc w:val="center"/>
              <w:ind w:right="100"/>
              <w:spacing w:after="0" w:line="201" w:lineRule="exact"/>
              <w:rPr>
                <w:sz w:val="20"/>
                <w:szCs w:val="20"/>
                <w:color w:val="auto"/>
              </w:rPr>
            </w:pPr>
            <w:r>
              <w:rPr>
                <w:rFonts w:ascii="Times New Roman" w:cs="Times New Roman" w:eastAsia="Times New Roman" w:hAnsi="Times New Roman"/>
                <w:sz w:val="18"/>
                <w:szCs w:val="18"/>
                <w:color w:val="auto"/>
                <w:w w:val="99"/>
              </w:rPr>
              <w:t>("B-NHL") (pivotal</w:t>
            </w:r>
          </w:p>
        </w:tc>
        <w:tc>
          <w:tcPr>
            <w:tcW w:w="174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–DLBCL</w:t>
            </w:r>
            <w:r>
              <w:rPr>
                <w:rFonts w:ascii="Times New Roman" w:cs="Times New Roman" w:eastAsia="Times New Roman" w:hAnsi="Times New Roman"/>
                <w:sz w:val="23"/>
                <w:szCs w:val="23"/>
                <w:color w:val="auto"/>
                <w:vertAlign w:val="superscript"/>
              </w:rPr>
              <w:t>(c)(e)</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relapsed/refractory FL</w:t>
            </w: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6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study)</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181" w:lineRule="auto"/>
        <w:rPr>
          <w:sz w:val="20"/>
          <w:szCs w:val="20"/>
          <w:color w:val="auto"/>
        </w:rPr>
      </w:pPr>
      <w:r>
        <w:rPr>
          <w:rFonts w:ascii="Times New Roman" w:cs="Times New Roman" w:eastAsia="Times New Roman" w:hAnsi="Times New Roman"/>
          <w:sz w:val="16"/>
          <w:szCs w:val="16"/>
          <w:b w:val="1"/>
          <w:bCs w:val="1"/>
          <w:color w:val="auto"/>
        </w:rPr>
        <w:t>Lynozyfic (linvoseltamab)</w:t>
      </w:r>
    </w:p>
    <w:p>
      <w:pPr>
        <w:ind w:left="20"/>
        <w:spacing w:after="0"/>
        <w:rPr>
          <w:sz w:val="20"/>
          <w:szCs w:val="20"/>
          <w:color w:val="auto"/>
        </w:rPr>
      </w:pPr>
      <w:r>
        <w:rPr>
          <w:rFonts w:ascii="Times New Roman" w:cs="Times New Roman" w:eastAsia="Times New Roman" w:hAnsi="Times New Roman"/>
          <w:sz w:val="12"/>
          <w:szCs w:val="12"/>
          <w:b w:val="1"/>
          <w:bCs w:val="1"/>
          <w:color w:val="auto"/>
        </w:rPr>
        <w:t>(f)</w:t>
      </w:r>
    </w:p>
    <w:p>
      <w:pPr>
        <w:spacing w:after="0" w:line="13" w:lineRule="exact"/>
        <w:rPr>
          <w:sz w:val="20"/>
          <w:szCs w:val="20"/>
          <w:color w:val="auto"/>
        </w:rPr>
      </w:pPr>
    </w:p>
    <w:p>
      <w:pPr>
        <w:ind w:left="20" w:right="100"/>
        <w:spacing w:after="0" w:line="253" w:lineRule="auto"/>
        <w:rPr>
          <w:sz w:val="20"/>
          <w:szCs w:val="20"/>
          <w:color w:val="auto"/>
        </w:rPr>
      </w:pPr>
      <w:r>
        <w:rPr>
          <w:rFonts w:ascii="Times New Roman" w:cs="Times New Roman" w:eastAsia="Times New Roman" w:hAnsi="Times New Roman"/>
          <w:sz w:val="18"/>
          <w:szCs w:val="18"/>
          <w:i w:val="1"/>
          <w:iCs w:val="1"/>
          <w:color w:val="auto"/>
        </w:rPr>
        <w:t>Bispecific antibody targeting BCMA and CD3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Nexiguran ziclumeran</w:t>
      </w:r>
    </w:p>
    <w:p>
      <w:pPr>
        <w:ind w:left="20" w:right="160"/>
        <w:spacing w:after="0" w:line="203" w:lineRule="auto"/>
        <w:rPr>
          <w:sz w:val="20"/>
          <w:szCs w:val="20"/>
          <w:color w:val="auto"/>
        </w:rPr>
      </w:pPr>
      <w:r>
        <w:rPr>
          <w:rFonts w:ascii="Times New Roman" w:cs="Times New Roman" w:eastAsia="Times New Roman" w:hAnsi="Times New Roman"/>
          <w:sz w:val="18"/>
          <w:szCs w:val="18"/>
          <w:b w:val="1"/>
          <w:bCs w:val="1"/>
          <w:color w:val="auto"/>
        </w:rPr>
        <w:t>(Nex-z, NTLA-2001)</w:t>
      </w:r>
      <w:r>
        <w:rPr>
          <w:rFonts w:ascii="Times New Roman" w:cs="Times New Roman" w:eastAsia="Times New Roman" w:hAnsi="Times New Roman"/>
          <w:sz w:val="23"/>
          <w:szCs w:val="23"/>
          <w:b w:val="1"/>
          <w:bCs w:val="1"/>
          <w:color w:val="auto"/>
          <w:vertAlign w:val="superscript"/>
        </w:rPr>
        <w:t>(j)</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TTR gene knockout using CRISPR/Cas9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p>
      <w:pPr>
        <w:spacing w:after="0" w:line="6" w:lineRule="exact"/>
        <w:rPr>
          <w:sz w:val="20"/>
          <w:szCs w:val="20"/>
          <w:color w:val="auto"/>
        </w:rPr>
      </w:pPr>
    </w:p>
    <w:p>
      <w:pPr>
        <w:ind w:left="20" w:right="100"/>
        <w:spacing w:after="0" w:line="224" w:lineRule="auto"/>
        <w:rPr>
          <w:sz w:val="20"/>
          <w:szCs w:val="20"/>
          <w:color w:val="auto"/>
        </w:rPr>
      </w:pPr>
      <w:r>
        <w:rPr>
          <w:rFonts w:ascii="Times New Roman" w:cs="Times New Roman" w:eastAsia="Times New Roman" w:hAnsi="Times New Roman"/>
          <w:sz w:val="18"/>
          <w:szCs w:val="18"/>
          <w:i w:val="1"/>
          <w:iCs w:val="1"/>
          <w:color w:val="auto"/>
        </w:rPr>
        <w:t>Antibody to Factor XI (A2 domain)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–Earlier (pre-</w:t>
            </w:r>
          </w:p>
        </w:tc>
        <w:tc>
          <w:tcPr>
            <w:tcW w:w="16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w w:val="96"/>
              </w:rPr>
              <w:t>–Multiple myeloma</w:t>
            </w:r>
            <w:r>
              <w:rPr>
                <w:rFonts w:ascii="Times New Roman" w:cs="Times New Roman" w:eastAsia="Times New Roman" w:hAnsi="Times New Roman"/>
                <w:sz w:val="23"/>
                <w:szCs w:val="23"/>
                <w:color w:val="auto"/>
                <w:w w:val="96"/>
                <w:vertAlign w:val="superscript"/>
              </w:rPr>
              <w:t>(c)</w:t>
            </w:r>
          </w:p>
        </w:tc>
        <w:tc>
          <w:tcPr>
            <w:tcW w:w="0" w:type="dxa"/>
            <w:vAlign w:val="bottom"/>
          </w:tcPr>
          <w:p>
            <w:pPr>
              <w:spacing w:after="0"/>
              <w:rPr>
                <w:sz w:val="1"/>
                <w:szCs w:val="1"/>
                <w:color w:val="auto"/>
              </w:rPr>
            </w:pPr>
          </w:p>
        </w:tc>
      </w:tr>
      <w:tr>
        <w:trPr>
          <w:trHeight w:val="148"/>
        </w:trPr>
        <w:tc>
          <w:tcPr>
            <w:tcW w:w="158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malignant) multiple</w:t>
            </w:r>
          </w:p>
        </w:tc>
        <w:tc>
          <w:tcPr>
            <w:tcW w:w="1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myeloma</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–Monoclonal</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gammopathy of</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undetermined</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significance</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("MGUS")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–Light chain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5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amyloidosis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("ALA") (Phase 1/2)</w:t>
            </w:r>
          </w:p>
        </w:tc>
        <w:tc>
          <w:tcPr>
            <w:tcW w:w="1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–Transthyretin</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amyloidosis with</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15"/>
                <w:szCs w:val="15"/>
                <w:color w:val="auto"/>
              </w:rPr>
            </w:pPr>
          </w:p>
        </w:tc>
        <w:tc>
          <w:tcPr>
            <w:tcW w:w="1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cardiomyopathy</w:t>
            </w:r>
          </w:p>
        </w:tc>
        <w:tc>
          <w:tcPr>
            <w:tcW w:w="0" w:type="dxa"/>
            <w:vAlign w:val="bottom"/>
          </w:tcPr>
          <w:p>
            <w:pPr>
              <w:spacing w:after="0"/>
              <w:rPr>
                <w:sz w:val="1"/>
                <w:szCs w:val="1"/>
                <w:color w:val="auto"/>
              </w:rPr>
            </w:pPr>
          </w:p>
        </w:tc>
      </w:tr>
      <w:tr>
        <w:trPr>
          <w:trHeight w:val="312"/>
        </w:trPr>
        <w:tc>
          <w:tcPr>
            <w:tcW w:w="158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("ATTR-CM")</w:t>
            </w:r>
            <w:r>
              <w:rPr>
                <w:rFonts w:ascii="Times New Roman" w:cs="Times New Roman" w:eastAsia="Times New Roman" w:hAnsi="Times New Roman"/>
                <w:sz w:val="23"/>
                <w:szCs w:val="23"/>
                <w:color w:val="auto"/>
                <w:vertAlign w:val="superscript"/>
              </w:rPr>
              <w:t>(c)(m)</w:t>
            </w:r>
          </w:p>
        </w:tc>
        <w:tc>
          <w:tcPr>
            <w:tcW w:w="0" w:type="dxa"/>
            <w:vAlign w:val="bottom"/>
          </w:tcPr>
          <w:p>
            <w:pPr>
              <w:spacing w:after="0"/>
              <w:rPr>
                <w:sz w:val="1"/>
                <w:szCs w:val="1"/>
                <w:color w:val="auto"/>
              </w:rPr>
            </w:pPr>
          </w:p>
        </w:tc>
      </w:tr>
      <w:tr>
        <w:trPr>
          <w:trHeight w:val="296"/>
        </w:trPr>
        <w:tc>
          <w:tcPr>
            <w:tcW w:w="158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–Hereditary</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transthyretin</w:t>
            </w:r>
          </w:p>
        </w:tc>
        <w:tc>
          <w:tcPr>
            <w:tcW w:w="0" w:type="dxa"/>
            <w:vAlign w:val="bottom"/>
          </w:tcPr>
          <w:p>
            <w:pPr>
              <w:spacing w:after="0"/>
              <w:rPr>
                <w:sz w:val="1"/>
                <w:szCs w:val="1"/>
                <w:color w:val="auto"/>
              </w:rPr>
            </w:pPr>
          </w:p>
        </w:tc>
      </w:tr>
      <w:tr>
        <w:trPr>
          <w:trHeight w:val="184"/>
        </w:trPr>
        <w:tc>
          <w:tcPr>
            <w:tcW w:w="1580" w:type="dxa"/>
            <w:vAlign w:val="bottom"/>
          </w:tcPr>
          <w:p>
            <w:pPr>
              <w:spacing w:after="0"/>
              <w:rPr>
                <w:sz w:val="16"/>
                <w:szCs w:val="16"/>
                <w:color w:val="auto"/>
              </w:rPr>
            </w:pPr>
          </w:p>
        </w:tc>
        <w:tc>
          <w:tcPr>
            <w:tcW w:w="1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c>
          <w:tcPr>
            <w:tcW w:w="0" w:type="dxa"/>
            <w:vAlign w:val="bottom"/>
          </w:tcPr>
          <w:p>
            <w:pPr>
              <w:spacing w:after="0"/>
              <w:rPr>
                <w:sz w:val="1"/>
                <w:szCs w:val="1"/>
                <w:color w:val="auto"/>
              </w:rPr>
            </w:pPr>
          </w:p>
        </w:tc>
      </w:tr>
      <w:tr>
        <w:trPr>
          <w:trHeight w:val="180"/>
        </w:trPr>
        <w:tc>
          <w:tcPr>
            <w:tcW w:w="1580" w:type="dxa"/>
            <w:vAlign w:val="bottom"/>
          </w:tcPr>
          <w:p>
            <w:pPr>
              <w:spacing w:after="0"/>
              <w:rPr>
                <w:sz w:val="15"/>
                <w:szCs w:val="15"/>
                <w:color w:val="auto"/>
              </w:rPr>
            </w:pPr>
          </w:p>
        </w:tc>
        <w:tc>
          <w:tcPr>
            <w:tcW w:w="1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polyneuropathy</w:t>
            </w:r>
          </w:p>
        </w:tc>
        <w:tc>
          <w:tcPr>
            <w:tcW w:w="0" w:type="dxa"/>
            <w:vAlign w:val="bottom"/>
          </w:tcPr>
          <w:p>
            <w:pPr>
              <w:spacing w:after="0"/>
              <w:rPr>
                <w:sz w:val="1"/>
                <w:szCs w:val="1"/>
                <w:color w:val="auto"/>
              </w:rPr>
            </w:pPr>
          </w:p>
        </w:tc>
      </w:tr>
      <w:tr>
        <w:trPr>
          <w:trHeight w:val="306"/>
        </w:trPr>
        <w:tc>
          <w:tcPr>
            <w:tcW w:w="1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–Thrombosis</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("ATTRv-PN")</w:t>
            </w:r>
            <w:r>
              <w:rPr>
                <w:rFonts w:ascii="Times New Roman" w:cs="Times New Roman" w:eastAsia="Times New Roman" w:hAnsi="Times New Roman"/>
                <w:sz w:val="23"/>
                <w:szCs w:val="23"/>
                <w:color w:val="auto"/>
                <w:vertAlign w:val="superscript"/>
              </w:rPr>
              <w:t>(c)(m)</w:t>
            </w:r>
          </w:p>
        </w:tc>
        <w:tc>
          <w:tcPr>
            <w:tcW w:w="0" w:type="dxa"/>
            <w:vAlign w:val="bottom"/>
          </w:tcPr>
          <w:p>
            <w:pPr>
              <w:spacing w:after="0"/>
              <w:rPr>
                <w:sz w:val="1"/>
                <w:szCs w:val="1"/>
                <w:color w:val="auto"/>
              </w:rPr>
            </w:pPr>
          </w:p>
        </w:tc>
      </w:tr>
      <w:tr>
        <w:trPr>
          <w:trHeight w:val="153"/>
        </w:trPr>
        <w:tc>
          <w:tcPr>
            <w:tcW w:w="15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-1362075</wp:posOffset>
            </wp:positionV>
            <wp:extent cx="7132320" cy="12172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–Approved by FDA and</w:t>
      </w:r>
    </w:p>
    <w:p>
      <w:pPr>
        <w:spacing w:after="0" w:line="204" w:lineRule="auto"/>
        <w:rPr>
          <w:sz w:val="20"/>
          <w:szCs w:val="20"/>
          <w:color w:val="auto"/>
        </w:rPr>
      </w:pPr>
      <w:r>
        <w:rPr>
          <w:rFonts w:ascii="Times New Roman" w:cs="Times New Roman" w:eastAsia="Times New Roman" w:hAnsi="Times New Roman"/>
          <w:sz w:val="18"/>
          <w:szCs w:val="18"/>
          <w:color w:val="auto"/>
        </w:rPr>
        <w:t>EC for</w:t>
      </w:r>
    </w:p>
    <w:p>
      <w:pPr>
        <w:spacing w:after="0" w:line="203" w:lineRule="auto"/>
        <w:rPr>
          <w:sz w:val="20"/>
          <w:szCs w:val="20"/>
          <w:color w:val="auto"/>
        </w:rPr>
      </w:pPr>
      <w:r>
        <w:rPr>
          <w:rFonts w:ascii="Times New Roman" w:cs="Times New Roman" w:eastAsia="Times New Roman" w:hAnsi="Times New Roman"/>
          <w:sz w:val="18"/>
          <w:szCs w:val="18"/>
          <w:color w:val="auto"/>
        </w:rPr>
        <w:t>relapsed/refractory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myeloma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enrollment</w:t>
      </w:r>
    </w:p>
    <w:p>
      <w:pPr>
        <w:spacing w:after="0" w:line="203" w:lineRule="auto"/>
        <w:rPr>
          <w:sz w:val="20"/>
          <w:szCs w:val="20"/>
          <w:color w:val="auto"/>
        </w:rPr>
      </w:pPr>
      <w:r>
        <w:rPr>
          <w:rFonts w:ascii="Times New Roman" w:cs="Times New Roman" w:eastAsia="Times New Roman" w:hAnsi="Times New Roman"/>
          <w:sz w:val="18"/>
          <w:szCs w:val="18"/>
          <w:color w:val="auto"/>
        </w:rPr>
        <w:t>in Phase 3 confirmatory</w:t>
      </w:r>
    </w:p>
    <w:p>
      <w:pPr>
        <w:spacing w:after="0" w:line="219" w:lineRule="auto"/>
        <w:rPr>
          <w:sz w:val="20"/>
          <w:szCs w:val="20"/>
          <w:color w:val="auto"/>
        </w:rPr>
      </w:pPr>
      <w:r>
        <w:rPr>
          <w:rFonts w:ascii="Times New Roman" w:cs="Times New Roman" w:eastAsia="Times New Roman" w:hAnsi="Times New Roman"/>
          <w:sz w:val="18"/>
          <w:szCs w:val="18"/>
          <w:color w:val="auto"/>
        </w:rPr>
        <w:t>trial (LINKER-MM3) in</w:t>
      </w:r>
    </w:p>
    <w:p>
      <w:pPr>
        <w:spacing w:after="0" w:line="204" w:lineRule="auto"/>
        <w:rPr>
          <w:sz w:val="20"/>
          <w:szCs w:val="20"/>
          <w:color w:val="auto"/>
        </w:rPr>
      </w:pPr>
      <w:r>
        <w:rPr>
          <w:rFonts w:ascii="Times New Roman" w:cs="Times New Roman" w:eastAsia="Times New Roman" w:hAnsi="Times New Roman"/>
          <w:sz w:val="18"/>
          <w:szCs w:val="18"/>
          <w:color w:val="auto"/>
        </w:rPr>
        <w:t>relapsed/refractory</w:t>
      </w:r>
    </w:p>
    <w:p>
      <w:pPr>
        <w:spacing w:after="0"/>
        <w:rPr>
          <w:sz w:val="20"/>
          <w:szCs w:val="20"/>
          <w:color w:val="auto"/>
        </w:rPr>
      </w:pPr>
      <w:r>
        <w:rPr>
          <w:rFonts w:ascii="Times New Roman" w:cs="Times New Roman" w:eastAsia="Times New Roman" w:hAnsi="Times New Roman"/>
          <w:sz w:val="18"/>
          <w:szCs w:val="18"/>
          <w:color w:val="auto"/>
        </w:rPr>
        <w:t>multiple myeloma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–Initiate randomized Phase</w:t>
      </w:r>
    </w:p>
    <w:p>
      <w:pPr>
        <w:ind w:left="1960"/>
        <w:spacing w:after="0"/>
        <w:rPr>
          <w:sz w:val="20"/>
          <w:szCs w:val="20"/>
          <w:color w:val="auto"/>
        </w:rPr>
      </w:pPr>
      <w:r>
        <w:rPr>
          <w:rFonts w:ascii="Times New Roman" w:cs="Times New Roman" w:eastAsia="Times New Roman" w:hAnsi="Times New Roman"/>
          <w:sz w:val="18"/>
          <w:szCs w:val="18"/>
          <w:color w:val="auto"/>
        </w:rPr>
        <w:t>2 study (second half 2025)</w:t>
      </w:r>
    </w:p>
    <w:p>
      <w:pPr>
        <w:spacing w:after="0" w:line="164" w:lineRule="exact"/>
        <w:rPr>
          <w:sz w:val="20"/>
          <w:szCs w:val="20"/>
          <w:color w:val="auto"/>
        </w:rPr>
      </w:pPr>
    </w:p>
    <w:p>
      <w:pPr>
        <w:sectPr>
          <w:pgSz w:w="11900" w:h="16838" w:orient="portrait"/>
          <w:cols w:equalWidth="0" w:num="3">
            <w:col w:w="2020" w:space="140"/>
            <w:col w:w="4320" w:space="720"/>
            <w:col w:w="40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–Thrombosis</w:t>
            </w: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–Venous</w:t>
            </w:r>
          </w:p>
        </w:tc>
        <w:tc>
          <w:tcPr>
            <w:tcW w:w="412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8"/>
                <w:szCs w:val="18"/>
                <w:color w:val="auto"/>
              </w:rPr>
              <w:t>–Initiate additional Phase 3</w:t>
            </w:r>
          </w:p>
        </w:tc>
      </w:tr>
      <w:tr>
        <w:trPr>
          <w:trHeight w:val="175"/>
        </w:trPr>
        <w:tc>
          <w:tcPr>
            <w:tcW w:w="1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700" w:type="dxa"/>
            <w:vAlign w:val="bottom"/>
            <w:shd w:val="clear" w:color="auto" w:fill="CCEEFF"/>
          </w:tcPr>
          <w:p>
            <w:pPr>
              <w:spacing w:after="0"/>
              <w:rPr>
                <w:sz w:val="15"/>
                <w:szCs w:val="15"/>
                <w:color w:val="auto"/>
              </w:rPr>
            </w:pPr>
          </w:p>
        </w:tc>
        <w:tc>
          <w:tcPr>
            <w:tcW w:w="3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thromboembolism</w:t>
            </w:r>
          </w:p>
        </w:tc>
        <w:tc>
          <w:tcPr>
            <w:tcW w:w="4120" w:type="dxa"/>
            <w:vAlign w:val="bottom"/>
            <w:shd w:val="clear" w:color="auto" w:fill="CCEEFF"/>
          </w:tcPr>
          <w:p>
            <w:pPr>
              <w:ind w:left="2040"/>
              <w:spacing w:after="0" w:line="176" w:lineRule="exact"/>
              <w:rPr>
                <w:sz w:val="20"/>
                <w:szCs w:val="20"/>
                <w:color w:val="auto"/>
              </w:rPr>
            </w:pPr>
            <w:r>
              <w:rPr>
                <w:rFonts w:ascii="Times New Roman" w:cs="Times New Roman" w:eastAsia="Times New Roman" w:hAnsi="Times New Roman"/>
                <w:sz w:val="18"/>
                <w:szCs w:val="18"/>
                <w:color w:val="auto"/>
              </w:rPr>
              <w:t>studies (second half</w:t>
            </w:r>
          </w:p>
        </w:tc>
      </w:tr>
      <w:tr>
        <w:trPr>
          <w:trHeight w:val="189"/>
        </w:trPr>
        <w:tc>
          <w:tcPr>
            <w:tcW w:w="19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(catalytic domain)</w:t>
            </w:r>
          </w:p>
        </w:tc>
        <w:tc>
          <w:tcPr>
            <w:tcW w:w="1700" w:type="dxa"/>
            <w:vAlign w:val="bottom"/>
            <w:shd w:val="clear" w:color="auto" w:fill="CCEEFF"/>
          </w:tcPr>
          <w:p>
            <w:pPr>
              <w:spacing w:after="0"/>
              <w:rPr>
                <w:sz w:val="16"/>
                <w:szCs w:val="16"/>
                <w:color w:val="auto"/>
              </w:rPr>
            </w:pPr>
          </w:p>
        </w:tc>
        <w:tc>
          <w:tcPr>
            <w:tcW w:w="352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after total knee</w:t>
            </w:r>
          </w:p>
        </w:tc>
        <w:tc>
          <w:tcPr>
            <w:tcW w:w="4120" w:type="dxa"/>
            <w:vAlign w:val="bottom"/>
            <w:shd w:val="clear" w:color="auto" w:fill="CCEEFF"/>
          </w:tcPr>
          <w:p>
            <w:pPr>
              <w:ind w:left="2040"/>
              <w:spacing w:after="0" w:line="189" w:lineRule="exact"/>
              <w:rPr>
                <w:sz w:val="20"/>
                <w:szCs w:val="20"/>
                <w:color w:val="auto"/>
              </w:rPr>
            </w:pPr>
            <w:r>
              <w:rPr>
                <w:rFonts w:ascii="Times New Roman" w:cs="Times New Roman" w:eastAsia="Times New Roman" w:hAnsi="Times New Roman"/>
                <w:sz w:val="18"/>
                <w:szCs w:val="18"/>
                <w:color w:val="auto"/>
              </w:rPr>
              <w:t>2025/first half 2026)</w:t>
            </w:r>
          </w:p>
        </w:tc>
      </w:tr>
      <w:tr>
        <w:trPr>
          <w:trHeight w:val="189"/>
        </w:trPr>
        <w:tc>
          <w:tcPr>
            <w:tcW w:w="19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520" w:type="dxa"/>
            <w:vAlign w:val="bottom"/>
            <w:shd w:val="clear" w:color="auto" w:fill="CCEEFF"/>
          </w:tcPr>
          <w:p>
            <w:pPr>
              <w:ind w:left="200"/>
              <w:spacing w:after="0" w:line="189" w:lineRule="exact"/>
              <w:rPr>
                <w:sz w:val="20"/>
                <w:szCs w:val="20"/>
                <w:color w:val="auto"/>
              </w:rPr>
            </w:pPr>
            <w:r>
              <w:rPr>
                <w:rFonts w:ascii="Times New Roman" w:cs="Times New Roman" w:eastAsia="Times New Roman" w:hAnsi="Times New Roman"/>
                <w:sz w:val="18"/>
                <w:szCs w:val="18"/>
                <w:color w:val="auto"/>
              </w:rPr>
              <w:t>replacement surgery</w:t>
            </w:r>
          </w:p>
        </w:tc>
        <w:tc>
          <w:tcPr>
            <w:tcW w:w="4120" w:type="dxa"/>
            <w:vAlign w:val="bottom"/>
            <w:shd w:val="clear" w:color="auto" w:fill="CCEEFF"/>
          </w:tcPr>
          <w:p>
            <w:pPr>
              <w:spacing w:after="0"/>
              <w:rPr>
                <w:sz w:val="16"/>
                <w:szCs w:val="16"/>
                <w:color w:val="auto"/>
              </w:rPr>
            </w:pPr>
          </w:p>
        </w:tc>
      </w:tr>
      <w:tr>
        <w:trPr>
          <w:trHeight w:val="182"/>
        </w:trPr>
        <w:tc>
          <w:tcPr>
            <w:tcW w:w="19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1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–Discontinued study in</w:t>
            </w:r>
          </w:p>
        </w:tc>
      </w:tr>
      <w:tr>
        <w:trPr>
          <w:trHeight w:val="236"/>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7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aplastic anemia</w:t>
            </w:r>
          </w:p>
        </w:tc>
      </w:tr>
      <w:tr>
        <w:trPr>
          <w:trHeight w:val="182"/>
        </w:trPr>
        <w:tc>
          <w:tcPr>
            <w:tcW w:w="19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70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3520" w:type="dxa"/>
            <w:vAlign w:val="bottom"/>
            <w:shd w:val="clear" w:color="auto" w:fill="CCEEFF"/>
          </w:tcPr>
          <w:p>
            <w:pPr>
              <w:spacing w:after="0"/>
              <w:rPr>
                <w:sz w:val="15"/>
                <w:szCs w:val="15"/>
                <w:color w:val="auto"/>
              </w:rPr>
            </w:pPr>
          </w:p>
        </w:tc>
        <w:tc>
          <w:tcPr>
            <w:tcW w:w="4120" w:type="dxa"/>
            <w:vAlign w:val="bottom"/>
            <w:shd w:val="clear" w:color="auto" w:fill="CCEEFF"/>
          </w:tcPr>
          <w:p>
            <w:pPr>
              <w:spacing w:after="0"/>
              <w:rPr>
                <w:sz w:val="15"/>
                <w:szCs w:val="15"/>
                <w:color w:val="auto"/>
              </w:rPr>
            </w:pPr>
          </w:p>
        </w:tc>
      </w:tr>
      <w:tr>
        <w:trPr>
          <w:trHeight w:val="236"/>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1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beta-thalassemia</w:t>
            </w:r>
          </w:p>
        </w:tc>
        <w:tc>
          <w:tcPr>
            <w:tcW w:w="3520" w:type="dxa"/>
            <w:vAlign w:val="bottom"/>
            <w:shd w:val="clear" w:color="auto" w:fill="CCEEFF"/>
          </w:tcPr>
          <w:p>
            <w:pPr>
              <w:spacing w:after="0"/>
              <w:rPr>
                <w:sz w:val="20"/>
                <w:szCs w:val="20"/>
                <w:color w:val="auto"/>
              </w:rPr>
            </w:pPr>
          </w:p>
        </w:tc>
        <w:tc>
          <w:tcPr>
            <w:tcW w:w="4120" w:type="dxa"/>
            <w:vAlign w:val="bottom"/>
            <w:shd w:val="clear" w:color="auto" w:fill="CCEEFF"/>
          </w:tcPr>
          <w:p>
            <w:pPr>
              <w:spacing w:after="0"/>
              <w:rPr>
                <w:sz w:val="20"/>
                <w:szCs w:val="20"/>
                <w:color w:val="auto"/>
              </w:rPr>
            </w:pPr>
          </w:p>
        </w:tc>
      </w:tr>
      <w:tr>
        <w:trPr>
          <w:trHeight w:val="54"/>
        </w:trPr>
        <w:tc>
          <w:tcPr>
            <w:tcW w:w="1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520" w:type="dxa"/>
            <w:vAlign w:val="bottom"/>
          </w:tcPr>
          <w:p>
            <w:pPr>
              <w:spacing w:after="0"/>
              <w:rPr>
                <w:sz w:val="4"/>
                <w:szCs w:val="4"/>
                <w:color w:val="auto"/>
              </w:rPr>
            </w:pPr>
          </w:p>
        </w:tc>
        <w:tc>
          <w:tcPr>
            <w:tcW w:w="4120" w:type="dxa"/>
            <w:vAlign w:val="bottom"/>
          </w:tcPr>
          <w:p>
            <w:pPr>
              <w:spacing w:after="0"/>
              <w:rPr>
                <w:sz w:val="4"/>
                <w:szCs w:val="4"/>
                <w:color w:val="auto"/>
              </w:rPr>
            </w:pPr>
          </w:p>
        </w:tc>
      </w:tr>
      <w:tr>
        <w:trPr>
          <w:trHeight w:val="230"/>
        </w:trPr>
        <w:tc>
          <w:tcPr>
            <w:tcW w:w="1900" w:type="dxa"/>
            <w:vAlign w:val="bottom"/>
            <w:shd w:val="clear" w:color="auto" w:fill="ACACAC"/>
          </w:tcPr>
          <w:p>
            <w:pPr>
              <w:spacing w:after="0"/>
              <w:rPr>
                <w:sz w:val="19"/>
                <w:szCs w:val="19"/>
                <w:color w:val="auto"/>
              </w:rPr>
            </w:pPr>
          </w:p>
        </w:tc>
        <w:tc>
          <w:tcPr>
            <w:tcW w:w="1700" w:type="dxa"/>
            <w:vAlign w:val="bottom"/>
            <w:shd w:val="clear" w:color="auto" w:fill="ACACAC"/>
          </w:tcPr>
          <w:p>
            <w:pPr>
              <w:spacing w:after="0"/>
              <w:rPr>
                <w:sz w:val="19"/>
                <w:szCs w:val="19"/>
                <w:color w:val="auto"/>
              </w:rPr>
            </w:pPr>
          </w:p>
        </w:tc>
        <w:tc>
          <w:tcPr>
            <w:tcW w:w="3520" w:type="dxa"/>
            <w:vAlign w:val="bottom"/>
            <w:shd w:val="clear" w:color="auto" w:fill="ACACAC"/>
          </w:tcPr>
          <w:p>
            <w:pPr>
              <w:ind w:left="600"/>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4120" w:type="dxa"/>
            <w:vAlign w:val="bottom"/>
            <w:shd w:val="clear" w:color="auto" w:fill="ACACAC"/>
          </w:tcPr>
          <w:p>
            <w:pPr>
              <w:spacing w:after="0"/>
              <w:rPr>
                <w:sz w:val="19"/>
                <w:szCs w:val="19"/>
                <w:color w:val="auto"/>
              </w:rPr>
            </w:pPr>
          </w:p>
        </w:tc>
      </w:tr>
      <w:tr>
        <w:trPr>
          <w:trHeight w:val="270"/>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700" w:type="dxa"/>
            <w:vAlign w:val="bottom"/>
          </w:tcPr>
          <w:p>
            <w:pPr>
              <w:spacing w:after="0"/>
              <w:rPr>
                <w:sz w:val="23"/>
                <w:szCs w:val="23"/>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–Fibrodysplasia</w:t>
            </w:r>
          </w:p>
        </w:tc>
        <w:tc>
          <w:tcPr>
            <w:tcW w:w="41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–Report results from Phase</w:t>
            </w:r>
          </w:p>
        </w:tc>
      </w:tr>
      <w:tr>
        <w:trPr>
          <w:trHeight w:val="175"/>
        </w:trPr>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700" w:type="dxa"/>
            <w:vAlign w:val="bottom"/>
          </w:tcPr>
          <w:p>
            <w:pPr>
              <w:spacing w:after="0"/>
              <w:rPr>
                <w:sz w:val="15"/>
                <w:szCs w:val="15"/>
                <w:color w:val="auto"/>
              </w:rPr>
            </w:pPr>
          </w:p>
        </w:tc>
        <w:tc>
          <w:tcPr>
            <w:tcW w:w="3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ossificans progressiva</w:t>
            </w:r>
          </w:p>
        </w:tc>
        <w:tc>
          <w:tcPr>
            <w:tcW w:w="4120" w:type="dxa"/>
            <w:vAlign w:val="bottom"/>
          </w:tcPr>
          <w:p>
            <w:pPr>
              <w:ind w:left="2040"/>
              <w:spacing w:after="0" w:line="176" w:lineRule="exact"/>
              <w:rPr>
                <w:sz w:val="20"/>
                <w:szCs w:val="20"/>
                <w:color w:val="auto"/>
              </w:rPr>
            </w:pPr>
            <w:r>
              <w:rPr>
                <w:rFonts w:ascii="Times New Roman" w:cs="Times New Roman" w:eastAsia="Times New Roman" w:hAnsi="Times New Roman"/>
                <w:sz w:val="18"/>
                <w:szCs w:val="18"/>
                <w:color w:val="auto"/>
              </w:rPr>
              <w:t>3 study in FOP (second half</w:t>
            </w:r>
          </w:p>
        </w:tc>
      </w:tr>
      <w:tr>
        <w:trPr>
          <w:trHeight w:val="475"/>
        </w:trPr>
        <w:tc>
          <w:tcPr>
            <w:tcW w:w="1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700" w:type="dxa"/>
            <w:vAlign w:val="bottom"/>
          </w:tcPr>
          <w:p>
            <w:pPr>
              <w:spacing w:after="0"/>
              <w:rPr>
                <w:sz w:val="24"/>
                <w:szCs w:val="24"/>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35"/>
                <w:szCs w:val="35"/>
                <w:color w:val="auto"/>
                <w:vertAlign w:val="subscript"/>
              </w:rPr>
              <w:t>("FOP")</w:t>
            </w:r>
            <w:r>
              <w:rPr>
                <w:rFonts w:ascii="Times New Roman" w:cs="Times New Roman" w:eastAsia="Times New Roman" w:hAnsi="Times New Roman"/>
                <w:sz w:val="12"/>
                <w:szCs w:val="12"/>
                <w:color w:val="auto"/>
              </w:rPr>
              <w:t>(c)(d)(e)</w:t>
            </w:r>
          </w:p>
        </w:tc>
        <w:tc>
          <w:tcPr>
            <w:tcW w:w="41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2025)</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(h)</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20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interim 26-</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final 26-week</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week results from Phase</w:t>
            </w: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results from Phase 2 study</w:t>
            </w: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 study in obesity; final</w:t>
            </w:r>
          </w:p>
        </w:tc>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 obesity at upcoming</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(GDF8)</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26-week results</w:t>
            </w: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conference (third quarter</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consistent with interim</w:t>
            </w: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results</w:t>
            </w: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1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(c)(d)(e)</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REGN5381</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–Heart failure</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Agonist antibody to NPR1</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–Uncontrolled</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hypertension</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8"/>
          <w:szCs w:val="18"/>
          <w:b w:val="1"/>
          <w:bCs w:val="1"/>
          <w:color w:val="auto"/>
        </w:rPr>
        <w:t>REGN7544</w:t>
      </w:r>
    </w:p>
    <w:p>
      <w:pPr>
        <w:spacing w:after="0" w:line="1" w:lineRule="exact"/>
        <w:rPr>
          <w:sz w:val="20"/>
          <w:szCs w:val="20"/>
          <w:color w:val="auto"/>
        </w:rPr>
      </w:pPr>
    </w:p>
    <w:p>
      <w:pPr>
        <w:ind w:left="20" w:right="320"/>
        <w:spacing w:after="0" w:line="226" w:lineRule="auto"/>
        <w:rPr>
          <w:sz w:val="20"/>
          <w:szCs w:val="20"/>
          <w:color w:val="auto"/>
        </w:rPr>
      </w:pPr>
      <w:r>
        <w:rPr>
          <w:rFonts w:ascii="Times New Roman" w:cs="Times New Roman" w:eastAsia="Times New Roman" w:hAnsi="Times New Roman"/>
          <w:sz w:val="18"/>
          <w:szCs w:val="18"/>
          <w:i w:val="1"/>
          <w:iCs w:val="1"/>
          <w:color w:val="auto"/>
        </w:rPr>
        <w:t>Antagonist antibody to NPR1</w:t>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Rapirosiran (ALN-HSD)</w:t>
      </w:r>
    </w:p>
    <w:p>
      <w:pPr>
        <w:ind w:left="20"/>
        <w:spacing w:after="0"/>
        <w:rPr>
          <w:sz w:val="20"/>
          <w:szCs w:val="20"/>
          <w:color w:val="auto"/>
        </w:rPr>
      </w:pPr>
      <w:r>
        <w:rPr>
          <w:rFonts w:ascii="Times New Roman" w:cs="Times New Roman" w:eastAsia="Times New Roman" w:hAnsi="Times New Roman"/>
          <w:sz w:val="12"/>
          <w:szCs w:val="12"/>
          <w:b w:val="1"/>
          <w:bCs w:val="1"/>
          <w:color w:val="auto"/>
        </w:rPr>
        <w:t>(k)</w:t>
      </w:r>
    </w:p>
    <w:p>
      <w:pPr>
        <w:spacing w:after="0" w:line="13"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RNAi therapeutic targeting HSD17B13</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DB-OTO</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AAV-based gene therapy</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–Postural orthostatic</w:t>
      </w:r>
    </w:p>
    <w:p>
      <w:pPr>
        <w:spacing w:after="0" w:line="216" w:lineRule="auto"/>
        <w:rPr>
          <w:sz w:val="20"/>
          <w:szCs w:val="20"/>
          <w:color w:val="auto"/>
        </w:rPr>
      </w:pPr>
      <w:r>
        <w:rPr>
          <w:rFonts w:ascii="Times New Roman" w:cs="Times New Roman" w:eastAsia="Times New Roman" w:hAnsi="Times New Roman"/>
          <w:sz w:val="17"/>
          <w:szCs w:val="17"/>
          <w:color w:val="auto"/>
        </w:rPr>
        <w:t>tachycardia syndrome</w:t>
      </w:r>
    </w:p>
    <w:p>
      <w:pPr>
        <w:spacing w:after="0"/>
        <w:rPr>
          <w:sz w:val="20"/>
          <w:szCs w:val="20"/>
          <w:color w:val="auto"/>
        </w:rPr>
      </w:pPr>
      <w:r>
        <w:rPr>
          <w:rFonts w:ascii="Times New Roman" w:cs="Times New Roman" w:eastAsia="Times New Roman" w:hAnsi="Times New Roman"/>
          <w:sz w:val="18"/>
          <w:szCs w:val="18"/>
          <w:color w:val="auto"/>
        </w:rPr>
        <w:t>("POTS")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–Sepsis-induced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hypotension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–Metabolic</w:t>
      </w:r>
    </w:p>
    <w:p>
      <w:pPr>
        <w:spacing w:after="0" w:line="203" w:lineRule="auto"/>
        <w:rPr>
          <w:sz w:val="20"/>
          <w:szCs w:val="20"/>
          <w:color w:val="auto"/>
        </w:rPr>
      </w:pPr>
      <w:r>
        <w:rPr>
          <w:rFonts w:ascii="Times New Roman" w:cs="Times New Roman" w:eastAsia="Times New Roman" w:hAnsi="Times New Roman"/>
          <w:sz w:val="18"/>
          <w:szCs w:val="18"/>
          <w:color w:val="auto"/>
        </w:rPr>
        <w:t>dysfunction-</w:t>
      </w:r>
    </w:p>
    <w:p>
      <w:pPr>
        <w:spacing w:after="0" w:line="203" w:lineRule="auto"/>
        <w:rPr>
          <w:sz w:val="20"/>
          <w:szCs w:val="20"/>
          <w:color w:val="auto"/>
        </w:rPr>
      </w:pPr>
      <w:r>
        <w:rPr>
          <w:rFonts w:ascii="Times New Roman" w:cs="Times New Roman" w:eastAsia="Times New Roman" w:hAnsi="Times New Roman"/>
          <w:sz w:val="18"/>
          <w:szCs w:val="18"/>
          <w:color w:val="auto"/>
        </w:rPr>
        <w:t>associated</w:t>
      </w:r>
    </w:p>
    <w:p>
      <w:pPr>
        <w:spacing w:after="0" w:line="220" w:lineRule="auto"/>
        <w:rPr>
          <w:sz w:val="20"/>
          <w:szCs w:val="20"/>
          <w:color w:val="auto"/>
        </w:rPr>
      </w:pPr>
      <w:r>
        <w:rPr>
          <w:rFonts w:ascii="Times New Roman" w:cs="Times New Roman" w:eastAsia="Times New Roman" w:hAnsi="Times New Roman"/>
          <w:sz w:val="18"/>
          <w:szCs w:val="18"/>
          <w:color w:val="auto"/>
        </w:rPr>
        <w:t>steatohepatitis</w:t>
      </w:r>
    </w:p>
    <w:p>
      <w:pPr>
        <w:spacing w:after="0"/>
        <w:rPr>
          <w:sz w:val="20"/>
          <w:szCs w:val="20"/>
          <w:color w:val="auto"/>
        </w:rPr>
      </w:pPr>
      <w:r>
        <w:rPr>
          <w:rFonts w:ascii="Times New Roman" w:cs="Times New Roman" w:eastAsia="Times New Roman" w:hAnsi="Times New Roman"/>
          <w:sz w:val="18"/>
          <w:szCs w:val="18"/>
          <w:color w:val="auto"/>
        </w:rPr>
        <w:t>("MASH")</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–Hearing deficit due</w:t>
      </w:r>
    </w:p>
    <w:p>
      <w:pPr>
        <w:spacing w:after="0" w:line="190" w:lineRule="auto"/>
        <w:rPr>
          <w:sz w:val="20"/>
          <w:szCs w:val="20"/>
          <w:color w:val="auto"/>
        </w:rPr>
      </w:pPr>
      <w:r>
        <w:rPr>
          <w:rFonts w:ascii="Times New Roman" w:cs="Times New Roman" w:eastAsia="Times New Roman" w:hAnsi="Times New Roman"/>
          <w:sz w:val="18"/>
          <w:szCs w:val="18"/>
          <w:color w:val="auto"/>
        </w:rPr>
        <w:t>to variants of the</w:t>
      </w:r>
    </w:p>
    <w:p>
      <w:pPr>
        <w:spacing w:after="0" w:line="185" w:lineRule="auto"/>
        <w:rPr>
          <w:sz w:val="20"/>
          <w:szCs w:val="20"/>
          <w:color w:val="auto"/>
        </w:rPr>
      </w:pPr>
      <w:r>
        <w:rPr>
          <w:rFonts w:ascii="Times New Roman" w:cs="Times New Roman" w:eastAsia="Times New Roman" w:hAnsi="Times New Roman"/>
          <w:sz w:val="17"/>
          <w:szCs w:val="17"/>
          <w:color w:val="auto"/>
        </w:rPr>
        <w:t>otoferlin gene</w:t>
      </w:r>
      <w:r>
        <w:rPr>
          <w:rFonts w:ascii="Times New Roman" w:cs="Times New Roman" w:eastAsia="Times New Roman" w:hAnsi="Times New Roman"/>
          <w:sz w:val="21"/>
          <w:szCs w:val="21"/>
          <w:color w:val="auto"/>
          <w:vertAlign w:val="superscript"/>
        </w:rPr>
        <w:t>(c)(e)(m)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–Presented updated data</w:t>
      </w:r>
      <w:r>
        <w:rPr>
          <w:sz w:val="20"/>
          <w:szCs w:val="20"/>
          <w:color w:val="auto"/>
        </w:rPr>
        <w:tab/>
      </w:r>
      <w:r>
        <w:rPr>
          <w:rFonts w:ascii="Times New Roman" w:cs="Times New Roman" w:eastAsia="Times New Roman" w:hAnsi="Times New Roman"/>
          <w:sz w:val="17"/>
          <w:szCs w:val="17"/>
          <w:color w:val="auto"/>
        </w:rPr>
        <w:t>–Report additional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-4578985</wp:posOffset>
            </wp:positionH>
            <wp:positionV relativeFrom="paragraph">
              <wp:posOffset>-755015</wp:posOffset>
            </wp:positionV>
            <wp:extent cx="7132320" cy="6083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spacing w:after="0" w:line="232" w:lineRule="auto"/>
        <w:tabs>
          <w:tab w:leader="none" w:pos="1940" w:val="left"/>
        </w:tabs>
        <w:rPr>
          <w:sz w:val="20"/>
          <w:szCs w:val="20"/>
          <w:color w:val="auto"/>
        </w:rPr>
      </w:pPr>
      <w:r>
        <w:rPr>
          <w:rFonts w:ascii="Times New Roman" w:cs="Times New Roman" w:eastAsia="Times New Roman" w:hAnsi="Times New Roman"/>
          <w:sz w:val="18"/>
          <w:szCs w:val="18"/>
          <w:color w:val="auto"/>
        </w:rPr>
        <w:t>from Phase 1/2 trial at</w:t>
      </w:r>
      <w:r>
        <w:rPr>
          <w:sz w:val="20"/>
          <w:szCs w:val="20"/>
          <w:color w:val="auto"/>
        </w:rPr>
        <w:tab/>
      </w:r>
      <w:r>
        <w:rPr>
          <w:rFonts w:ascii="Times New Roman" w:cs="Times New Roman" w:eastAsia="Times New Roman" w:hAnsi="Times New Roman"/>
          <w:sz w:val="17"/>
          <w:szCs w:val="17"/>
          <w:color w:val="auto"/>
        </w:rPr>
        <w:t>from Phase 1/2 study</w:t>
      </w:r>
    </w:p>
    <w:p>
      <w:pPr>
        <w:spacing w:after="0" w:line="215" w:lineRule="auto"/>
        <w:tabs>
          <w:tab w:leader="none" w:pos="1940" w:val="left"/>
        </w:tabs>
        <w:rPr>
          <w:sz w:val="20"/>
          <w:szCs w:val="20"/>
          <w:color w:val="auto"/>
        </w:rPr>
      </w:pPr>
      <w:r>
        <w:rPr>
          <w:rFonts w:ascii="Times New Roman" w:cs="Times New Roman" w:eastAsia="Times New Roman" w:hAnsi="Times New Roman"/>
          <w:sz w:val="18"/>
          <w:szCs w:val="18"/>
          <w:color w:val="auto"/>
        </w:rPr>
        <w:t>Association for Research</w:t>
      </w:r>
      <w:r>
        <w:rPr>
          <w:sz w:val="20"/>
          <w:szCs w:val="20"/>
          <w:color w:val="auto"/>
        </w:rPr>
        <w:tab/>
      </w:r>
      <w:r>
        <w:rPr>
          <w:rFonts w:ascii="Times New Roman" w:cs="Times New Roman" w:eastAsia="Times New Roman" w:hAnsi="Times New Roman"/>
          <w:sz w:val="17"/>
          <w:szCs w:val="17"/>
          <w:color w:val="auto"/>
        </w:rPr>
        <w:t>(second half 2025)</w:t>
      </w:r>
    </w:p>
    <w:p>
      <w:pPr>
        <w:spacing w:after="0" w:line="203" w:lineRule="auto"/>
        <w:rPr>
          <w:sz w:val="20"/>
          <w:szCs w:val="20"/>
          <w:color w:val="auto"/>
        </w:rPr>
      </w:pPr>
      <w:r>
        <w:rPr>
          <w:rFonts w:ascii="Times New Roman" w:cs="Times New Roman" w:eastAsia="Times New Roman" w:hAnsi="Times New Roman"/>
          <w:sz w:val="18"/>
          <w:szCs w:val="18"/>
          <w:color w:val="auto"/>
        </w:rPr>
        <w:t>in Otolaryngology's</w:t>
      </w:r>
    </w:p>
    <w:p>
      <w:pPr>
        <w:spacing w:after="0" w:line="220" w:lineRule="auto"/>
        <w:rPr>
          <w:sz w:val="20"/>
          <w:szCs w:val="20"/>
          <w:color w:val="auto"/>
        </w:rPr>
      </w:pPr>
      <w:r>
        <w:rPr>
          <w:rFonts w:ascii="Times New Roman" w:cs="Times New Roman" w:eastAsia="Times New Roman" w:hAnsi="Times New Roman"/>
          <w:sz w:val="18"/>
          <w:szCs w:val="18"/>
          <w:color w:val="auto"/>
        </w:rPr>
        <w:t>Annual MidWinter</w:t>
      </w:r>
    </w:p>
    <w:p>
      <w:pPr>
        <w:jc w:val="center"/>
        <w:ind w:right="3420"/>
        <w:spacing w:after="0"/>
        <w:rPr>
          <w:sz w:val="20"/>
          <w:szCs w:val="20"/>
          <w:color w:val="auto"/>
        </w:rPr>
      </w:pPr>
      <w:r>
        <w:rPr>
          <w:rFonts w:ascii="Times New Roman" w:cs="Times New Roman" w:eastAsia="Times New Roman" w:hAnsi="Times New Roman"/>
          <w:sz w:val="18"/>
          <w:szCs w:val="18"/>
          <w:color w:val="auto"/>
        </w:rPr>
        <w:t>Meeting</w:t>
      </w:r>
    </w:p>
    <w:p>
      <w:pPr>
        <w:spacing w:after="0" w:line="200" w:lineRule="exact"/>
        <w:rPr>
          <w:sz w:val="20"/>
          <w:szCs w:val="20"/>
          <w:color w:val="auto"/>
        </w:rPr>
      </w:pPr>
    </w:p>
    <w:p>
      <w:pPr>
        <w:sectPr>
          <w:pgSz w:w="11900" w:h="16838" w:orient="portrait"/>
          <w:cols w:equalWidth="0" w:num="3">
            <w:col w:w="1980" w:space="160"/>
            <w:col w:w="4360" w:space="720"/>
            <w:col w:w="4020"/>
          </w:cols>
          <w:pgMar w:left="320" w:top="369" w:right="339" w:bottom="1440" w:gutter="0" w:footer="0" w:header="0"/>
          <w:type w:val="continuous"/>
        </w:sect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2" w:lineRule="exact"/>
        <w:rPr>
          <w:sz w:val="20"/>
          <w:szCs w:val="20"/>
          <w:color w:val="auto"/>
        </w:rPr>
      </w:pPr>
    </w:p>
    <w:p>
      <w:pPr>
        <w:ind w:left="240" w:right="66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entitled to receive royalties on sales of the product, if any</w:t>
      </w:r>
    </w:p>
    <w:p>
      <w:pPr>
        <w:spacing w:after="0" w:line="75"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sales milestones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00" w:hanging="165"/>
        <w:spacing w:after="0" w:line="214" w:lineRule="auto"/>
        <w:tabs>
          <w:tab w:leader="none" w:pos="40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Studied in combination with ubamatamab</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2025, the FDA issued a CRL regarding the sBLA for the addition of extended dosing intervals. The FDA indicated that the submitted data did not support extended dosing intervals greater than every 16 weeks. The Company is evaluating next steps.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issued a CRL for the EYLEA HD pre-filled syringe in April 2025, and the FDA subsequently accepted the Company's resubmission of its regulatory application for the EYLEA HD pre-filled syringe.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the Company now expects regulatory approvals to be delayed for its currently pending FDA applications for EYLEA HD (pre-filled syringe, every-four-week dosing, and for the treatment of macular edema following retinal vein occlusion), which have PDUFA dates in August 2025. The anticipated delay is related to observations from an FDA general site inspection at the filler for EYLEA HD in these regulatory applications, Catalent Indiana LLC (recently acquired by Novo Nordisk A/S). This inspection was completed in mid-July and was not specific to EYLEA HD. Based on the Company's review of the observations and Novo's proposed response to the FDA, along with the progress the Company has made with alternate third-party fillers, the Company anticipates an expeditious resolution of the filling issues for EYLEA HD.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the Company and Sanofi announced that a Phase 3 trial, AERIFY-1, in adults who were former smokers with inadequately controlled COPD met the primary endpoint of significantly reducing moderate or severe acute exacerbations by 27% compared to placebo at week 52, a clinically meaningful benefit. A second Phase 3 trial, AERIFY-2, did not meet the same primary endpoint, although a benefit was seen earlier in the trial. The safety profile of itepekimab observed in the Phase 3 trials was consistent with prior clinical trials. The Company and Sanofi are reviewing the data and will discuss with regulatory authorities to evaluate next steps.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a pre-planned interim analysis was conducted on two ongoing Phase 2/3 studies evaluating the combination of fianlimab and cemiplimab in first-line advanced NSCLC. Due to limited follow-up, the Phase 2 portion of the studies will continue unchanged until additional data are available. The next analyses for these studies are expected in the first quarter of 2026, at which time a decision whether to advance to Phase 3 is expected to be made. No new safety signals were observed in either study.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Ordspono (odronextamab)</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30, 2025, the FDA issued a CRL for the BLA for odronextamab in relapsed/refractory follicular lymphoma after two or more lines of systemic therapy, which was also impacted by the Catalent Indiana LLC site inspection (as described in the "EYLEA HD" section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Collaboration, Sanofi is generally responsible for funding 80% to 100% of agreed-upon development costs. We are obligated to reimburse Sanofi for 30% to 50% of development expenses that were funded by Sanofi based on our share of collaboration profits; however, we are only required to apply 20% of our share of profits from the collaboration each calendar quarter to reimburse Sanofi for these development expenses. As of June 30, 2025, the total amount of our contingent reimbursement obligation to Sanofi (i.e., "development balance") in connection with such development expenses was approximately $1.2 billion.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we have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 and co-commercialization agreement or a license agreement. The initial target nomination and discovery period of five years has been automatically extended until the earlier of seven years from the effective date of the collaboration or the achievement of certain milestones (the "Research Term"). In addition, we have an option to extend the Research Term for an additional five-year period for a research extension fee of $300.0 million.</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 small interfering RNA ("siRNA") therapeutic targeting the C5 component of the human complement pathway) as a monotherapy and for a combination consisting of cemdisiran and pozelimab.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including therapies focused on neurological and muscular diseases. We have the right to select targets under the license and collaboration agreement until April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be entitled to 25% of any profits.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Hansoh</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our license agreement with Hansoh Pharmaceuticals Group Company Limited to acquire development and commercial rights outside of mainland China, Hong Kong, and Macau for HS-20094 (a dual GLP-1/GIP receptor agonist currently in Phase 3 clinical development in China) became effective. In-licensing a late-stage GLP1/GIP agonist enables us to study combinations with our products and product candidates in order to address muscle loss and potentially other comorbidities of obesity, such as cardiovascular diseases, diabetes, and liver conditions. Under the terms of the agreement, we made an $80.0 million up-front payment in July 2025. In addition, we are obligated to make additional payments upon achievement of development, regulatory, and sales milestones, as well as a low double-digit royalty on sales.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EYLEA HD, EYLEA,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0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8"/>
        </w:trPr>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6,692.1</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5,033.1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4,871.1</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1,671.2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8"/>
        </w:trPr>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2,154.3</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59"/>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2"/>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EYLEA HD - 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EYLEA - U.S.</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Libtayo - U.S.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Libtayo - ROW</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Praluent - U.S.</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Evkeeza - U.S.</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Inmazeb - ROW</w:t>
            </w:r>
          </w:p>
        </w:tc>
        <w:tc>
          <w:tcPr>
            <w:tcW w:w="18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360" w:type="dxa"/>
            <w:vAlign w:val="bottom"/>
          </w:tcPr>
          <w:p>
            <w:pPr>
              <w:spacing w:after="0"/>
              <w:rPr>
                <w:sz w:val="19"/>
                <w:szCs w:val="19"/>
                <w:color w:val="auto"/>
              </w:rPr>
            </w:pPr>
          </w:p>
        </w:tc>
      </w:tr>
      <w:tr>
        <w:trPr>
          <w:trHeight w:val="270"/>
        </w:trPr>
        <w:tc>
          <w:tcPr>
            <w:tcW w:w="380" w:type="dxa"/>
            <w:vAlign w:val="bottom"/>
          </w:tcPr>
          <w:p>
            <w:pPr>
              <w:spacing w:after="0"/>
              <w:rPr>
                <w:sz w:val="23"/>
                <w:szCs w:val="23"/>
                <w:color w:val="auto"/>
              </w:rPr>
            </w:pPr>
          </w:p>
        </w:tc>
        <w:tc>
          <w:tcPr>
            <w:tcW w:w="3780" w:type="dxa"/>
            <w:vAlign w:val="bottom"/>
            <w:gridSpan w:val="2"/>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Sanofi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1,145.6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Bayer</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3,675.6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3,547.1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6,704.3</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60" w:type="dxa"/>
            <w:vAlign w:val="bottom"/>
          </w:tcPr>
          <w:p>
            <w:pPr>
              <w:spacing w:after="0"/>
              <w:rPr>
                <w:sz w:val="19"/>
                <w:szCs w:val="19"/>
                <w:color w:val="auto"/>
              </w:rPr>
            </w:pPr>
          </w:p>
        </w:tc>
      </w:tr>
      <w:tr>
        <w:trPr>
          <w:trHeight w:val="21"/>
        </w:trPr>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55"/>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8"/>
        </w:trPr>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product sales of EYLEA HD increased for the three and six months ended June 30, 2025, compared to the same periods in 2024, due to higher sales volumes.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product sales of EYLEA for the three and six months ended June 30, 2025, compared to the same periods in 2024, were negatively impacted by (i) lower sales volumes as a result of continued competitive pressures (as described below), loss in market share to compounded bevacizumab due to patient affordability constraints, and the continued transition of patients to EYLEA HD, and (ii) a lower net selling price.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We are substantially dependent on the success of EYLEA, EYLEA HD, and Dupixent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In addition, if independent not-for-profit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funds that provide copay assistance are unable to support eligible patients, this will likely have a continued negative impact on patient affordability resulting in lower utilization of higher-cost anti-VEGF agents.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2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2"/>
        </w:trPr>
        <w:tc>
          <w:tcPr>
            <w:tcW w:w="4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28"/>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w:t>
            </w:r>
          </w:p>
        </w:tc>
      </w:tr>
      <w:tr>
        <w:trPr>
          <w:trHeight w:val="229"/>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48"/>
        </w:trPr>
        <w:tc>
          <w:tcPr>
            <w:tcW w:w="44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r>
      <w:tr>
        <w:trPr>
          <w:trHeight w:val="20"/>
        </w:trPr>
        <w:tc>
          <w:tcPr>
            <w:tcW w:w="44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620" w:right="1400"/>
        <w:spacing w:after="0" w:line="204" w:lineRule="auto"/>
        <w:tabs>
          <w:tab w:leader="none" w:pos="79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0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8,278.8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2,676.9</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2,300.2</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1,792.3</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bl>
    <w:p>
      <w:pPr>
        <w:ind w:left="740" w:hanging="174"/>
        <w:spacing w:after="0"/>
        <w:tabs>
          <w:tab w:leader="none" w:pos="7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Sanofi" above for additional details on our contingent reimbursement obligation</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and six months ended June 30, 2025, compared to the same periods in 2024, was driven by higher profits associated with Dupixent sales.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63"/>
        </w:trPr>
        <w:tc>
          <w:tcPr>
            <w:tcW w:w="4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r>
      <w:tr>
        <w:trPr>
          <w:trHeight w:val="223"/>
        </w:trPr>
        <w:tc>
          <w:tcPr>
            <w:tcW w:w="440" w:type="dxa"/>
            <w:vAlign w:val="bottom"/>
          </w:tcPr>
          <w:p>
            <w:pPr>
              <w:spacing w:after="0"/>
              <w:rPr>
                <w:sz w:val="19"/>
                <w:szCs w:val="19"/>
                <w:color w:val="auto"/>
              </w:rPr>
            </w:pPr>
          </w:p>
        </w:tc>
        <w:tc>
          <w:tcPr>
            <w:tcW w:w="5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5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r>
      <w:tr>
        <w:trPr>
          <w:trHeight w:val="230"/>
        </w:trPr>
        <w:tc>
          <w:tcPr>
            <w:tcW w:w="440" w:type="dxa"/>
            <w:vAlign w:val="bottom"/>
          </w:tcPr>
          <w:p>
            <w:pPr>
              <w:spacing w:after="0"/>
              <w:rPr>
                <w:sz w:val="19"/>
                <w:szCs w:val="19"/>
                <w:color w:val="auto"/>
              </w:rPr>
            </w:pPr>
          </w:p>
        </w:tc>
        <w:tc>
          <w:tcPr>
            <w:tcW w:w="57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440" w:type="dxa"/>
            <w:vAlign w:val="bottom"/>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r>
      <w:tr>
        <w:trPr>
          <w:trHeight w:val="20"/>
        </w:trPr>
        <w:tc>
          <w:tcPr>
            <w:tcW w:w="4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620" w:right="1400"/>
        <w:spacing w:after="0" w:line="204" w:lineRule="auto"/>
        <w:tabs>
          <w:tab w:leader="none" w:pos="79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Regeneron's share of profits in connection with commercialization of EYLEA 8 mg and EYLEA outside the United States is summarized below:</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7"/>
                <w:szCs w:val="17"/>
                <w:color w:val="auto"/>
              </w:rPr>
            </w:pPr>
          </w:p>
        </w:tc>
        <w:tc>
          <w:tcPr>
            <w:tcW w:w="216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 from sales outside the United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7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3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0" w:type="dxa"/>
            <w:vAlign w:val="bottom"/>
          </w:tcPr>
          <w:p>
            <w:pPr>
              <w:spacing w:after="0"/>
              <w:rPr>
                <w:sz w:val="1"/>
                <w:szCs w:val="1"/>
                <w:color w:val="auto"/>
              </w:rPr>
            </w:pPr>
          </w:p>
        </w:tc>
      </w:tr>
      <w:tr>
        <w:trPr>
          <w:trHeight w:val="176"/>
        </w:trPr>
        <w:tc>
          <w:tcPr>
            <w:tcW w:w="5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(32.8)</w:t>
            </w:r>
          </w:p>
        </w:tc>
        <w:tc>
          <w:tcPr>
            <w:tcW w:w="3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700.7</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0" w:type="dxa"/>
            <w:vAlign w:val="bottom"/>
          </w:tcPr>
          <w:p>
            <w:pPr>
              <w:spacing w:after="0"/>
              <w:rPr>
                <w:sz w:val="1"/>
                <w:szCs w:val="1"/>
                <w:color w:val="auto"/>
              </w:rPr>
            </w:pPr>
          </w:p>
        </w:tc>
      </w:tr>
      <w:tr>
        <w:trPr>
          <w:trHeight w:val="21"/>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product sales outside the United States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ind w:left="800" w:hanging="180"/>
        <w:spacing w:after="0"/>
        <w:tabs>
          <w:tab w:leader="none" w:pos="8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Bayer" above for additional details on our contingent reimbursement obligation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for the three and six months ended June 30, 2025, compared to the same periods in 2024. Other revenue included royalties and share of profits earned in connection with license agreements of $117.8 million and $69.4 million for the three months ended June 30, 2025 and 2024, respectively, and $187.6 million and $116.9 million for the six months ended June 30, 2025 and 2024,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2"/>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60" w:type="dxa"/>
            <w:vAlign w:val="bottom"/>
          </w:tcPr>
          <w:p>
            <w:pPr>
              <w:spacing w:after="0"/>
              <w:rPr>
                <w:sz w:val="21"/>
                <w:szCs w:val="21"/>
                <w:color w:val="auto"/>
              </w:rPr>
            </w:pPr>
          </w:p>
        </w:tc>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r>
              <w:rPr>
                <w:rFonts w:ascii="Times New Roman" w:cs="Times New Roman" w:eastAsia="Times New Roman" w:hAnsi="Times New Roman"/>
                <w:sz w:val="18"/>
                <w:szCs w:val="18"/>
                <w:u w:val="single" w:color="auto"/>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w:t>
            </w:r>
            <w:r>
              <w:rPr>
                <w:rFonts w:ascii="Times New Roman" w:cs="Times New Roman" w:eastAsia="Times New Roman" w:hAnsi="Times New Roman"/>
                <w:sz w:val="18"/>
                <w:szCs w:val="18"/>
                <w:u w:val="single" w:color="auto"/>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r>
              <w:rPr>
                <w:rFonts w:ascii="Times New Roman" w:cs="Times New Roman" w:eastAsia="Times New Roman" w:hAnsi="Times New Roman"/>
                <w:sz w:val="18"/>
                <w:szCs w:val="18"/>
                <w:u w:val="single" w:color="auto"/>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r>
    </w:tbl>
    <w:p>
      <w:pPr>
        <w:spacing w:after="0" w:line="11" w:lineRule="exact"/>
        <w:rPr>
          <w:sz w:val="20"/>
          <w:szCs w:val="20"/>
          <w:color w:val="auto"/>
        </w:rPr>
      </w:pPr>
    </w:p>
    <w:p>
      <w:pPr>
        <w:ind w:left="400" w:hanging="165"/>
        <w:spacing w:after="0"/>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manufacturing drug supplies for collaborators and others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included stock-based compensation expense of $251.7 million and $223.2 million for the three months ended June 30, 2025 and 2024, respectively, and $507.4 million and $453.3 million for the six months ended June 30, 2025 and 2024,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w w:val="96"/>
              </w:rPr>
              <w:t>2024</w:t>
            </w:r>
            <w:r>
              <w:rPr>
                <w:rFonts w:ascii="Times New Roman" w:cs="Times New Roman" w:eastAsia="Times New Roman" w:hAnsi="Times New Roman"/>
                <w:sz w:val="23"/>
                <w:szCs w:val="23"/>
                <w:b w:val="1"/>
                <w:bCs w:val="1"/>
                <w:color w:val="auto"/>
                <w:w w:val="96"/>
                <w:vertAlign w:val="superscript"/>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7"/>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Trevogrumab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176"/>
        </w:trPr>
        <w:tc>
          <w:tcPr>
            <w:tcW w:w="4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50"/>
        </w:trPr>
        <w:tc>
          <w:tcPr>
            <w:tcW w:w="4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50"/>
        </w:trPr>
        <w:tc>
          <w:tcPr>
            <w:tcW w:w="4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70"/>
        </w:trPr>
        <w:tc>
          <w:tcPr>
            <w:tcW w:w="4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175"/>
        </w:trPr>
        <w:tc>
          <w:tcPr>
            <w:tcW w:w="4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70"/>
        </w:trPr>
        <w:tc>
          <w:tcPr>
            <w:tcW w:w="44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300.7</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280" w:hanging="92"/>
        <w:spacing w:after="0" w:line="215" w:lineRule="auto"/>
        <w:tabs>
          <w:tab w:leader="none" w:pos="28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00" w:lineRule="exact"/>
        <w:rPr>
          <w:rFonts w:ascii="Times New Roman" w:cs="Times New Roman" w:eastAsia="Times New Roman" w:hAnsi="Times New Roman"/>
          <w:sz w:val="23"/>
          <w:szCs w:val="23"/>
          <w:color w:val="auto"/>
          <w:vertAlign w:val="superscript"/>
        </w:rPr>
      </w:pPr>
    </w:p>
    <w:p>
      <w:pPr>
        <w:spacing w:after="0" w:line="36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$139.0 million and $122.4 million for the three months ended June 30, 2025 and 2024, respectively, and $280.0 million and $245.4 million for the six months ended June 30, 2025 and 2024, respectively.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and six months ended June 30, 2025, compared to the same periods in 2024, primarily due to lower charitable contributions to an independent not-for-profit patient assistance organization. Selling, general, and administrative expenses included stock-based compensation expense of $91.8 million and $82.6 million for the three months ended June 30, 2025 and 2024, respectively, and $187.0 million and $168.8 million for the six months ended June 30, 2025 and 2024, respectively.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2"/>
        </w:trPr>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20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1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2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498.2</w:t>
            </w:r>
          </w:p>
        </w:tc>
      </w:tr>
      <w:tr>
        <w:trPr>
          <w:trHeight w:val="301"/>
        </w:trPr>
        <w:tc>
          <w:tcPr>
            <w:tcW w:w="1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bl>
    <w:p>
      <w:pPr>
        <w:ind w:left="1460" w:right="1540" w:hanging="3"/>
        <w:spacing w:after="0" w:line="204" w:lineRule="auto"/>
        <w:tabs>
          <w:tab w:leader="none" w:pos="1634"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on net product sales decreased for the three and six months ended June 30, 2025, compared to the same periods in 2024, partly due to ongoing investments to support our manufacturing operations and higher inventory write-offs and reserves.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 (Income)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expense (income), net, for the three and six months ended June 30, 2024 reflected a charge of $14.6 million and $29.9 million, respectively, related to the increase in the estimated fair value of the contingent consideration liability recognized in connection with our 2023 acquisition of Decibel Therapeutics, Inc.</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30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1040" w:type="dxa"/>
            <w:vAlign w:val="bottom"/>
          </w:tcPr>
          <w:p>
            <w:pPr>
              <w:spacing w:after="0"/>
              <w:rPr>
                <w:sz w:val="19"/>
                <w:szCs w:val="19"/>
                <w:color w:val="auto"/>
              </w:rPr>
            </w:pPr>
          </w:p>
        </w:tc>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on equity securities, net</w:t>
            </w: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2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03"/>
        </w:trPr>
        <w:tc>
          <w:tcPr>
            <w:tcW w:w="10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3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174.5</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six months ended June 30, 2025 was positively impacted, compared to the U.S. federal statutory rate, primarily by income earned in foreign jurisdictions with tax rates lower than the U.S. federal statutory rate, federal tax credits for research activities, and, in the second quarter of 2025, the release of existing uncertain tax positions recognized upon the effective settlement of the IRS audit of our 2017 and 2018 federal income tax returns. The release of liabilities for uncertain tax positions reduced our effective tax rate for the three and six months ended June 30, 2025 by 3.9% and 2.4%, respectively.</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our effective tax rate for the three and six months ended June 30, 2025, compared to the same periods in 2024, was primarily impacted by the net change in uncertain tax positions, as well as lower tax benefits from less stock option exercises.</w:t>
      </w:r>
    </w:p>
    <w:p>
      <w:pPr>
        <w:spacing w:after="0" w:line="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July 4, 2025, bill H.R. 1, commonly referred to as the "One Big Beautiful Bill Act" or "OBBBA", was signed into law. The OBBBA significantly revises U.S. corporate income tax laws by, among other things, restoring the option for immediate expense recognition for U.S.-based research and development expenditures and making permanent the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We are in the process of evaluating the impact of the OBBBA on our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3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r>
      <w:tr>
        <w:trPr>
          <w:trHeight w:val="230"/>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w:t>
            </w:r>
          </w:p>
        </w:tc>
      </w:tr>
      <w:tr>
        <w:trPr>
          <w:trHeight w:val="223"/>
        </w:trPr>
        <w:tc>
          <w:tcPr>
            <w:tcW w:w="3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70"/>
        </w:trPr>
        <w:tc>
          <w:tcPr>
            <w:tcW w:w="3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(1,801.4)</w:t>
            </w:r>
          </w:p>
        </w:tc>
      </w:tr>
      <w:tr>
        <w:trPr>
          <w:trHeight w:val="230"/>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3"/>
        </w:trPr>
        <w:tc>
          <w:tcPr>
            <w:tcW w:w="3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(1,524.1)</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4"/>
        </w:trPr>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also had borrowing availability of $750.0 million under a revolving credit facility.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i w:val="1"/>
                <w:iCs w:val="1"/>
                <w:color w:val="auto"/>
                <w:w w:val="99"/>
              </w:rPr>
              <w:t>Sources and Uses of Cash for the Six Months Ended June 30, 2025 and 2024</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2"/>
        </w:trPr>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700" w:type="dxa"/>
            <w:vAlign w:val="bottom"/>
          </w:tcPr>
          <w:p>
            <w:pPr>
              <w:spacing w:after="0"/>
              <w:rPr>
                <w:sz w:val="19"/>
                <w:szCs w:val="19"/>
                <w:color w:val="auto"/>
              </w:rPr>
            </w:pPr>
          </w:p>
        </w:tc>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30"/>
        </w:trPr>
        <w:tc>
          <w:tcPr>
            <w:tcW w:w="70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1,797.8</w:t>
            </w:r>
          </w:p>
        </w:tc>
      </w:tr>
      <w:tr>
        <w:trPr>
          <w:trHeight w:val="229"/>
        </w:trPr>
        <w:tc>
          <w:tcPr>
            <w:tcW w:w="70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(1,786.4)</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six months ended June 30, 2025 included costs incurred in connection with the expansion of our research, preclinical manufacturing, and support facilities at our Tarrytown, New York corporate headquarters. We expect to incur capital expenditures of $880 million to $950 million for the full year of 2025, including in connection with the continued expansion of our facilities in Tarrytown, New York.</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for intangible assets for the six months ended June 30, 2025 included $155.0 million related to our purchase of an FDA Rare Pediatric Disease Priority Review Voucher from a third party in the second quarter of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April 2024 and February 2025, our board of directors authorized an additional share repurchase program for up to $3.0 billion of our Common Stock (up to $6.0 billion in the aggregate). The programs have no time limit and can be discontinued at any time. As of June 30, 2025, $2.814 billion remained available for share repurchases under the programs.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first and second quarters of 2025, our board of directors declared quarterly cash dividends of $0.88 per share on our Common Stock and Class A Stock. Each quarterly dividend was paid to our shareholders in the quarter in which the dividend was declared.</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July 2025, our board of directors declared a cash dividend of $0.88 per share on our Common Stock and Class A Stock. The dividend will be payable on September 3, 2025 to our shareholders of record as of August 18,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2024 (filed February 5, 2025). There have been no material changes to critical accounting estimates during the six months ended June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this report for a description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2024 (filed February 5, 2025). There have been no material changes to our market risks or to our management of such risks as of June 30,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June 30, 2025 that has materially affected, or is reasonably likely to materially affect, our internal control over financial reporting.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Securities and Exchange Commission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ind w:left="660" w:right="2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could change due to various factors such as drug price control measures that have been or may be enacted or introduced in the United States by various federal and state authorities.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the success of EYLEA and EYLEA HD. EYLEA net product sales have historically represented a substantial portion of our revenues, and we expect that there will continue to be a concentration of our net sales from the net product sales of EYLEA HD and EYLEA. For the six months ended June 30, 2025 and 2024, our aggregate EYLEA HD and EYLEA net product sales in the United States represented 33% and 44% of our total revenues, respectively. For the six months ended June 30, 2025, EYLEA HD U.S. net product sales represented 32% of our aggregate EYLEA HD and EYLEA U.S. net product sales. If we are successful in commercializing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three and six months ended June 30, 2025, EYLEA U.S. net product sales declined by 39% compared to the corresponding periods in 2024 as a result of competitive pressures and other factors described under Part I, Item 2. "Management's Discussion and Analysis of Financial Condition and Results of Operations – Results of Operations." Following the expiration of the U.S. regulatory exclusivity period for EYLEA (i.e., the period during which no biosimilar product can be approved by the FDA) in May 2024, several biosimilar versions of EYLEA have been approved by the FDA, and one such product has launched in the United States. EYLEA and/or EYLEA HD net product sales recorded by us are likely to continue to be negatively impacted by biosimilar competition in the United States, which may have a material adverse impact on our results of operations. In addition, we expect that competition for EYLEA outside the United States will increase in the future when biosimilar versions of EYLEA (including those already approved but not yet launched) are brought to market in additional countries, which may negatively impact the amount of collaboration</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revenue we earn from Bayer. While we expect certain regulatory decisions relevant to further commercialization of EYLEA HD as shown in the table under Part I, Item 2. "Management's Discussion and Analysis of Financial Condition and Results of Operations - Overview - Programs in Clinical Development" and further discussed under "Part I, Item 2. "Management's Discussion and Analysis of Financial Condition and Results of Operations - Overview - Additional Information - Clinical Development Programs - EYLEA HD," there can be no assurance that any such milestones will be achieved in the currently anticipated time frame or at all and, if achieved, that they will help accelerate the ongoing launch and further commercialization of EYLEA HD. The degree to which EYLEA HD net product sales may offset further potential decreases in EYLEA net product sales, resulting from the factors discussed above or otherwise, is uncertain.</w:t>
      </w:r>
    </w:p>
    <w:p>
      <w:pPr>
        <w:spacing w:after="0" w:line="1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Antibody Collaboration with Sanofi. For the six months ended June 30, 2025 and 2024, Sanofi collaboration revenue (most of which is attributable to our share of profits from the commercialization of Dupixent) represented 39% and 31%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pharmaceutical manufacturing facilities;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and EYLEA HD)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three and six months ended June 30, 2025, as further described under Part I, Item 2. "Management's Discussion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Analysis of Financial Condition and Results of Operations – Results of Operations."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these and other commercialization-related risks in order for us to successfully maintain and/or further develop sufficient commercial capabilities outside the United States (including those necessary for our successful commercialization and co-commercialization of Libtayo and Dupixent, respectively).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product reimbursement and coverage policies and practices may materially harm our business, prospects, operating results, and financial condition.</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100" w:lineRule="exact"/>
        <w:rPr>
          <w:sz w:val="20"/>
          <w:szCs w:val="20"/>
          <w:color w:val="auto"/>
        </w:rPr>
      </w:pPr>
    </w:p>
    <w:p>
      <w:pPr>
        <w:jc w:val="both"/>
        <w:ind w:left="660" w:hanging="328"/>
        <w:spacing w:after="0" w:line="23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extent to which the policy changes described above will ultimately impact reimbursement levels of our marketed products, including those covered under Medicare Part B (such as EYLEA and EYLEA HD), or our product candidates that may be covered under Medicare Part B or Medicare Part D in the future, is currently unclear. In addition, the current U.S. administration is pursuing other measures to reduce the cost of drugs in the United States. For example, a recent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(commonly referred to as "most-favored-nation" ("MFN") pricing). On July 31, 2025, as a follow-up to this executive order, President Trump sent a letter to several pharmaceutical companies (including Regeneron) requesting that within the next 60 days they, among other matters, provide their existing drugs at MFN rates to Medicaid patients, guarantee MFN pricing for newly launched drugs, and provide for direct-to-consumer and direct-to-business distribution models for high-volume, high-rebate prescription drugs. In addition, a prior executive order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It is currently unclear how and to what extent these measures may be implemented and what impact any such implementation would have on our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and price and marketing cost disclosure and transparency measures. In some cases, these 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EYLEA, EYLEA HD, or our other marketed products. Economic pressure on state budgets may also have a similar impact.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a biosimilar version of Lucentis commercialized in the United States by Biogen Inc. In addition, biosimilar versions of EYLEA have been approved both in and outside the United States, including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(launched in the United States in the fourth quarter of 2024). We are aware of several other companies developing biosimilar versions of EYLEA, EYLEA HD, and/or other approved anti-VEGF treatments. We expect that biosimilar competition for EYLEA will increase in the future when additional biosimilar versions of EYLEA are launched in the United States and other countries, the timing of which will depend on, among other factors, the outcome of the pending patent litigation proceedings described in Note 12 to our Condensed Consolidated Financial Statements included in this report and the expiration of the patents protecting EYLEA (including those set forth under Part I - Item</w:t>
      </w:r>
    </w:p>
    <w:p>
      <w:pPr>
        <w:spacing w:after="0" w:line="5" w:lineRule="exact"/>
        <w:rPr>
          <w:sz w:val="20"/>
          <w:szCs w:val="20"/>
          <w:color w:val="auto"/>
        </w:rPr>
      </w:pPr>
    </w:p>
    <w:p>
      <w:pPr>
        <w:jc w:val="both"/>
        <w:ind w:firstLine="8"/>
        <w:spacing w:after="0" w:line="251" w:lineRule="auto"/>
        <w:tabs>
          <w:tab w:leader="none" w:pos="1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 Patents, Trademarks, and Trade Secrets" of our Annual Report on Form 10-K for the fiscal year ended December 31, 2024 (filed February 5, 2025)).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and entered the highly competitive environment described above. Our success in commercializing EYLEA HD will continue to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 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EoE, COPD, and CSU where approved. There are several other potentially competitive products in development that may compete with Dupixent in asthma, COPD, and potential future indications, including antibodies against the IL-33 ligand or receptor. Dupixent also faces competition from inhaled products in asthma, COPD, and potential future indications.</w:t>
      </w:r>
    </w:p>
    <w:p>
      <w:pPr>
        <w:spacing w:after="0" w:line="9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Checkpoint Therapeutics' Unloxcyt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against PCSK9, ANGPTL3 and IL-6 and/or IL-6R, which currently (or, for product candidates in development, may in the future if approved) treat the same conditions as Praluent, Evkeeza, and Kevzara,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 the United States, we continue to rely in considerable part on Sanofi's sales and marketing organization in such jurisdictions. As described in Note 12 to our Condensed Consolidated Financial Statements included in this report, we have sued Sanofi and certain of its affiliated entities (the "Antibody Collaboration Litigation") alleging that the defendants breached certain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Changes to product reimbursement and coverage policies and practices may materially harm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business, prospects, operating results, and financial condition,</w:t>
      </w:r>
      <w:r>
        <w:rPr>
          <w:rFonts w:ascii="Times New Roman" w:cs="Times New Roman" w:eastAsia="Times New Roman" w:hAnsi="Times New Roman"/>
          <w:sz w:val="18"/>
          <w:szCs w:val="18"/>
          <w:color w:val="auto"/>
        </w:rPr>
        <w:t>" a recent executive order has directed the Secretary of the HHS to take appropriate steps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facilitate such 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six months ended June 30, 2025 and 2024, our product sales to two distributor customers accounted on a combined basis for 76% and 75%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connection with our acquisition of the exclusive right to develop, commercialize, and manufacture Libtayo worldwide pursuant to the 2022 Amended and Restated Immuno-oncology License and Collaboration Agreement with Sanofi (the "A&amp;R IO LCA")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a particular product independently; we are unable to find an appropriate collaborator; or an existing collaborator decides to opt out or breaches its obligations to us with respect to a particular product.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which delayed by nearly 18 months the FDA's April 2025 approval of Dupixent in this indication.</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REMS.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labeling, restrictions on use, product withdrawal or recall, loss of approval, or lower sales of our products. Obligations equivalent in scope, but which can vary widely in application, apply in countries outside the United States.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recently announced and any future reductions of staffing or other resources at the FDA, as discussed further below).</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functioning of the FDA has been in the past and may in the future be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recent efforts to reduce the size and budgets of U.S. government agencies, downsize the federal workforce, and restructure parts of the executive branch of the federal government have directly or indirectly impacted agencies that support research and development activities or are otherwise important to our business, including the HHS and the FDA.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the recent reductions in communication and policymaking roles) may negatively impact the transparency of agency actions, lead to modifications in FDA approval requirements, and alter the FDA's existing guidance pertinent to the development strategy for our products and product candidates. In addition, the U.S. government has shut down multiple times in the past and certain regulatory agencies, such as the FDA, had to furlough employees and stop some of their activities. A prolonged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thus delaying any potential FDA approval. See Part I, Item 2. "Management's Discussion and Analysis of Financial Condition and Results of Operations - Overview - Additional Information - Clinical Development Programs - Ordspono (odronextamab)" regarding the current status of the FDA's review of this program.</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any potential FDA approval; and the August 2024 CRL concerning the BLA for linvoseltamab in relapsed/refractory multiple myeloma, which contributed to a 11-month delay of the FDA approval in this indication.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harmed as a result of noncompliance with the requirements and regulations described in this paragraph.</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for example, this is now the case for Libtayo in many jurisdictions outside the United States (including Europe and Japan) due to the transition under the A&amp;R IO LCA discussed above. In addition, actions by a regulatory agency in a country or region with respect to a product candidate may have an impact on the approval process 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post-authorization safety study ("PASS") and/or a post-authorization efficacy study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For example, we and Sanofi recently announced that one of two Phase 3 trials evaluating itepekimab in adults who were former smokers with inadequately controlled COPD did not meet its primary endpoint, as further described under Part I, Item 2. "Management's Discussion and Analysis of Financial Condition and Results of Operations - Overview - Additional Information - Clinical Development Programs."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candidate has received regulatory approval, such approval may be revoked, which would severely harm our business, prospects, operating results, and financial condition.</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to successfully commercialize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the safety data from these trials will be consistent with the known Dupixent and Libtayo safety profiles (as applicable) or that regulatory approval of Dupixent or Libtayo (as applicable) in any of these indications will be successfully obtained. The side effects previously reported for Dupixent include severe allergic reactions, eye problems (including eye pain or changes in vision), joint aches and pain, parasitic (helminth) infections, facial rash or redness, and inflammation of blood vessels in the skin;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delays in the approval process. The FDA has substantial discretion in the approval process and may either refuse to accept an application for substantive review or may form the opinion after review of an application that the application is insufficient to allow approval of a drug-delivery device. For example, in April 2025, the FDA issued a CRL for the EYLEA HD 8 mg pre-filled syringe, which has resulted in a delay of any potential FDA approval. See Part I, Item 2. "Management's Discussion and Analysis of Financial Condition and Results of Operations - Overview - Additional Information - Clinical Development Programs - EYLEA HD" for more information about the current status of the FDA's review of the EYLEA HD pre-filled syringe. There is no guarantee that FDA approval of the EYLEA HD pre-filled syringe will be obtained in the currently anticipated time frame or at all.</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 example, certain of our U.S. patents (including those pertaining to our key products, such as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as further described in Note 12 to our Condensed Consolidated Financial Statements included in this report.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(as further described in Note 12 to our Condensed Consolidated Financial Statements included in this report) and Dupixent, are subject to opposition proceedings before the European Patent Office (the "EPO") and/or patent offices of various European countries. We have pending patent applications in the United States Patent and Trademark Office (the "USPTO"), the EPO, and the patent offices of other foreign jurisdictions, and it is likely that we will need to defend patents from challenges by others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in the future. Our patent rights may not provide us with a proprietary position or competitive advantages against competitors.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even if the outcome is favorable to us, the enforcement of our intellectual property rights can be extremely expensive and time consuming.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12 to our Condensed Consolidated Financial Statements included in this report.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if at all. The failure to obtain any such license could prevent us from developing or commercializing any one or more of our products or product candidates, which could severely harm our business.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number of jurisdictions outside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exacerbated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 As an EYLEA biosimilar has been launched in the United States following the expiration of the U.S. regulatory exclusivity period for EYLEA (i.e., the period during which no biosimilar product could be approved by the FDA) in May 2024, EYLEA no longer has U.S. market exclusivity. In addition, as EYLEA HD does not benefit from regulatory exclusivity in the United States, market exclusivity for EYLEA HD in the United States is based solely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 affect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sales of that product and thus our financial results and condition and could have a material negative impact on our business.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and may in the future include,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 requirements for</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 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experience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p>
    <w:p>
      <w:pPr>
        <w:spacing w:after="0" w:line="1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would adversely affect our ability to supply our products.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insufficient inventory. Also, the complexity of our manufacturing process may make it difficult, time-consuming, and expensive to transfer our technology to our collaborators or contract manufacturers.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See also "Other Regulatory and Litigation Risks - </w:t>
      </w:r>
      <w:r>
        <w:rPr>
          <w:rFonts w:ascii="Times New Roman" w:cs="Times New Roman" w:eastAsia="Times New Roman" w:hAnsi="Times New Roman"/>
          <w:sz w:val="18"/>
          <w:szCs w:val="18"/>
          <w:i w:val="1"/>
          <w:iCs w:val="1"/>
          <w:color w:val="auto"/>
        </w:rPr>
        <w:t>We face risks associated with tariffs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trade restrictions, which may have a material adverse impact on our results of operations and financial condition</w:t>
      </w:r>
      <w:r>
        <w:rPr>
          <w:rFonts w:ascii="Times New Roman" w:cs="Times New Roman" w:eastAsia="Times New Roman" w:hAnsi="Times New Roman"/>
          <w:sz w:val="18"/>
          <w:szCs w:val="18"/>
          <w:color w:val="auto"/>
        </w:rPr>
        <w:t>" below. In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Recently,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could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We have recently received several CRLs from the FDA for regulatory submissions concerning our products or product candidates due to the FDA's findings from inspections at third-party manufacturers responsible for filling drug product, as discussed above under "Risks Related to Maintaining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 If we or our collaborators 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Significant noncompliance with the requirements discussed in this paragraph could also result in the imposition of monetary penalties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civil or criminal sanctions and damage our reputation.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have previously been subject to, and may in the future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certain communications regarding unapproved uses, industry-sponsored scientific and educational activities, and sales representatives' communications. Failure to comply with applicable FDA requirements and restrictions in this area may subject a company to adverse enforcement action by the FDA, the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 The Bipartisan Budget Act of 2018 has increased the criminal and civil penalties that can be imposed for violating certain federal healthcare laws, including the federal anti-kickback statute.</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including, among others, federal criminal fraud and false statement statutes that extend to non-government health benefit programs.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of Regeneron's Annual Report on Form 10-K for the fiscal year ended December 31, 2024 (filed February 5, 2025) for additional information on these programs.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restrict the number of third-party contract pharmacies that can dispense drugs that manufacturers sell to 340B covered entities. The outcome of this litigation may change the scope of the 340B program in the coming years. Any charge by HRSA that we have violated the requirements of the program or the regulation could negatively impact our operating results. Moreover,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54"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could be expensive and time-consuming, and could have a material adverse effect on our business, financial condition, results of operations, and future prospects.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and New Indications for Our Marketed Products - </w:t>
      </w:r>
      <w:r>
        <w:rPr>
          <w:rFonts w:ascii="Times New Roman" w:cs="Times New Roman" w:eastAsia="Times New Roman" w:hAnsi="Times New Roman"/>
          <w:sz w:val="18"/>
          <w:szCs w:val="18"/>
          <w:i w:val="1"/>
          <w:iCs w:val="1"/>
          <w:color w:val="auto"/>
        </w:rPr>
        <w:t>Changes to product reimbursement and coverage policies and practices may materially harm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prospects, operating results, and financial condition</w:t>
      </w:r>
      <w:r>
        <w:rPr>
          <w:rFonts w:ascii="Times New Roman" w:cs="Times New Roman" w:eastAsia="Times New Roman" w:hAnsi="Times New Roman"/>
          <w:sz w:val="18"/>
          <w:szCs w:val="18"/>
          <w:color w:val="auto"/>
        </w:rPr>
        <w:t>," the current U.S. administration is pursuing various measures to reduce the cost of drugs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 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certain jurisdictions outside the United States in connection with our acquisition of the exclusive right to develop, commercialize, and manufacture Libtayo worldwide pursuant 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1" w:lineRule="exact"/>
        <w:rPr>
          <w:sz w:val="20"/>
          <w:szCs w:val="20"/>
          <w:color w:val="auto"/>
        </w:rPr>
      </w:pPr>
    </w:p>
    <w:p>
      <w:pPr>
        <w:jc w:val="both"/>
        <w:ind w:left="660" w:hanging="328"/>
        <w:spacing w:after="0" w:line="257"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 barriers (including further legislation or actions taken by the United States or other countries that restrict trade), and protectionist or retaliatory measures taken by the United States or other countries.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has recently imposed significant tariffs on imports from other countries, including a baseline tariff of 10% on imports into the United States and higher tariffs on multiple designated countries, such as "reciprocal" tariffs at varying rates. Such tariffs have prompted retaliatory measures from several countries, which may further escalate. Certain of these tariffs have been subsequently paused or modified, and the situation remains fluid.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U.S. Department of Commerce has initiated an investigation under Section 232 of the Trade Expansion Act of 1962, as amended, to determine the effects of importing pharmaceuticals and pharmaceutical ingredients on national security. This investigation may lead to the imposition of tariffs on pharmaceutical imports, consistent with the current U.S. administration's stated policy objective of reshoring pharmaceutical manufacturing to the United States. Further, the United States and the EU recently announced the framework of a trade agreement that is expected to impose a 15% tariff on most imports from the EU, including pharmaceutical products. However, the details of this trade agreement remain uncertain, including whether and to what extent such agreement may be impacted by the results of the Section 232 investigation.</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recently approved OBBBA (as discussed further in Note 8 to our Condensed Consolidated Financial Statements included in this report), could materially adversely impact our effective tax rate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("HIPAA"). While Regeneron is not directly subject to HIPAA, other than potentially with respect to providing certain employee benefits, we could be subject to criminal penalties if we, our affiliates, or our agents knowingly receive protected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lead much of the clinical development efforts, assist with or lead efforts to obtain and maintain regulatory approvals, and lead the commercialization efforts for these products and product candidates.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12 to our Condensed Consolidated Financial Statements included in this report, we have commenced the Antibody Collaboration Ligation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the products and product candidates subject to such collaborations, particularly outside the United States.</w:t>
      </w:r>
    </w:p>
    <w:p>
      <w:pPr>
        <w:spacing w:after="0" w:line="1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 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June 30, 2025, we had an aggregate of $2.705 billion of outstanding indebtedness under our senior unsecured notes and the lease financing facility. We may also incur additional debt in the future. Any such indebtedness could: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2"/>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June 30, 2025, we had $1.996 billion in cash and cash equivalents and $15.532 billion in marketable securities (including $1.485 billion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jc w:val="both"/>
        <w:ind w:left="660" w:hanging="328"/>
        <w:spacing w:after="0" w:line="257"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a putative class action civil complaint was recently filed against the Company and certain current and former executive officers of the Company asserting violations of federal securities laws, as further described in Note 12 to our Condensed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June 30, 2025, our five largest shareholders plus Dr. Schleifer, our Chief Executive Officer, beneficially owned approximately 36.1% of our outstanding shares of Common Stock, assuming, in the case of our Chief Executive Officer, the conversion of his Class A Stock into Common Stock and the exercise of all options held by him which are exercisable within 60 days of June 30, 2025.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authorized our most recent share repurchase program to repurchase up to $3.0 billion of our Common Stock (of which $2.814 billion remained available as of June 30, 2025). In February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June 30, 2025, holders of Class A Stock held 14.8%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June 30, 2025:</w:t>
      </w:r>
    </w:p>
    <w:p>
      <w:pPr>
        <w:spacing w:after="0" w:line="106" w:lineRule="exact"/>
        <w:rPr>
          <w:sz w:val="20"/>
          <w:szCs w:val="20"/>
          <w:color w:val="auto"/>
        </w:rPr>
      </w:pPr>
    </w:p>
    <w:p>
      <w:pPr>
        <w:jc w:val="both"/>
        <w:ind w:left="660" w:hanging="328"/>
        <w:spacing w:after="0" w:line="25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5.4% of our outstanding shares of Common Stock, assuming conversion of their Class A Stock into Common Stock and the exercise of all options and release of all restricted stock units held by such persons which are exercisable or releasable within 60 days of June 30, 2025, and 17.4% of the combined voting power of our outstanding shares of Common Stock and Class A Stock, assuming the exercise of all options and release of all restricted stock units held by such persons which are exercisable or releasable within 60 days of June 30, 2025;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36.1% of our outstanding shares of Common Stock, assuming, in the case of our Chief Executive Officer, the conversion of his Class A Stock into Common Stock and the exercise of all options held by him which are exercisable within 60 days of June 30, 2025. In addition, these five shareholders plus our Chief Executive Officer held approximately 43.9% of the combined voting power of our outstanding shares of Common Stock and Class A Stock, assuming the exercise of all options held by our Chief Executive Officer which are exercisable within 60 days of June 30, 2025.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(which, pursuant to a recently approved amendment to our certificate of incorporation, will be phased out beginning in 2026 and result in the annual election of all of our directors commencing with the 2028 annual meeting of shareholders);</w:t>
      </w: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June 30, 2025.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5"/>
                <w:szCs w:val="15"/>
                <w:color w:val="auto"/>
              </w:rPr>
            </w:pPr>
          </w:p>
        </w:tc>
        <w:tc>
          <w:tcPr>
            <w:tcW w:w="2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1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4/1/2025–4/30/2025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615,505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577.66</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3,521.5</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5/1/2025–5/31/2025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552,495</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574.98</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552,495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6/1/2025–6/30/2025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767,705</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510.97</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763,732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2,813.6</w:t>
            </w:r>
          </w:p>
        </w:tc>
        <w:tc>
          <w:tcPr>
            <w:tcW w:w="0" w:type="dxa"/>
            <w:vAlign w:val="bottom"/>
          </w:tcPr>
          <w:p>
            <w:pPr>
              <w:spacing w:after="0"/>
              <w:rPr>
                <w:sz w:val="1"/>
                <w:szCs w:val="1"/>
                <w:color w:val="auto"/>
              </w:rPr>
            </w:pPr>
          </w:p>
        </w:tc>
      </w:tr>
      <w:tr>
        <w:trPr>
          <w:trHeight w:val="28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1,935,705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1,925,615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640" w:right="480"/>
        <w:spacing w:after="0" w:line="202" w:lineRule="auto"/>
        <w:tabs>
          <w:tab w:leader="none" w:pos="814"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disclosed in the table below, during the three months ended June 30, 2025, certain of our directors and/or executive officers adopted plans for trading arrangements intended to satisfy the affirmative defense conditions of Rule 10b5-1(c) of the Exchange Act.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 of Plan</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End Date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84"/>
        </w:trPr>
        <w:tc>
          <w:tcPr>
            <w:tcW w:w="25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4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40" w:type="dxa"/>
            <w:vAlign w:val="bottom"/>
            <w:gridSpan w:val="2"/>
            <w:vMerge w:val="continue"/>
          </w:tcPr>
          <w:p>
            <w:pPr>
              <w:spacing w:after="0"/>
              <w:rPr>
                <w:sz w:val="16"/>
                <w:szCs w:val="16"/>
                <w:color w:val="auto"/>
              </w:rPr>
            </w:pPr>
          </w:p>
        </w:tc>
        <w:tc>
          <w:tcPr>
            <w:tcW w:w="18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of Trading</w:t>
            </w:r>
          </w:p>
        </w:tc>
        <w:tc>
          <w:tcPr>
            <w:tcW w:w="2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Securities to Be Sold</w:t>
            </w:r>
          </w:p>
        </w:tc>
        <w:tc>
          <w:tcPr>
            <w:tcW w:w="0" w:type="dxa"/>
            <w:vAlign w:val="bottom"/>
          </w:tcPr>
          <w:p>
            <w:pPr>
              <w:spacing w:after="0"/>
              <w:rPr>
                <w:sz w:val="1"/>
                <w:szCs w:val="1"/>
                <w:color w:val="auto"/>
              </w:rPr>
            </w:pPr>
          </w:p>
        </w:tc>
      </w:tr>
      <w:tr>
        <w:trPr>
          <w:trHeight w:val="229"/>
        </w:trPr>
        <w:tc>
          <w:tcPr>
            <w:tcW w:w="2540" w:type="dxa"/>
            <w:vAlign w:val="bottom"/>
            <w:gridSpan w:val="2"/>
            <w:vMerge w:val="continue"/>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Adoption</w:t>
            </w:r>
          </w:p>
        </w:tc>
        <w:tc>
          <w:tcPr>
            <w:tcW w:w="186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8"/>
                <w:szCs w:val="18"/>
                <w:b w:val="1"/>
                <w:bCs w:val="1"/>
                <w:color w:val="auto"/>
                <w:w w:val="96"/>
              </w:rPr>
              <w:t>Arrangement</w:t>
            </w:r>
            <w:r>
              <w:rPr>
                <w:rFonts w:ascii="Times New Roman" w:cs="Times New Roman" w:eastAsia="Times New Roman" w:hAnsi="Times New Roman"/>
                <w:sz w:val="23"/>
                <w:szCs w:val="23"/>
                <w:b w:val="1"/>
                <w:bCs w:val="1"/>
                <w:color w:val="auto"/>
                <w:w w:val="96"/>
                <w:vertAlign w:val="superscript"/>
              </w:rPr>
              <w:t>(a)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tc>
        <w:tc>
          <w:tcPr>
            <w:tcW w:w="0" w:type="dxa"/>
            <w:vAlign w:val="bottom"/>
          </w:tcPr>
          <w:p>
            <w:pPr>
              <w:spacing w:after="0"/>
              <w:rPr>
                <w:sz w:val="1"/>
                <w:szCs w:val="1"/>
                <w:color w:val="auto"/>
              </w:rPr>
            </w:pP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Bonnie L. Bassler, Ph.D.</w:t>
            </w:r>
          </w:p>
        </w:tc>
        <w:tc>
          <w:tcPr>
            <w:tcW w:w="12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5/2/2025</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5/1/2026</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360" w:hanging="172"/>
        <w:spacing w:after="0"/>
        <w:tabs>
          <w:tab w:leader="none" w:pos="36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trading arrangement may expire on an earlier date if and when all transactions under the arrangement are completed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22"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40" w:type="dxa"/>
            <w:vAlign w:val="bottom"/>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620" w:type="dxa"/>
            <w:vAlign w:val="bottom"/>
            <w:tcBorders>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Restated Certificate of Incorporation, as amended.</w:t>
            </w:r>
          </w:p>
        </w:tc>
        <w:tc>
          <w:tcPr>
            <w:tcW w:w="4880" w:type="dxa"/>
            <w:vAlign w:val="bottom"/>
            <w:tcBorders>
              <w:bottom w:val="single" w:sz="8" w:color="CCEEFF"/>
            </w:tcBorders>
            <w:gridSpan w:val="6"/>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0" w:type="dxa"/>
            <w:vAlign w:val="bottom"/>
            <w:tcBorders>
              <w:bottom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w w:val="99"/>
              </w:rPr>
              <w:t>Amendment No. 2 to Amended and Restated License and Collaboration Agreement, dated July 27, 2015 and entered</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into effective as of July 1, 2015, by and between Regeneron Pharmaceuticals, Inc. and Sanofi Biotechnology SAS, as</w:t>
            </w: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4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successor-in-interest to Aventis Pharmaceuticals, Inc.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7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vMerge w:val="continue"/>
          </w:tcPr>
          <w:p>
            <w:pPr>
              <w:spacing w:after="0"/>
              <w:rPr>
                <w:sz w:val="18"/>
                <w:szCs w:val="18"/>
                <w:color w:val="auto"/>
              </w:rPr>
            </w:pPr>
          </w:p>
        </w:tc>
        <w:tc>
          <w:tcPr>
            <w:tcW w:w="58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8280" w:type="dxa"/>
            <w:vAlign w:val="bottom"/>
            <w:tcBorders>
              <w:bottom w:val="single" w:sz="8" w:color="0000FF"/>
            </w:tcBorders>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under the Securities Exchange Act of 1934.</w:t>
            </w:r>
          </w:p>
        </w:tc>
        <w:tc>
          <w:tcPr>
            <w:tcW w:w="220" w:type="dxa"/>
            <w:vAlign w:val="bottom"/>
            <w:tcBorders>
              <w:bottom w:val="single" w:sz="8" w:color="CCEEFF"/>
            </w:tcBorders>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920" w:hanging="1071"/>
        <w:spacing w:after="0"/>
        <w:tabs>
          <w:tab w:leader="none" w:pos="1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-127635</wp:posOffset>
            </wp:positionV>
            <wp:extent cx="6086475" cy="145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86475" cy="145415"/>
                    </a:xfrm>
                    <a:prstGeom prst="rect">
                      <a:avLst/>
                    </a:prstGeom>
                    <a:noFill/>
                  </pic:spPr>
                </pic:pic>
              </a:graphicData>
            </a:graphic>
          </wp:anchor>
        </w:drawing>
      </w:r>
    </w:p>
    <w:p>
      <w:pPr>
        <w:spacing w:after="0" w:line="7" w:lineRule="exact"/>
        <w:rPr>
          <w:sz w:val="20"/>
          <w:szCs w:val="20"/>
          <w:color w:val="auto"/>
        </w:rPr>
      </w:pPr>
    </w:p>
    <w:p>
      <w:pPr>
        <w:ind w:left="1920" w:right="220" w:hanging="1071"/>
        <w:spacing w:after="0" w:line="216" w:lineRule="auto"/>
        <w:tabs>
          <w:tab w:leader="none" w:pos="1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June 30, 2025 and December 31, 2024; (ii) the registrant's Condensed Consolidated Statements of Operations and Comprehensive Income for the three and six months ended June 30, 2025 and 2024; (iii) the registrant's Condensed Consolidated Statements of Stockholders’ Equity for the three and six months ended June 30, 2025 and 2024; (iv) the registrant's Condensed Consolidated Statements of Cash Flows for the six months ended June 30, 2025 and 2024;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3175</wp:posOffset>
            </wp:positionV>
            <wp:extent cx="6086475"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sz w:val="20"/>
          <w:szCs w:val="20"/>
          <w:color w:val="auto"/>
        </w:rPr>
      </w:pPr>
    </w:p>
    <w:p>
      <w:pPr>
        <w:ind w:left="960" w:right="460" w:hanging="3"/>
        <w:spacing w:after="0" w:line="199" w:lineRule="auto"/>
        <w:tabs>
          <w:tab w:leader="none" w:pos="1059"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9" w:right="11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3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CERTIFICATE OF INCORPORATION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805 of the Business Corporation Law</w:t>
      </w:r>
    </w:p>
    <w:p>
      <w:pPr>
        <w:spacing w:after="0" w:line="225" w:lineRule="exact"/>
        <w:rPr>
          <w:sz w:val="20"/>
          <w:szCs w:val="20"/>
          <w:color w:val="auto"/>
        </w:rPr>
      </w:pPr>
    </w:p>
    <w:p>
      <w:pPr>
        <w:ind w:right="1460" w:firstLine="713"/>
        <w:spacing w:after="0" w:line="266" w:lineRule="auto"/>
        <w:rPr>
          <w:sz w:val="20"/>
          <w:szCs w:val="20"/>
          <w:color w:val="auto"/>
        </w:rPr>
      </w:pPr>
      <w:r>
        <w:rPr>
          <w:rFonts w:ascii="Times New Roman" w:cs="Times New Roman" w:eastAsia="Times New Roman" w:hAnsi="Times New Roman"/>
          <w:sz w:val="18"/>
          <w:szCs w:val="18"/>
          <w:color w:val="auto"/>
        </w:rPr>
        <w:t>The undersigned, being the Executive Vice President, General Counsel and Secretary of Regeneron Pharmaceuticals, Inc. (the “Corporation”), hereby certifies that:</w:t>
      </w:r>
    </w:p>
    <w:p>
      <w:pPr>
        <w:spacing w:after="0" w:line="149" w:lineRule="exact"/>
        <w:rPr>
          <w:sz w:val="20"/>
          <w:szCs w:val="20"/>
          <w:color w:val="auto"/>
        </w:rPr>
      </w:pPr>
    </w:p>
    <w:p>
      <w:pPr>
        <w:ind w:left="660" w:hanging="52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Regeneron Pharmaceuticals, Inc.</w:t>
      </w:r>
    </w:p>
    <w:p>
      <w:pPr>
        <w:spacing w:after="0" w:line="211" w:lineRule="exact"/>
        <w:rPr>
          <w:rFonts w:ascii="Times New Roman" w:cs="Times New Roman" w:eastAsia="Times New Roman" w:hAnsi="Times New Roman"/>
          <w:sz w:val="18"/>
          <w:szCs w:val="18"/>
          <w:color w:val="auto"/>
        </w:rPr>
      </w:pPr>
    </w:p>
    <w:p>
      <w:pPr>
        <w:ind w:left="660" w:hanging="52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was filed with the Department of State of the State of New York on January 11, 1988.</w:t>
      </w:r>
    </w:p>
    <w:p>
      <w:pPr>
        <w:spacing w:after="0" w:line="211" w:lineRule="exact"/>
        <w:rPr>
          <w:rFonts w:ascii="Times New Roman" w:cs="Times New Roman" w:eastAsia="Times New Roman" w:hAnsi="Times New Roman"/>
          <w:sz w:val="18"/>
          <w:szCs w:val="18"/>
          <w:color w:val="auto"/>
        </w:rPr>
      </w:pPr>
    </w:p>
    <w:p>
      <w:pPr>
        <w:ind w:left="140" w:right="300" w:hanging="2"/>
        <w:spacing w:after="0" w:line="258" w:lineRule="auto"/>
        <w:tabs>
          <w:tab w:leader="none" w:pos="6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 of the Corporation’s Certificate of Incorporation, relating to the election and terms of the Board of Directors, is amended so as to declassify the Board on a phased-in basis beginning in 2026 so that beginning with the 2028 Annual Shareholder Meeting the Board will no longer be divided into classes and all directors will stand for election annually.</w:t>
      </w:r>
    </w:p>
    <w:p>
      <w:pPr>
        <w:spacing w:after="0" w:line="155" w:lineRule="exact"/>
        <w:rPr>
          <w:rFonts w:ascii="Times New Roman" w:cs="Times New Roman" w:eastAsia="Times New Roman" w:hAnsi="Times New Roman"/>
          <w:sz w:val="18"/>
          <w:szCs w:val="18"/>
          <w:color w:val="auto"/>
        </w:rPr>
      </w:pPr>
    </w:p>
    <w:p>
      <w:pPr>
        <w:ind w:left="660" w:hanging="52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foregoing amendment, Article VI of the Corporation’s Certificate of Incorporation is amended to read in its entirety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198" w:lineRule="exact"/>
        <w:rPr>
          <w:sz w:val="20"/>
          <w:szCs w:val="20"/>
          <w:color w:val="auto"/>
        </w:rPr>
      </w:pPr>
    </w:p>
    <w:p>
      <w:pPr>
        <w:ind w:left="400" w:right="100"/>
        <w:spacing w:after="0" w:line="261" w:lineRule="auto"/>
        <w:rPr>
          <w:sz w:val="20"/>
          <w:szCs w:val="20"/>
          <w:color w:val="auto"/>
        </w:rPr>
      </w:pPr>
      <w:r>
        <w:rPr>
          <w:rFonts w:ascii="Times New Roman" w:cs="Times New Roman" w:eastAsia="Times New Roman" w:hAnsi="Times New Roman"/>
          <w:sz w:val="18"/>
          <w:szCs w:val="18"/>
          <w:color w:val="auto"/>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spacing w:after="0" w:line="166" w:lineRule="exact"/>
        <w:rPr>
          <w:sz w:val="20"/>
          <w:szCs w:val="20"/>
          <w:color w:val="auto"/>
        </w:rPr>
      </w:pPr>
    </w:p>
    <w:p>
      <w:pPr>
        <w:ind w:left="400" w:right="60"/>
        <w:spacing w:after="0" w:line="261" w:lineRule="auto"/>
        <w:rPr>
          <w:sz w:val="20"/>
          <w:szCs w:val="20"/>
          <w:color w:val="auto"/>
        </w:rPr>
      </w:pPr>
      <w:r>
        <w:rPr>
          <w:rFonts w:ascii="Times New Roman" w:cs="Times New Roman" w:eastAsia="Times New Roman" w:hAnsi="Times New Roman"/>
          <w:sz w:val="18"/>
          <w:szCs w:val="18"/>
          <w:color w:val="auto"/>
        </w:rPr>
        <w:t>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 office, or by a sole remaining Director. Directors elected to fill a newly created directorship or other vacancies shall hold office as provided by statute.</w:t>
      </w:r>
    </w:p>
    <w:p>
      <w:pPr>
        <w:spacing w:after="0" w:line="180" w:lineRule="exact"/>
        <w:rPr>
          <w:sz w:val="20"/>
          <w:szCs w:val="20"/>
          <w:color w:val="auto"/>
        </w:rPr>
      </w:pPr>
    </w:p>
    <w:p>
      <w:pPr>
        <w:ind w:left="400" w:right="20"/>
        <w:spacing w:after="0" w:line="241" w:lineRule="auto"/>
        <w:rPr>
          <w:sz w:val="20"/>
          <w:szCs w:val="20"/>
          <w:color w:val="auto"/>
        </w:rPr>
      </w:pPr>
      <w:r>
        <w:rPr>
          <w:rFonts w:ascii="Times New Roman" w:cs="Times New Roman" w:eastAsia="Times New Roman" w:hAnsi="Times New Roman"/>
          <w:sz w:val="18"/>
          <w:szCs w:val="18"/>
          <w:color w:val="auto"/>
        </w:rPr>
        <w:t>Each director elected prior to the Annual Meeting of Shareholders to be held in 2026 shall continue to serve for the remainder of the original term for which he or she was elected. Commencing at the Annual Meeting of Shareholders to be held in 2026, directors shall be elected for a term of one year, expiring at the next Annual Meeting of Shareholders. Each director elected at the Annual Meeting of Shareholders held in 2023 shall hold office until the expiration of his or her term at the Annual Meeting of Shareholders to be held in 2026; each director elected at the Annual Meeting of Shareholders held in 2024 shall hold office until the expiration of his or her term at the Annual Meeting of Shareholders to be held in 2026 or 2027, as applicable; and each director elected at the Annual Meeting of Shareholders to be held in 2025 shall hold office until the expiration of his or her term at the Annual Meeting of Shareholders to be held in 2028. At the Annual Meeting of Shareholders to be held in 2028, and at each Annual Meeting of Shareholders thereafter, directors shall no longer be divided into classes and all directors shall be elected for a one-year term expiring at the next Annual Meeting of Shareholders. Directors shall continue in office until a successor shall have been duly elected and shall have qualified, subject, however, to such director’s earlier death, resignation or removal.</w:t>
      </w:r>
    </w:p>
    <w:p>
      <w:pPr>
        <w:spacing w:after="0" w:line="190" w:lineRule="exact"/>
        <w:rPr>
          <w:sz w:val="20"/>
          <w:szCs w:val="20"/>
          <w:color w:val="auto"/>
        </w:rPr>
      </w:pPr>
    </w:p>
    <w:p>
      <w:pPr>
        <w:jc w:val="both"/>
        <w:ind w:left="400" w:right="160"/>
        <w:spacing w:after="0" w:line="258" w:lineRule="auto"/>
        <w:rPr>
          <w:sz w:val="20"/>
          <w:szCs w:val="20"/>
          <w:color w:val="auto"/>
        </w:rPr>
      </w:pPr>
      <w:r>
        <w:rPr>
          <w:rFonts w:ascii="Times New Roman" w:cs="Times New Roman" w:eastAsia="Times New Roman" w:hAnsi="Times New Roman"/>
          <w:sz w:val="18"/>
          <w:szCs w:val="18"/>
          <w:color w:val="auto"/>
        </w:rPr>
        <w:t>The Directors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w:t>
      </w:r>
    </w:p>
    <w:p>
      <w:pPr>
        <w:sectPr>
          <w:pgSz w:w="11900" w:h="16838" w:orient="portrait"/>
          <w:cols w:equalWidth="0" w:num="1">
            <w:col w:w="11240"/>
          </w:cols>
          <w:pgMar w:left="320" w:top="121" w:right="339" w:bottom="1440" w:gutter="0" w:footer="0" w:header="0"/>
        </w:sectPr>
      </w:pPr>
    </w:p>
    <w:bookmarkStart w:id="86" w:name="page87"/>
    <w:bookmarkEnd w:id="86"/>
    <w:p>
      <w:pPr>
        <w:spacing w:after="0" w:line="180" w:lineRule="exact"/>
        <w:rPr>
          <w:sz w:val="20"/>
          <w:szCs w:val="20"/>
          <w:color w:val="auto"/>
        </w:rPr>
      </w:pPr>
    </w:p>
    <w:p>
      <w:pPr>
        <w:ind w:left="320"/>
        <w:spacing w:after="0" w:line="282" w:lineRule="auto"/>
        <w:rPr>
          <w:sz w:val="20"/>
          <w:szCs w:val="20"/>
          <w:color w:val="auto"/>
        </w:rPr>
      </w:pPr>
      <w:r>
        <w:rPr>
          <w:rFonts w:ascii="Times New Roman" w:cs="Times New Roman" w:eastAsia="Times New Roman" w:hAnsi="Times New Roman"/>
          <w:sz w:val="18"/>
          <w:szCs w:val="18"/>
          <w:color w:val="auto"/>
        </w:rPr>
        <w:t>Annual Meeting of Shareholders or at any Special Meeting of Shareholders called by the Board of Directors or by the Chairman of the Board or by the President for this purpose.”</w:t>
      </w:r>
    </w:p>
    <w:p>
      <w:pPr>
        <w:spacing w:after="0" w:line="135" w:lineRule="exact"/>
        <w:rPr>
          <w:sz w:val="20"/>
          <w:szCs w:val="20"/>
          <w:color w:val="auto"/>
        </w:rPr>
      </w:pPr>
    </w:p>
    <w:p>
      <w:pPr>
        <w:ind w:left="60" w:hanging="2"/>
        <w:spacing w:after="0" w:line="266" w:lineRule="auto"/>
        <w:tabs>
          <w:tab w:leader="none" w:pos="5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effected hereby was authorized by the vote of the Board of Directors followed by a vote of a majority of all outstanding shares entitled to vote thereon at a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signed this Certificate this 16th day of June, </w:t>
      </w:r>
      <w:r>
        <w:rPr>
          <w:rFonts w:ascii="Times New Roman" w:cs="Times New Roman" w:eastAsia="Times New Roman" w:hAnsi="Times New Roman"/>
          <w:sz w:val="17"/>
          <w:szCs w:val="17"/>
          <w:color w:val="auto"/>
        </w:rPr>
        <w:t>2025.</w:t>
      </w:r>
    </w:p>
    <w:p>
      <w:pPr>
        <w:spacing w:after="0" w:line="200" w:lineRule="exact"/>
        <w:rPr>
          <w:sz w:val="20"/>
          <w:szCs w:val="20"/>
          <w:color w:val="auto"/>
        </w:rPr>
      </w:pPr>
    </w:p>
    <w:p>
      <w:pPr>
        <w:spacing w:after="0" w:line="33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u w:val="single" w:color="auto"/>
          <w:color w:val="auto"/>
        </w:rPr>
        <w:t>/s/ Joseph J. LaRosa</w:t>
      </w:r>
    </w:p>
    <w:p>
      <w:pPr>
        <w:spacing w:after="0" w:line="77" w:lineRule="exact"/>
        <w:rPr>
          <w:sz w:val="20"/>
          <w:szCs w:val="20"/>
          <w:color w:val="auto"/>
        </w:rPr>
      </w:pPr>
    </w:p>
    <w:p>
      <w:pPr>
        <w:ind w:left="6600"/>
        <w:spacing w:after="0"/>
        <w:tabs>
          <w:tab w:leader="none" w:pos="7280" w:val="left"/>
        </w:tabs>
        <w:rPr>
          <w:sz w:val="20"/>
          <w:szCs w:val="20"/>
          <w:color w:val="auto"/>
        </w:rPr>
      </w:pPr>
      <w:r>
        <w:rPr>
          <w:rFonts w:ascii="Times New Roman" w:cs="Times New Roman" w:eastAsia="Times New Roman" w:hAnsi="Times New Roman"/>
          <w:sz w:val="18"/>
          <w:szCs w:val="18"/>
          <w:color w:val="auto"/>
        </w:rPr>
        <w:t>Name:</w:t>
        <w:tab/>
        <w:t>Joseph J. LaRosa</w:t>
      </w:r>
    </w:p>
    <w:p>
      <w:pPr>
        <w:spacing w:after="0" w:line="63" w:lineRule="exact"/>
        <w:rPr>
          <w:sz w:val="20"/>
          <w:szCs w:val="20"/>
          <w:color w:val="auto"/>
        </w:rPr>
      </w:pPr>
    </w:p>
    <w:p>
      <w:pPr>
        <w:ind w:left="660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General Counsel and Secretary</w:t>
      </w:r>
    </w:p>
    <w:p>
      <w:pPr>
        <w:sectPr>
          <w:pgSz w:w="11900" w:h="16838" w:orient="portrait"/>
          <w:cols w:equalWidth="0" w:num="1">
            <w:col w:w="10900"/>
          </w:cols>
          <w:pgMar w:left="400" w:top="1440" w:right="599" w:bottom="1440" w:gutter="0" w:footer="0" w:header="0"/>
        </w:sectPr>
      </w:pPr>
    </w:p>
    <w:bookmarkStart w:id="87" w:name="page88"/>
    <w:bookmarkEnd w:id="87"/>
    <w:p>
      <w:pPr>
        <w:spacing w:after="0" w:line="1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OF THE CERTIFICATE OF INCORPORATION OF</w:t>
      </w:r>
    </w:p>
    <w:p>
      <w:pPr>
        <w:spacing w:after="0" w:line="3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Under Section 805 of the Business Corporation Law</w:t>
      </w:r>
    </w:p>
    <w:p>
      <w:pPr>
        <w:spacing w:after="0" w:line="25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being the Senior Vice President, General Counsel and Secretary of Regeneron Pharmaceuticals, Inc. (the “Corporation”), hereby certifies that:</w:t>
      </w:r>
    </w:p>
    <w:p>
      <w:pPr>
        <w:spacing w:after="0" w:line="189" w:lineRule="exact"/>
        <w:rPr>
          <w:sz w:val="20"/>
          <w:szCs w:val="20"/>
          <w:color w:val="auto"/>
        </w:rPr>
      </w:pPr>
    </w:p>
    <w:p>
      <w:pPr>
        <w:ind w:left="960" w:hanging="255"/>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Regeneron Pharmaceuticals, Inc.</w:t>
      </w:r>
    </w:p>
    <w:p>
      <w:pPr>
        <w:spacing w:after="0" w:line="252" w:lineRule="exact"/>
        <w:rPr>
          <w:rFonts w:ascii="Times New Roman" w:cs="Times New Roman" w:eastAsia="Times New Roman" w:hAnsi="Times New Roman"/>
          <w:sz w:val="18"/>
          <w:szCs w:val="18"/>
          <w:color w:val="auto"/>
        </w:rPr>
      </w:pPr>
    </w:p>
    <w:p>
      <w:pPr>
        <w:ind w:left="960" w:hanging="255"/>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was filed with the Department of State of the State of New York on January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11, 1988.</w:t>
      </w:r>
    </w:p>
    <w:p>
      <w:pPr>
        <w:spacing w:after="0" w:line="234" w:lineRule="exact"/>
        <w:rPr>
          <w:sz w:val="20"/>
          <w:szCs w:val="20"/>
          <w:color w:val="auto"/>
        </w:rPr>
      </w:pPr>
    </w:p>
    <w:p>
      <w:pPr>
        <w:ind w:firstLine="705"/>
        <w:spacing w:after="0" w:line="256" w:lineRule="auto"/>
        <w:tabs>
          <w:tab w:leader="none" w:pos="9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IV of the Corporation’s Certificate of Incorporation, relating to the aggregate number of shares of capital stock which the Corporation shall have the authority to issue, is amended so as to increase the number of authorized shares of all classes of capital stock of the Corporation from two hundred and thirty million (230,000,000) shares to three hundred and ninety million (390,000,000) shares and by increasing the number of authorized shares of common stock, par value $0.001 per share, from one hundred and sixty million (160,000,000) shares to three hundred and twenty million (320,000,000) shares. No changes are being made to the number of the Corporation’s shares of authorized Class A Stock, par value $0.001 per share, or authorized preferred stock, par value $0.01 per share.</w:t>
      </w:r>
    </w:p>
    <w:p>
      <w:pPr>
        <w:spacing w:after="0" w:line="214" w:lineRule="exact"/>
        <w:rPr>
          <w:rFonts w:ascii="Times New Roman" w:cs="Times New Roman" w:eastAsia="Times New Roman" w:hAnsi="Times New Roman"/>
          <w:sz w:val="18"/>
          <w:szCs w:val="18"/>
          <w:color w:val="auto"/>
        </w:rPr>
      </w:pPr>
    </w:p>
    <w:p>
      <w:pPr>
        <w:ind w:right="680" w:firstLine="705"/>
        <w:spacing w:after="0" w:line="282" w:lineRule="auto"/>
        <w:tabs>
          <w:tab w:leader="none" w:pos="96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foregoing amendment, the first paragraph of Article IV of the Corporation’s Certificate of Incorporation is amended to read in its entirety as follows:</w:t>
      </w:r>
    </w:p>
    <w:p>
      <w:pPr>
        <w:spacing w:after="0" w:line="1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“Article IV.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320" w:right="200" w:firstLine="648"/>
        <w:spacing w:after="0" w:line="258" w:lineRule="auto"/>
        <w:rPr>
          <w:sz w:val="20"/>
          <w:szCs w:val="20"/>
          <w:color w:val="auto"/>
        </w:rPr>
      </w:pPr>
      <w:r>
        <w:rPr>
          <w:rFonts w:ascii="Times New Roman" w:cs="Times New Roman" w:eastAsia="Times New Roman" w:hAnsi="Times New Roman"/>
          <w:sz w:val="18"/>
          <w:szCs w:val="18"/>
          <w:color w:val="auto"/>
        </w:rPr>
        <w:t>The aggregate number of shares of all classes of capital stock which the Corporation shall have the authority to issue is three hundred and ninety million (390,000,000) shares, consisting of (a) 320,000,000 shares of common stock, par value $0.001 per share (“Common Stock”); (b) 40,000,000 shares of Class A Stock, par value $0.001 per share (“Class A Stock”; Common Stock and Class A Stock are referred to herein, collectively, as the “Common Shares”); and (c) 30,000,000 shares of preferred stock, par value $0.01 per share.”</w:t>
      </w:r>
    </w:p>
    <w:p>
      <w:pPr>
        <w:spacing w:after="0" w:line="210" w:lineRule="exact"/>
        <w:rPr>
          <w:sz w:val="20"/>
          <w:szCs w:val="20"/>
          <w:color w:val="auto"/>
        </w:rPr>
      </w:pPr>
    </w:p>
    <w:p>
      <w:pPr>
        <w:ind w:right="660" w:firstLine="705"/>
        <w:spacing w:after="0" w:line="282" w:lineRule="auto"/>
        <w:tabs>
          <w:tab w:leader="none" w:pos="9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effected hereby was authorized by the vote of the Board of Directors followed by a vote of a majority of all outstanding shares entitled to vote thereon at a meeting of shareholders.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signed this Certificate this 12</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June, 2015.</w:t>
      </w:r>
    </w:p>
    <w:p>
      <w:pPr>
        <w:spacing w:after="0" w:line="26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u w:val="single" w:color="auto"/>
          <w:color w:val="auto"/>
        </w:rPr>
        <w:t>/s/ Joseph J. LaRosa</w:t>
      </w:r>
    </w:p>
    <w:p>
      <w:pPr>
        <w:spacing w:after="0" w:line="77" w:lineRule="exact"/>
        <w:rPr>
          <w:sz w:val="20"/>
          <w:szCs w:val="20"/>
          <w:color w:val="auto"/>
        </w:rPr>
      </w:pPr>
    </w:p>
    <w:p>
      <w:pPr>
        <w:ind w:left="4560"/>
        <w:spacing w:after="0"/>
        <w:tabs>
          <w:tab w:leader="none" w:pos="5240" w:val="left"/>
        </w:tabs>
        <w:rPr>
          <w:sz w:val="20"/>
          <w:szCs w:val="20"/>
          <w:color w:val="auto"/>
        </w:rPr>
      </w:pPr>
      <w:r>
        <w:rPr>
          <w:rFonts w:ascii="Times New Roman" w:cs="Times New Roman" w:eastAsia="Times New Roman" w:hAnsi="Times New Roman"/>
          <w:sz w:val="18"/>
          <w:szCs w:val="18"/>
          <w:color w:val="auto"/>
        </w:rPr>
        <w:t>Name:</w:t>
        <w:tab/>
        <w:t>Joseph J. LaRosa</w:t>
      </w:r>
    </w:p>
    <w:p>
      <w:pPr>
        <w:spacing w:after="0" w:line="63" w:lineRule="exact"/>
        <w:rPr>
          <w:sz w:val="20"/>
          <w:szCs w:val="20"/>
          <w:color w:val="auto"/>
        </w:rPr>
      </w:pPr>
    </w:p>
    <w:p>
      <w:pPr>
        <w:ind w:left="4560"/>
        <w:spacing w:after="0"/>
        <w:tabs>
          <w:tab w:leader="none" w:pos="5140" w:val="left"/>
        </w:tabs>
        <w:rPr>
          <w:sz w:val="20"/>
          <w:szCs w:val="20"/>
          <w:color w:val="auto"/>
        </w:rPr>
      </w:pPr>
      <w:r>
        <w:rPr>
          <w:rFonts w:ascii="Times New Roman" w:cs="Times New Roman" w:eastAsia="Times New Roman" w:hAnsi="Times New Roman"/>
          <w:sz w:val="18"/>
          <w:szCs w:val="18"/>
          <w:color w:val="auto"/>
        </w:rPr>
        <w:t>Title:</w:t>
        <w:tab/>
        <w:t>Senior Vice President, General Counsel and Secretary</w:t>
      </w:r>
    </w:p>
    <w:p>
      <w:pPr>
        <w:sectPr>
          <w:pgSz w:w="11900" w:h="16838" w:orient="portrait"/>
          <w:cols w:equalWidth="0" w:num="1">
            <w:col w:w="10240"/>
          </w:cols>
          <w:pgMar w:left="660" w:top="1440" w:right="999" w:bottom="1440" w:gutter="0" w:footer="0" w:header="0"/>
        </w:sectPr>
      </w:pPr>
    </w:p>
    <w:bookmarkStart w:id="88" w:name="page89"/>
    <w:bookmarkEnd w:id="88"/>
    <w:p>
      <w:pPr>
        <w:spacing w:after="0" w:line="15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CERTIFICATE OF CHANGE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OF</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197485</wp:posOffset>
            </wp:positionV>
            <wp:extent cx="3429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SECTION 805-A OF THE BUSINESS CORPORATION LAW</w:t>
      </w:r>
    </w:p>
    <w:p>
      <w:pPr>
        <w:spacing w:after="0" w:line="200" w:lineRule="exact"/>
        <w:rPr>
          <w:sz w:val="20"/>
          <w:szCs w:val="20"/>
          <w:color w:val="auto"/>
        </w:rPr>
      </w:pPr>
    </w:p>
    <w:p>
      <w:pPr>
        <w:spacing w:after="0" w:line="268" w:lineRule="exact"/>
        <w:rPr>
          <w:sz w:val="20"/>
          <w:szCs w:val="20"/>
          <w:color w:val="auto"/>
        </w:rPr>
      </w:pPr>
    </w:p>
    <w:p>
      <w:pPr>
        <w:ind w:left="580" w:hanging="347"/>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corporation is </w:t>
      </w:r>
      <w:r>
        <w:rPr>
          <w:rFonts w:ascii="Times New Roman" w:cs="Times New Roman" w:eastAsia="Times New Roman" w:hAnsi="Times New Roman"/>
          <w:sz w:val="18"/>
          <w:szCs w:val="18"/>
          <w:u w:val="single" w:color="auto"/>
          <w:color w:val="auto"/>
        </w:rPr>
        <w:t>REGENERON PHARMACEUTICALS, INC.</w:t>
      </w:r>
    </w:p>
    <w:p>
      <w:pPr>
        <w:spacing w:after="0" w:line="117"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said corporation was filed by the Department of State on the </w:t>
      </w:r>
      <w:r>
        <w:rPr>
          <w:rFonts w:ascii="Times New Roman" w:cs="Times New Roman" w:eastAsia="Times New Roman" w:hAnsi="Times New Roman"/>
          <w:sz w:val="18"/>
          <w:szCs w:val="18"/>
          <w:u w:val="single" w:color="auto"/>
          <w:color w:val="auto"/>
        </w:rPr>
        <w:t>1/11/1988</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80" w:hanging="347"/>
        <w:spacing w:after="0"/>
        <w:tabs>
          <w:tab w:leader="none" w:pos="5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was authorized by the Board of Directors:</w:t>
      </w:r>
    </w:p>
    <w:p>
      <w:pPr>
        <w:spacing w:after="0" w:line="117"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To change the post office address to which the Secretary of State shall mail a copy of process in any action or proceeding against the corporation which may be served on him to: c/o C T Corporation System, 111 Eighth Avenue, New York, N.Y. 10011.</w:t>
      </w:r>
    </w:p>
    <w:p>
      <w:pPr>
        <w:spacing w:after="0" w:line="54" w:lineRule="exact"/>
        <w:rPr>
          <w:sz w:val="20"/>
          <w:szCs w:val="20"/>
          <w:color w:val="auto"/>
        </w:rPr>
      </w:pPr>
    </w:p>
    <w:p>
      <w:pPr>
        <w:ind w:right="200" w:firstLine="177"/>
        <w:spacing w:after="0" w:line="282" w:lineRule="auto"/>
        <w:rPr>
          <w:sz w:val="20"/>
          <w:szCs w:val="20"/>
          <w:color w:val="auto"/>
        </w:rPr>
      </w:pPr>
      <w:r>
        <w:rPr>
          <w:rFonts w:ascii="Times New Roman" w:cs="Times New Roman" w:eastAsia="Times New Roman" w:hAnsi="Times New Roman"/>
          <w:sz w:val="18"/>
          <w:szCs w:val="18"/>
          <w:color w:val="auto"/>
        </w:rPr>
        <w:t>To designate C T CORPORATION SYSTEM, 111 Eighth Avenue, New York, N.Y. 10011 as its registered agent in New York upon whom all process against the corporation may be 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u w:val="single" w:color="auto"/>
          <w:color w:val="auto"/>
        </w:rPr>
        <w:t>/s/ Beth F. Levine</w:t>
      </w:r>
    </w:p>
    <w:p>
      <w:pPr>
        <w:spacing w:after="0" w:line="77" w:lineRule="exact"/>
        <w:rPr>
          <w:sz w:val="20"/>
          <w:szCs w:val="20"/>
          <w:color w:val="auto"/>
        </w:rPr>
      </w:pPr>
    </w:p>
    <w:p>
      <w:pPr>
        <w:ind w:left="4880"/>
        <w:spacing w:after="0"/>
        <w:tabs>
          <w:tab w:leader="none" w:pos="5560" w:val="left"/>
        </w:tabs>
        <w:rPr>
          <w:sz w:val="20"/>
          <w:szCs w:val="20"/>
          <w:color w:val="auto"/>
        </w:rPr>
      </w:pPr>
      <w:r>
        <w:rPr>
          <w:rFonts w:ascii="Times New Roman" w:cs="Times New Roman" w:eastAsia="Times New Roman" w:hAnsi="Times New Roman"/>
          <w:sz w:val="18"/>
          <w:szCs w:val="18"/>
          <w:color w:val="auto"/>
        </w:rPr>
        <w:t>Name:</w:t>
        <w:tab/>
        <w:t>Beth F. Levine</w:t>
      </w:r>
    </w:p>
    <w:p>
      <w:pPr>
        <w:spacing w:after="0" w:line="63" w:lineRule="exact"/>
        <w:rPr>
          <w:sz w:val="20"/>
          <w:szCs w:val="20"/>
          <w:color w:val="auto"/>
        </w:rPr>
      </w:pPr>
    </w:p>
    <w:p>
      <w:pPr>
        <w:ind w:left="4880"/>
        <w:spacing w:after="0"/>
        <w:tabs>
          <w:tab w:leader="none" w:pos="5460" w:val="left"/>
        </w:tabs>
        <w:rPr>
          <w:sz w:val="20"/>
          <w:szCs w:val="20"/>
          <w:color w:val="auto"/>
        </w:rPr>
      </w:pPr>
      <w:r>
        <w:rPr>
          <w:rFonts w:ascii="Times New Roman" w:cs="Times New Roman" w:eastAsia="Times New Roman" w:hAnsi="Times New Roman"/>
          <w:sz w:val="18"/>
          <w:szCs w:val="18"/>
          <w:color w:val="auto"/>
        </w:rPr>
        <w:t>Title:</w:t>
        <w:tab/>
        <w:t>Vice President, Assoc. General Counsel &amp; Chief</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Compliance Officer</w:t>
      </w:r>
    </w:p>
    <w:p>
      <w:pPr>
        <w:sectPr>
          <w:pgSz w:w="11900" w:h="16838" w:orient="portrait"/>
          <w:cols w:equalWidth="0" w:num="1">
            <w:col w:w="11140"/>
          </w:cols>
          <w:pgMar w:left="320" w:top="1440" w:right="439" w:bottom="1440" w:gutter="0" w:footer="0" w:header="0"/>
        </w:sectPr>
      </w:pPr>
    </w:p>
    <w:bookmarkStart w:id="89" w:name="page90"/>
    <w:bookmarkEnd w:id="89"/>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RESTATED CERTIFICATE OF INCORPORATION</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OF REGENERON PHARMACEUTICALS,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UNDER SECTION 807 THE BUSINESS CORPORATION LAW</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undersigned hereby certify that:</w:t>
      </w:r>
    </w:p>
    <w:p>
      <w:pPr>
        <w:spacing w:after="0" w:line="117" w:lineRule="exact"/>
        <w:rPr>
          <w:sz w:val="20"/>
          <w:szCs w:val="20"/>
          <w:color w:val="auto"/>
        </w:rPr>
      </w:pPr>
    </w:p>
    <w:p>
      <w:pPr>
        <w:ind w:left="420" w:hanging="187"/>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Regeneron Pharmaceuticals, Inc. (the “Corporation”).</w:t>
      </w:r>
    </w:p>
    <w:p>
      <w:pPr>
        <w:spacing w:after="0" w:line="117"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Corporation was filed with the Department of State of the State of New York on January 11, 1988.</w:t>
      </w:r>
    </w:p>
    <w:p>
      <w:pPr>
        <w:spacing w:after="0" w:line="117" w:lineRule="exact"/>
        <w:rPr>
          <w:rFonts w:ascii="Times New Roman" w:cs="Times New Roman" w:eastAsia="Times New Roman" w:hAnsi="Times New Roman"/>
          <w:sz w:val="18"/>
          <w:szCs w:val="18"/>
          <w:color w:val="auto"/>
        </w:rPr>
      </w:pPr>
    </w:p>
    <w:p>
      <w:pPr>
        <w:ind w:right="160" w:firstLine="233"/>
        <w:spacing w:after="0" w:line="282" w:lineRule="auto"/>
        <w:tabs>
          <w:tab w:leader="none" w:pos="4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restates the Certificate of Incorporation, as heretofore amended, without amendment or change to read as herein set forth in full.</w:t>
      </w:r>
    </w:p>
    <w:p>
      <w:pPr>
        <w:spacing w:after="0" w:line="53" w:lineRule="exact"/>
        <w:rPr>
          <w:rFonts w:ascii="Times New Roman" w:cs="Times New Roman" w:eastAsia="Times New Roman" w:hAnsi="Times New Roman"/>
          <w:sz w:val="18"/>
          <w:szCs w:val="18"/>
          <w:color w:val="auto"/>
        </w:rPr>
      </w:pPr>
    </w:p>
    <w:p>
      <w:pPr>
        <w:ind w:left="420" w:hanging="187"/>
        <w:spacing w:after="0"/>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Restated Certificate of Incorporation has been authorized by resolution duly adopted by the Corporation’s Board of Directors.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Certificate of Incorporation, as heretofore amended, is hereby restated to be and read in its entirety as follows:</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I</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u w:val="single" w:color="auto"/>
          <w:color w:val="auto"/>
        </w:rPr>
        <w:t>NAME OF CORPORATION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Regeneron Pharmaceuticals, Inc. (the “Corporation”).</w:t>
      </w:r>
    </w:p>
    <w:p>
      <w:pPr>
        <w:spacing w:after="0" w:line="1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II</w:t>
      </w:r>
    </w:p>
    <w:p>
      <w:pPr>
        <w:spacing w:after="0" w:line="1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u w:val="single" w:color="auto"/>
          <w:color w:val="auto"/>
        </w:rPr>
        <w:t>CORPORATE PURPOSES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purpose or purposes for which the Corporation is formed is as follows, to wit:</w:t>
      </w:r>
    </w:p>
    <w:p>
      <w:pPr>
        <w:spacing w:after="0" w:line="117" w:lineRule="exact"/>
        <w:rPr>
          <w:sz w:val="20"/>
          <w:szCs w:val="20"/>
          <w:color w:val="auto"/>
        </w:rPr>
      </w:pPr>
    </w:p>
    <w:p>
      <w:pPr>
        <w:ind w:right="280" w:firstLine="447"/>
        <w:spacing w:after="0" w:line="282" w:lineRule="auto"/>
        <w:rPr>
          <w:sz w:val="20"/>
          <w:szCs w:val="20"/>
          <w:color w:val="auto"/>
        </w:rPr>
      </w:pPr>
      <w:r>
        <w:rPr>
          <w:rFonts w:ascii="Times New Roman" w:cs="Times New Roman" w:eastAsia="Times New Roman" w:hAnsi="Times New Roman"/>
          <w:sz w:val="18"/>
          <w:szCs w:val="18"/>
          <w:color w:val="auto"/>
        </w:rPr>
        <w:t>To own, operate, manage and do everything normally associated with conducting the business of chemists, druggists, manufacturers, researchers, distributors, and dealers in medical, pharmaceutical, chemical and other preparations and compounds.</w:t>
      </w:r>
    </w:p>
    <w:p>
      <w:pPr>
        <w:spacing w:after="0" w:line="54" w:lineRule="exact"/>
        <w:rPr>
          <w:sz w:val="20"/>
          <w:szCs w:val="20"/>
          <w:color w:val="auto"/>
        </w:rPr>
      </w:pPr>
    </w:p>
    <w:p>
      <w:pPr>
        <w:ind w:firstLine="447"/>
        <w:spacing w:after="0" w:line="266" w:lineRule="auto"/>
        <w:rPr>
          <w:sz w:val="20"/>
          <w:szCs w:val="20"/>
          <w:color w:val="auto"/>
        </w:rPr>
      </w:pPr>
      <w:r>
        <w:rPr>
          <w:rFonts w:ascii="Times New Roman" w:cs="Times New Roman" w:eastAsia="Times New Roman" w:hAnsi="Times New Roman"/>
          <w:sz w:val="18"/>
          <w:szCs w:val="18"/>
          <w:color w:val="auto"/>
        </w:rPr>
        <w:t>To engage in any lawful act or activity for which corporations may be formed under the Business Corporation Law. The Corporation is not formed to engage in any act or activity requiring the consent or approval of any state official, department, board, agency or other body without such consent or approval first being obtained.</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own, operate, manage, acquire and deal in property, real and personal, which may be necessary to the conduct of the business.</w:t>
      </w:r>
    </w:p>
    <w:p>
      <w:pPr>
        <w:spacing w:after="0" w:line="117" w:lineRule="exact"/>
        <w:rPr>
          <w:sz w:val="20"/>
          <w:szCs w:val="20"/>
          <w:color w:val="auto"/>
        </w:rPr>
      </w:pPr>
    </w:p>
    <w:p>
      <w:pPr>
        <w:ind w:right="100" w:firstLine="447"/>
        <w:spacing w:after="0" w:line="282" w:lineRule="auto"/>
        <w:rPr>
          <w:sz w:val="20"/>
          <w:szCs w:val="20"/>
          <w:color w:val="auto"/>
        </w:rPr>
      </w:pPr>
      <w:r>
        <w:rPr>
          <w:rFonts w:ascii="Times New Roman" w:cs="Times New Roman" w:eastAsia="Times New Roman" w:hAnsi="Times New Roman"/>
          <w:sz w:val="18"/>
          <w:szCs w:val="18"/>
          <w:color w:val="auto"/>
        </w:rPr>
        <w:t>The Corporation shall have all of the powers enumerated in Section 202 of the Business Corporation Law, subject to any limitations provided in the Business Corporation Law or any other statutes in the State of New York.</w:t>
      </w:r>
    </w:p>
    <w:p>
      <w:pPr>
        <w:spacing w:after="0" w:line="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III</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u w:val="single" w:color="auto"/>
          <w:color w:val="auto"/>
        </w:rPr>
        <w:t>COUNTY OF OFFICE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county in which the office of the Corporation is to be located in the State of New York is New York.</w:t>
      </w:r>
    </w:p>
    <w:p>
      <w:pPr>
        <w:spacing w:after="0" w:line="1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ARTICLE IV</w:t>
      </w:r>
    </w:p>
    <w:p>
      <w:pPr>
        <w:spacing w:after="0" w:line="11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u w:val="single" w:color="auto"/>
          <w:color w:val="auto"/>
        </w:rPr>
        <w:t>STOCK</w:t>
      </w:r>
    </w:p>
    <w:p>
      <w:pPr>
        <w:spacing w:after="0" w:line="117" w:lineRule="exact"/>
        <w:rPr>
          <w:sz w:val="20"/>
          <w:szCs w:val="20"/>
          <w:color w:val="auto"/>
        </w:rPr>
      </w:pPr>
    </w:p>
    <w:p>
      <w:pPr>
        <w:ind w:right="100" w:firstLine="447"/>
        <w:spacing w:after="0" w:line="261" w:lineRule="auto"/>
        <w:rPr>
          <w:sz w:val="20"/>
          <w:szCs w:val="20"/>
          <w:color w:val="auto"/>
        </w:rPr>
      </w:pPr>
      <w:r>
        <w:rPr>
          <w:rFonts w:ascii="Times New Roman" w:cs="Times New Roman" w:eastAsia="Times New Roman" w:hAnsi="Times New Roman"/>
          <w:sz w:val="18"/>
          <w:szCs w:val="18"/>
          <w:color w:val="auto"/>
        </w:rPr>
        <w:t>The aggregate number of shares of all classes of capital stock which the Corporation shall have the authority to issue is two hundred and thirty million (230,000,000) shares, consisting of (a) 160,000,000 shares of common stock, par value $.001 per share (“Common Stock”), (b) 40,000,000 shares of Class A Stock, par value $.001 per share (the “Class A Stock”, and collectively, such Common Stock and Class A Stock are referred to herein as the “Common Shares”), and (c) 30,000,000 shares of preferred stock, par value $.01 per share.</w:t>
      </w:r>
    </w:p>
    <w:p>
      <w:pPr>
        <w:spacing w:after="0" w:line="72"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w:t>
      </w:r>
    </w:p>
    <w:p>
      <w:pPr>
        <w:sectPr>
          <w:pgSz w:w="11900" w:h="16838" w:orient="portrait"/>
          <w:cols w:equalWidth="0" w:num="1">
            <w:col w:w="11180"/>
          </w:cols>
          <w:pgMar w:left="320" w:top="1440" w:right="399" w:bottom="1440" w:gutter="0" w:footer="0" w:header="0"/>
        </w:sectPr>
      </w:pPr>
    </w:p>
    <w:bookmarkStart w:id="90" w:name="page91"/>
    <w:bookmarkEnd w:id="90"/>
    <w:p>
      <w:pPr>
        <w:spacing w:after="0" w:line="153" w:lineRule="exact"/>
        <w:rPr>
          <w:sz w:val="20"/>
          <w:szCs w:val="20"/>
          <w:color w:val="auto"/>
        </w:rPr>
      </w:pPr>
    </w:p>
    <w:p>
      <w:pPr>
        <w:ind w:right="300" w:firstLine="447"/>
        <w:spacing w:after="0" w:line="266" w:lineRule="auto"/>
        <w:rPr>
          <w:sz w:val="20"/>
          <w:szCs w:val="20"/>
          <w:color w:val="auto"/>
        </w:rPr>
      </w:pPr>
      <w:r>
        <w:rPr>
          <w:rFonts w:ascii="Times New Roman" w:cs="Times New Roman" w:eastAsia="Times New Roman" w:hAnsi="Times New Roman"/>
          <w:sz w:val="18"/>
          <w:szCs w:val="18"/>
          <w:color w:val="auto"/>
        </w:rPr>
        <w:t>The Board of Directors is hereby expressly authorized, by resolution or resolutions, to provide, out of the unissued and undesignated shares of preferred stock, for one or more series of preferred stock. Before any shares of any such series are issued, the Board of Directors shall fix, and hereby is expressly empowered to fix, by resolution or resolutions, the following provisions of the shares thereof:</w:t>
      </w:r>
    </w:p>
    <w:p>
      <w:pPr>
        <w:spacing w:after="0" w:line="68" w:lineRule="exact"/>
        <w:rPr>
          <w:sz w:val="20"/>
          <w:szCs w:val="20"/>
          <w:color w:val="auto"/>
        </w:rPr>
      </w:pPr>
    </w:p>
    <w:p>
      <w:pPr>
        <w:ind w:left="700" w:hanging="242"/>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shares to constitute such series, and the stated value thereof if different from the par value thereof;</w:t>
      </w:r>
    </w:p>
    <w:p>
      <w:pPr>
        <w:spacing w:after="0" w:line="117" w:lineRule="exact"/>
        <w:rPr>
          <w:rFonts w:ascii="Times New Roman" w:cs="Times New Roman" w:eastAsia="Times New Roman" w:hAnsi="Times New Roman"/>
          <w:sz w:val="18"/>
          <w:szCs w:val="18"/>
          <w:color w:val="auto"/>
        </w:rPr>
      </w:pPr>
    </w:p>
    <w:p>
      <w:pPr>
        <w:ind w:right="340" w:firstLine="458"/>
        <w:spacing w:after="0" w:line="282"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have voting rights, in addition to any voting rights provided by law, and, if so, the terms of such voting rights, which may be general or limited;</w:t>
      </w:r>
    </w:p>
    <w:p>
      <w:pPr>
        <w:spacing w:after="0" w:line="53" w:lineRule="exact"/>
        <w:rPr>
          <w:rFonts w:ascii="Times New Roman" w:cs="Times New Roman" w:eastAsia="Times New Roman" w:hAnsi="Times New Roman"/>
          <w:sz w:val="18"/>
          <w:szCs w:val="18"/>
          <w:color w:val="auto"/>
        </w:rPr>
      </w:pPr>
    </w:p>
    <w:p>
      <w:pPr>
        <w:ind w:right="20" w:firstLine="458"/>
        <w:spacing w:after="0" w:line="26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stock of any other class or any other series of this class;</w:t>
      </w:r>
    </w:p>
    <w:p>
      <w:pPr>
        <w:spacing w:after="0" w:line="67" w:lineRule="exact"/>
        <w:rPr>
          <w:rFonts w:ascii="Times New Roman" w:cs="Times New Roman" w:eastAsia="Times New Roman" w:hAnsi="Times New Roman"/>
          <w:sz w:val="18"/>
          <w:szCs w:val="18"/>
          <w:color w:val="auto"/>
        </w:rPr>
      </w:pPr>
    </w:p>
    <w:p>
      <w:pPr>
        <w:ind w:right="160" w:firstLine="458"/>
        <w:spacing w:after="0" w:line="261"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redemption by the Corporation, and, if so, the terms and conditions of such redemption, including the manner of selecting shares for redemption if less than all shares of such series are to be redeemed, the date or dates upon or after which they shall be redeemable, and the amount per share payable in case of redemption, which amount may vary under different conditions and at different redemption dates;</w:t>
      </w:r>
    </w:p>
    <w:p>
      <w:pPr>
        <w:spacing w:after="0" w:line="71" w:lineRule="exact"/>
        <w:rPr>
          <w:rFonts w:ascii="Times New Roman" w:cs="Times New Roman" w:eastAsia="Times New Roman" w:hAnsi="Times New Roman"/>
          <w:sz w:val="18"/>
          <w:szCs w:val="18"/>
          <w:color w:val="auto"/>
        </w:rPr>
      </w:pPr>
    </w:p>
    <w:p>
      <w:pPr>
        <w:ind w:right="340" w:firstLine="458"/>
        <w:spacing w:after="0" w:line="266" w:lineRule="auto"/>
        <w:tabs>
          <w:tab w:leader="none" w:pos="6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or amounts payable upon shares of such series upon, and the rights of the holders of such series in, the voluntary or involuntary liquidation, dissolution or winding up, or upon any distribution of the assets, of the Corporation, and whether such rights shall be in preference to, or in another relation to, the comparable rights of any other class or classes or series of stock;</w:t>
      </w:r>
    </w:p>
    <w:p>
      <w:pPr>
        <w:spacing w:after="0" w:line="67" w:lineRule="exact"/>
        <w:rPr>
          <w:rFonts w:ascii="Times New Roman" w:cs="Times New Roman" w:eastAsia="Times New Roman" w:hAnsi="Times New Roman"/>
          <w:sz w:val="18"/>
          <w:szCs w:val="18"/>
          <w:color w:val="auto"/>
        </w:rPr>
      </w:pPr>
    </w:p>
    <w:p>
      <w:pPr>
        <w:ind w:firstLine="458"/>
        <w:spacing w:after="0" w:line="266" w:lineRule="auto"/>
        <w:tabs>
          <w:tab w:leader="none" w:pos="6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relative to the operation thereof;</w:t>
      </w:r>
    </w:p>
    <w:p>
      <w:pPr>
        <w:spacing w:after="0" w:line="67" w:lineRule="exact"/>
        <w:rPr>
          <w:rFonts w:ascii="Times New Roman" w:cs="Times New Roman" w:eastAsia="Times New Roman" w:hAnsi="Times New Roman"/>
          <w:sz w:val="18"/>
          <w:szCs w:val="18"/>
          <w:color w:val="auto"/>
        </w:rPr>
      </w:pPr>
    </w:p>
    <w:p>
      <w:pPr>
        <w:ind w:right="60" w:firstLine="458"/>
        <w:spacing w:after="0" w:line="266"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such series shall be convertible into, or exchangeable for, shares of stock of any other series of this class or any other securities and, if so, the price or prices or the rate or rates of conversion or exchange and the method, if any, of adjusting the same, and any other terms and conditions of conversion or exchange;</w:t>
      </w:r>
    </w:p>
    <w:p>
      <w:pPr>
        <w:spacing w:after="0" w:line="67" w:lineRule="exact"/>
        <w:rPr>
          <w:rFonts w:ascii="Times New Roman" w:cs="Times New Roman" w:eastAsia="Times New Roman" w:hAnsi="Times New Roman"/>
          <w:sz w:val="18"/>
          <w:szCs w:val="18"/>
          <w:color w:val="auto"/>
        </w:rPr>
      </w:pPr>
    </w:p>
    <w:p>
      <w:pPr>
        <w:ind w:right="280" w:firstLine="458"/>
        <w:spacing w:after="0" w:line="266"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shares of such series are outstanding upon the payments of dividends or the making of other distributions on, and upon the purchase, redemption or other acquisition by the Corporation of, the Common Stock or shares of stock of any other class or any other series of this class;</w:t>
      </w:r>
    </w:p>
    <w:p>
      <w:pPr>
        <w:spacing w:after="0" w:line="67" w:lineRule="exact"/>
        <w:rPr>
          <w:rFonts w:ascii="Times New Roman" w:cs="Times New Roman" w:eastAsia="Times New Roman" w:hAnsi="Times New Roman"/>
          <w:sz w:val="18"/>
          <w:szCs w:val="18"/>
          <w:color w:val="auto"/>
        </w:rPr>
      </w:pPr>
    </w:p>
    <w:p>
      <w:pPr>
        <w:ind w:right="420" w:firstLine="458"/>
        <w:spacing w:after="0" w:line="282"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Corporation or upon the issue of any additional stock, including additional shares of such series or of any other series of this class or of any other class; and</w:t>
      </w:r>
    </w:p>
    <w:p>
      <w:pPr>
        <w:spacing w:after="0" w:line="53" w:lineRule="exact"/>
        <w:rPr>
          <w:rFonts w:ascii="Times New Roman" w:cs="Times New Roman" w:eastAsia="Times New Roman" w:hAnsi="Times New Roman"/>
          <w:sz w:val="18"/>
          <w:szCs w:val="18"/>
          <w:color w:val="auto"/>
        </w:rPr>
      </w:pPr>
    </w:p>
    <w:p>
      <w:pPr>
        <w:ind w:left="680" w:hanging="222"/>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9" w:lineRule="exact"/>
        <w:rPr>
          <w:sz w:val="20"/>
          <w:szCs w:val="20"/>
          <w:color w:val="auto"/>
        </w:rPr>
      </w:pPr>
    </w:p>
    <w:p>
      <w:pPr>
        <w:ind w:right="120" w:firstLine="447"/>
        <w:spacing w:after="0" w:line="261" w:lineRule="auto"/>
        <w:rPr>
          <w:sz w:val="20"/>
          <w:szCs w:val="20"/>
          <w:color w:val="auto"/>
        </w:rPr>
      </w:pPr>
      <w:r>
        <w:rPr>
          <w:rFonts w:ascii="Times New Roman" w:cs="Times New Roman" w:eastAsia="Times New Roman" w:hAnsi="Times New Roman"/>
          <w:sz w:val="18"/>
          <w:szCs w:val="18"/>
          <w:color w:val="auto"/>
        </w:rPr>
        <w:t>The powers, preferences and relative, participating, optional and other special rights of each series of preferred stock, and the qualifications, limitations of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thereon shall accrue and/or be cumulative.</w:t>
      </w:r>
    </w:p>
    <w:p>
      <w:pPr>
        <w:spacing w:after="0" w:line="72"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Stock and Class A Stock</w:t>
      </w:r>
    </w:p>
    <w:p>
      <w:pPr>
        <w:spacing w:after="0" w:line="117" w:lineRule="exact"/>
        <w:rPr>
          <w:rFonts w:ascii="Times New Roman" w:cs="Times New Roman" w:eastAsia="Times New Roman" w:hAnsi="Times New Roman"/>
          <w:sz w:val="18"/>
          <w:szCs w:val="18"/>
          <w:color w:val="auto"/>
        </w:rPr>
      </w:pPr>
    </w:p>
    <w:p>
      <w:pPr>
        <w:ind w:right="140" w:firstLine="458"/>
        <w:spacing w:after="0" w:line="282" w:lineRule="auto"/>
        <w:tabs>
          <w:tab w:leader="none" w:pos="69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hereinafter expressly set forth in Section 2, and subject to the rights of the holders of preferred stock at any time outstanding, the Class A Stock and the Common Stock, both of which are classes of</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common stock, shall have the same rights and privileges and shall rank equally, share ratably and be identical in respects as to all matters, including rights in liquidation.</w:t>
      </w:r>
    </w:p>
    <w:p>
      <w:pPr>
        <w:spacing w:after="0" w:line="54" w:lineRule="exact"/>
        <w:rPr>
          <w:sz w:val="20"/>
          <w:szCs w:val="20"/>
          <w:color w:val="auto"/>
        </w:rPr>
      </w:pPr>
    </w:p>
    <w:p>
      <w:pPr>
        <w:ind w:right="400" w:firstLine="458"/>
        <w:spacing w:after="0" w:line="282" w:lineRule="auto"/>
        <w:tabs>
          <w:tab w:leader="none" w:pos="7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Except as otherwise expressly provided by law, and subject to any voting rights provided to holders of preferred stock by this Certificate of Incorporation the Common Shares have exclusive voting rights on all matters requiring a vote of shareholders.</w:t>
      </w:r>
    </w:p>
    <w:p>
      <w:pPr>
        <w:spacing w:after="0" w:line="54" w:lineRule="exact"/>
        <w:rPr>
          <w:sz w:val="20"/>
          <w:szCs w:val="20"/>
          <w:color w:val="auto"/>
        </w:rPr>
      </w:pPr>
    </w:p>
    <w:p>
      <w:pPr>
        <w:ind w:right="540" w:firstLine="447"/>
        <w:spacing w:after="0" w:line="282"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on all matters to be voted on by the shareholders of the Corporation. The holders of Class A Stock shall be entitled to ten votes per share on all matters to be voted on by the shareholders of the Corporation.</w:t>
      </w:r>
    </w:p>
    <w:p>
      <w:pPr>
        <w:spacing w:after="0" w:line="54" w:lineRule="exact"/>
        <w:rPr>
          <w:sz w:val="20"/>
          <w:szCs w:val="20"/>
          <w:color w:val="auto"/>
        </w:rPr>
      </w:pPr>
    </w:p>
    <w:p>
      <w:pPr>
        <w:ind w:right="420" w:firstLine="45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Certificate of Incorporation or as required by law, the holders of shares of Class A Stock and the holders of shares of Common Stock shall vote together as one class on all matters submitted to a vote of shareholders of the Corporation.</w:t>
      </w:r>
    </w:p>
    <w:p>
      <w:pPr>
        <w:spacing w:after="0" w:line="54" w:lineRule="exact"/>
        <w:rPr>
          <w:sz w:val="20"/>
          <w:szCs w:val="20"/>
          <w:color w:val="auto"/>
        </w:rPr>
      </w:pPr>
    </w:p>
    <w:p>
      <w:pPr>
        <w:ind w:right="40" w:firstLine="458"/>
        <w:spacing w:after="0" w:line="253" w:lineRule="auto"/>
        <w:tabs>
          <w:tab w:leader="none" w:pos="6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 Subject to the rights of the holders of preferred stock, and subject to any other provisions of this Certificate of Incorporation, as it may be amended from time to time, holders of Class A Stock and Common Stock shall be entitled to receive such dividends and other distributions in cash, in property or in shares of the Corporation as may be declared thereon by the Board of Directors from time to time out of assets or funds of the Corporation legally available therefore; provided, however, that no cash, property or share dividend or distribution may be declared or paid on the outstanding shares of either the Class A Stock or the Common Stock unless an identical per share dividend or distribution is simultaneously declared and paid on the outstanding shares of the other such class of common stock; provided, further, however, that a dividend of shares may be declared and paid in Class A Stock to holders of Class A Stock and in Common Stock to holders of Common Stock if the number of shares paid per share to holders of Class A Stock and to holders of Common Stock shall be the same. If the Corporation shall in any manner subdivide, combine or reclassify the outstanding shares of Class A Stock or Common Stock, the outstanding shares of the other such class of common stock shall be subdivided, combined or reclassified proportionally in the same manner and on the same basis as the outstanding shares of Class A Stock or Common Stock, as the case may be, have been subdivided, combined or reclassified.</w:t>
      </w:r>
    </w:p>
    <w:p>
      <w:pPr>
        <w:spacing w:after="0" w:line="83" w:lineRule="exact"/>
        <w:rPr>
          <w:rFonts w:ascii="Times New Roman" w:cs="Times New Roman" w:eastAsia="Times New Roman" w:hAnsi="Times New Roman"/>
          <w:sz w:val="18"/>
          <w:szCs w:val="18"/>
          <w:color w:val="auto"/>
        </w:rPr>
      </w:pPr>
    </w:p>
    <w:p>
      <w:pPr>
        <w:ind w:left="720" w:hanging="262"/>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are not convertible into or exchangeable for shares of Class A Stock or any other shares of securities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w:t>
      </w:r>
    </w:p>
    <w:p>
      <w:pPr>
        <w:spacing w:after="0" w:line="98" w:lineRule="exact"/>
        <w:rPr>
          <w:rFonts w:ascii="Times New Roman" w:cs="Times New Roman" w:eastAsia="Times New Roman" w:hAnsi="Times New Roman"/>
          <w:sz w:val="18"/>
          <w:szCs w:val="18"/>
          <w:color w:val="auto"/>
        </w:rPr>
      </w:pPr>
    </w:p>
    <w:p>
      <w:pPr>
        <w:ind w:right="60" w:firstLine="683"/>
        <w:spacing w:after="0" w:line="282" w:lineRule="auto"/>
        <w:tabs>
          <w:tab w:leader="none" w:pos="9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Stock may be converted, at any time and at the option of the holder thereof, into one fully paid and nonassessable share of Common Stock.</w:t>
      </w:r>
    </w:p>
    <w:p>
      <w:pPr>
        <w:spacing w:after="0" w:line="53"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683"/>
        <w:spacing w:after="0" w:line="256" w:lineRule="auto"/>
        <w:tabs>
          <w:tab w:leader="none" w:pos="9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Transfer by a Holder, other than to a “Permitted Transferee” of such Holder, shares of Class A Stock so Transferred shall, at midnight on the thirtieth day after delivery of written notice by the Corporation to such Holder that such Transfer has been made to a person other than a Permitted Transferee (for purposes of this paragraph (1),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automatic conversion of Class A Stock shall not occur if such shares of Class A Stock, prior to the Conversion Time, are Transferred back to such Holder or to one or more Permitted Transferees of such Holder.</w:t>
      </w:r>
    </w:p>
    <w:p>
      <w:pPr>
        <w:spacing w:after="0" w:line="79"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2(e): A “Permitted Transferee” of a Holder shall mean, the following:</w:t>
      </w:r>
    </w:p>
    <w:p>
      <w:pPr>
        <w:spacing w:after="0" w:line="117" w:lineRule="exact"/>
        <w:rPr>
          <w:rFonts w:ascii="Times New Roman" w:cs="Times New Roman" w:eastAsia="Times New Roman" w:hAnsi="Times New Roman"/>
          <w:sz w:val="18"/>
          <w:szCs w:val="18"/>
          <w:color w:val="auto"/>
        </w:rPr>
      </w:pPr>
    </w:p>
    <w:p>
      <w:pPr>
        <w:ind w:left="1120" w:hanging="212"/>
        <w:spacing w:after="0"/>
        <w:tabs>
          <w:tab w:leader="none" w:pos="112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Holder, the Corporation or any one or more of its directly or indirectly wholly owned subsidiaries;</w:t>
      </w:r>
    </w:p>
    <w:p>
      <w:pPr>
        <w:spacing w:after="0" w:line="117" w:lineRule="exact"/>
        <w:rPr>
          <w:rFonts w:ascii="Times New Roman" w:cs="Times New Roman" w:eastAsia="Times New Roman" w:hAnsi="Times New Roman"/>
          <w:sz w:val="18"/>
          <w:szCs w:val="18"/>
          <w:color w:val="auto"/>
        </w:rPr>
      </w:pPr>
    </w:p>
    <w:p>
      <w:pPr>
        <w:ind w:left="1180" w:hanging="272"/>
        <w:spacing w:after="0"/>
        <w:tabs>
          <w:tab w:leader="none" w:pos="11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who is a natural person:</w:t>
      </w:r>
    </w:p>
    <w:p>
      <w:pPr>
        <w:spacing w:after="0" w:line="117" w:lineRule="exact"/>
        <w:rPr>
          <w:rFonts w:ascii="Times New Roman" w:cs="Times New Roman" w:eastAsia="Times New Roman" w:hAnsi="Times New Roman"/>
          <w:sz w:val="18"/>
          <w:szCs w:val="18"/>
          <w:color w:val="auto"/>
        </w:rPr>
      </w:pPr>
    </w:p>
    <w:p>
      <w:pPr>
        <w:ind w:right="260" w:firstLine="1357"/>
        <w:spacing w:after="0" w:line="266" w:lineRule="auto"/>
        <w:tabs>
          <w:tab w:leader="none" w:pos="1644" w:val="left"/>
        </w:tabs>
        <w:numPr>
          <w:ilvl w:val="3"/>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spouse of such Holder (the “Spouse”), any lineal ancestor of such Holder or of the Spouse, and any person who is a lineal descendent of a grandparent of such Holder or of the Spouse, or a spouse of any such lineal descendent or such lineal ancestor (collectively, the “Family Members”);</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53" w:lineRule="exact"/>
        <w:rPr>
          <w:sz w:val="20"/>
          <w:szCs w:val="20"/>
          <w:color w:val="auto"/>
        </w:rPr>
      </w:pPr>
    </w:p>
    <w:p>
      <w:pPr>
        <w:ind w:left="-8" w:firstLine="1357"/>
        <w:spacing w:after="0" w:line="267" w:lineRule="auto"/>
        <w:tabs>
          <w:tab w:leader="none" w:pos="1626"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trust (including a voting trust) exclusively for the benefit of one or more of (x) such Holder, (y) one or more of his or her Family Members or (z) any organization to which contributions are deductible under 501(c)(3) of the Internal Revenue Code of 1986, as amended or any successor provision (the “Internal Revenue Code”) or for estate or gift tax purposes (a “Charitable Organization”);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trust may include a general or special power of appointment for such Holder or Family Members (a “Trust”);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if by reason of any change in the beneficiaries of such Trust, such Trust would not have qualified, at the time of the Transfer of Class A Stock to such Trust (for purposes of this sub-paragraph (B), the “Transfer Date”), as a Permitted Transferee, all shares of Class A Stock so Transferred to such Trust shall, at midnight on the thirtieth day after delivery of written notice by the Corporation to the trustee of such Trust of such change of beneficiary (for purposes of this sub-paragraph (B),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automatic conversion of such shares of Class A Stock shall not occur if, prior to the Conversion Time, (x) by reason of additional changes in the beneficiary of such Trust, such Trust would again have qualified as a “Permitted Transferee” of such Holder on the Transfer Date, or</w:t>
      </w:r>
    </w:p>
    <w:p>
      <w:pPr>
        <w:spacing w:after="0" w:line="2" w:lineRule="exact"/>
        <w:rPr>
          <w:rFonts w:ascii="Times New Roman" w:cs="Times New Roman" w:eastAsia="Times New Roman" w:hAnsi="Times New Roman"/>
          <w:sz w:val="17"/>
          <w:szCs w:val="17"/>
          <w:color w:val="auto"/>
        </w:rPr>
      </w:pPr>
    </w:p>
    <w:p>
      <w:pPr>
        <w:ind w:left="-8" w:right="160" w:firstLine="8"/>
        <w:spacing w:after="0" w:line="260"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Trust Transfers such shares of Class A Stock to one or more persons who would qualify as a Permitted Transferee of the Holder who Transferred such shares to such Trust as if such Holder did not so Transfer such shares;</w:t>
      </w:r>
    </w:p>
    <w:p>
      <w:pPr>
        <w:spacing w:after="0" w:line="73" w:lineRule="exact"/>
        <w:rPr>
          <w:rFonts w:ascii="Times New Roman" w:cs="Times New Roman" w:eastAsia="Times New Roman" w:hAnsi="Times New Roman"/>
          <w:sz w:val="18"/>
          <w:szCs w:val="18"/>
          <w:color w:val="auto"/>
        </w:rPr>
      </w:pPr>
    </w:p>
    <w:p>
      <w:pPr>
        <w:ind w:left="1632" w:hanging="283"/>
        <w:spacing w:after="0"/>
        <w:tabs>
          <w:tab w:leader="none" w:pos="1632"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Charitable Organization established solely by one or more of such Holder or a Family Member;</w:t>
      </w:r>
    </w:p>
    <w:p>
      <w:pPr>
        <w:spacing w:after="0" w:line="117" w:lineRule="exact"/>
        <w:rPr>
          <w:rFonts w:ascii="Times New Roman" w:cs="Times New Roman" w:eastAsia="Times New Roman" w:hAnsi="Times New Roman"/>
          <w:sz w:val="18"/>
          <w:szCs w:val="18"/>
          <w:color w:val="auto"/>
        </w:rPr>
      </w:pPr>
    </w:p>
    <w:p>
      <w:pPr>
        <w:jc w:val="both"/>
        <w:ind w:left="-8" w:right="40" w:firstLine="1357"/>
        <w:spacing w:after="0" w:line="266" w:lineRule="auto"/>
        <w:tabs>
          <w:tab w:leader="none" w:pos="163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Retirement Account, as defined in Section 408(a) of the Internal Revenue Code, of which such Holder is a participant or beneficiary, provided that such Holder has the power to direct the investment of funds deposited into such Individual Retirement Account and to control the voting of securities held by such Individual Retirement Account (an “IRA”);</w:t>
      </w:r>
    </w:p>
    <w:p>
      <w:pPr>
        <w:spacing w:after="0" w:line="67" w:lineRule="exact"/>
        <w:rPr>
          <w:rFonts w:ascii="Times New Roman" w:cs="Times New Roman" w:eastAsia="Times New Roman" w:hAnsi="Times New Roman"/>
          <w:sz w:val="18"/>
          <w:szCs w:val="18"/>
          <w:color w:val="auto"/>
        </w:rPr>
      </w:pPr>
    </w:p>
    <w:p>
      <w:pPr>
        <w:ind w:left="-8" w:right="220" w:firstLine="1357"/>
        <w:spacing w:after="0" w:line="266" w:lineRule="auto"/>
        <w:tabs>
          <w:tab w:leader="none" w:pos="1616"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pension, profit sharing, stock bonus or other type of plan or trust of which such Holder is a participant or beneficiary and which satisfies the requirements for qualification under Section 401(k) of the Internal Revenue Code, provided that such Holder has the power to direct the investment of funds deposited into such plan or trust and to control the voting of securities held by such plan or trust (a “Plan”);</w:t>
      </w:r>
    </w:p>
    <w:p>
      <w:pPr>
        <w:spacing w:after="0" w:line="67" w:lineRule="exact"/>
        <w:rPr>
          <w:rFonts w:ascii="Times New Roman" w:cs="Times New Roman" w:eastAsia="Times New Roman" w:hAnsi="Times New Roman"/>
          <w:sz w:val="18"/>
          <w:szCs w:val="18"/>
          <w:color w:val="auto"/>
        </w:rPr>
      </w:pPr>
    </w:p>
    <w:p>
      <w:pPr>
        <w:ind w:left="-8" w:firstLine="1357"/>
        <w:spacing w:after="0" w:line="270" w:lineRule="auto"/>
        <w:tabs>
          <w:tab w:leader="none" w:pos="1606"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corporation or partnership directly or indirectly controlled, individually or as a group, only by such Holder and/or any of his Permitted Transferees as determined under this clause (ii);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by reason of any change in the direct or indirect control of such corporation or partnership, such corporation or partnership would not have qualified, at the time of the Transfer of Class A Stock to such corporation or partnership, as a Permitted Transferee of such Holder, all shares of Class A Stock so Transferred to such corporation or partnership shall in the manner set forth in paragraph</w:t>
      </w:r>
    </w:p>
    <w:p>
      <w:pPr>
        <w:spacing w:after="0" w:line="2"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be converted into an equal number of shares of Common Stock; and</w:t>
      </w:r>
    </w:p>
    <w:p>
      <w:pPr>
        <w:spacing w:after="0" w:line="98" w:lineRule="exact"/>
        <w:rPr>
          <w:rFonts w:ascii="Times New Roman" w:cs="Times New Roman" w:eastAsia="Times New Roman" w:hAnsi="Times New Roman"/>
          <w:sz w:val="18"/>
          <w:szCs w:val="18"/>
          <w:color w:val="auto"/>
        </w:rPr>
      </w:pPr>
    </w:p>
    <w:p>
      <w:pPr>
        <w:ind w:left="1652" w:hanging="303"/>
        <w:spacing w:after="0"/>
        <w:tabs>
          <w:tab w:leader="none" w:pos="1652"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estate, executor, executrix or other personal representative, custodian, administrator or guardian of such Holder.</w:t>
      </w:r>
    </w:p>
    <w:p>
      <w:pPr>
        <w:spacing w:after="0" w:line="117" w:lineRule="exact"/>
        <w:rPr>
          <w:rFonts w:ascii="Times New Roman" w:cs="Times New Roman" w:eastAsia="Times New Roman" w:hAnsi="Times New Roman"/>
          <w:sz w:val="18"/>
          <w:szCs w:val="18"/>
          <w:color w:val="auto"/>
        </w:rPr>
      </w:pPr>
    </w:p>
    <w:p>
      <w:pPr>
        <w:jc w:val="both"/>
        <w:ind w:left="-8" w:right="380" w:firstLine="908"/>
        <w:spacing w:after="0" w:line="266" w:lineRule="auto"/>
        <w:tabs>
          <w:tab w:leader="none" w:pos="120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holding the shares of Class A Stock in question as trustee of an IRA, a Plan or a Trust, “Permitted Transferee” means (x) the person who transferred Class A Stock to such IRA, such Plan or such Trust, (y) any Permitted Transferee of any such person determined pursuant to this Section 2(e) and (z) any successor trustee or trustees in such capacity of such IRA, such Plan or such Trust,</w:t>
      </w:r>
    </w:p>
    <w:p>
      <w:pPr>
        <w:spacing w:after="0" w:line="67" w:lineRule="exact"/>
        <w:rPr>
          <w:rFonts w:ascii="Times New Roman" w:cs="Times New Roman" w:eastAsia="Times New Roman" w:hAnsi="Times New Roman"/>
          <w:sz w:val="18"/>
          <w:szCs w:val="18"/>
          <w:color w:val="auto"/>
        </w:rPr>
      </w:pPr>
    </w:p>
    <w:p>
      <w:pPr>
        <w:ind w:left="-8" w:firstLine="908"/>
        <w:spacing w:after="0" w:line="258" w:lineRule="auto"/>
        <w:tabs>
          <w:tab w:leader="none" w:pos="11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which is a partnership, “Permitted Transferee” means any other person, directly or indirectly controlling, controlled by or under direct or indirect common control with such partnership,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any change in the direct or indirect control of such person, such person would not have qualified, at the time of the Transfer of the Class A Stock to such person, as a Permitted Transferee of such partnership, all shares of Class A Stock so Transferred to such person shall, in the manner set forth in paragraph (4) hereof, be converted into an equal number of shares of Common Stock;</w:t>
      </w:r>
    </w:p>
    <w:p>
      <w:pPr>
        <w:spacing w:after="0" w:line="75" w:lineRule="exact"/>
        <w:rPr>
          <w:rFonts w:ascii="Times New Roman" w:cs="Times New Roman" w:eastAsia="Times New Roman" w:hAnsi="Times New Roman"/>
          <w:sz w:val="18"/>
          <w:szCs w:val="18"/>
          <w:color w:val="auto"/>
        </w:rPr>
      </w:pPr>
    </w:p>
    <w:p>
      <w:pPr>
        <w:ind w:left="-8" w:right="120" w:firstLine="908"/>
        <w:spacing w:after="0" w:line="266" w:lineRule="auto"/>
        <w:tabs>
          <w:tab w:leader="none" w:pos="11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Holder which is a corporation (other than a Charitable Organization) “Permitted Transferee” means any other person directly or indirectly controlling, controlled by or under direct or indirect common control with such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reason of any change in the direct or indirect control of such person, such person would not have qualified, at the time of the Transfer of the Class A Stock to such person,</w:t>
      </w:r>
    </w:p>
    <w:p>
      <w:pPr>
        <w:sectPr>
          <w:pgSz w:w="11900" w:h="16838" w:orient="portrait"/>
          <w:cols w:equalWidth="0" w:num="1">
            <w:col w:w="11212"/>
          </w:cols>
          <w:pgMar w:left="328" w:top="1440" w:right="359" w:bottom="1440" w:gutter="0" w:footer="0" w:header="0"/>
        </w:sectPr>
      </w:pPr>
    </w:p>
    <w:bookmarkStart w:id="93" w:name="page94"/>
    <w:bookmarkEnd w:id="9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Permitted Transferee of such corporation, all shares of Class A Stock so Transferred to such person shall, in the manner set forth in paragraph</w:t>
      </w:r>
    </w:p>
    <w:p>
      <w:pPr>
        <w:spacing w:after="0" w:line="27" w:lineRule="exact"/>
        <w:rPr>
          <w:sz w:val="20"/>
          <w:szCs w:val="20"/>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be converted into an equal number of shares of Common Stock; and</w:t>
      </w:r>
    </w:p>
    <w:p>
      <w:pPr>
        <w:spacing w:after="0" w:line="98" w:lineRule="exact"/>
        <w:rPr>
          <w:rFonts w:ascii="Times New Roman" w:cs="Times New Roman" w:eastAsia="Times New Roman" w:hAnsi="Times New Roman"/>
          <w:sz w:val="18"/>
          <w:szCs w:val="18"/>
          <w:color w:val="auto"/>
        </w:rPr>
      </w:pPr>
    </w:p>
    <w:p>
      <w:pPr>
        <w:ind w:right="320" w:firstLine="908"/>
        <w:spacing w:after="0" w:line="261" w:lineRule="auto"/>
        <w:tabs>
          <w:tab w:leader="none" w:pos="120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which is the estate of a deceased Holder or who is the executor, executrix or other personal representative, custodian or administrator of such Holder, or guardian of a disabled or adjudicated incompetent Holder or which is the estate of a bankrupt or insolvent Holder, which owns the shares of Class A Stock in question, “Permitted Transferee” means a Permitted Transferee of such deceased, or adjudicated incompetent, disabled, bankrupt or insolvent Holder as otherwise determined pursuant to this Section 2(e).</w:t>
      </w:r>
    </w:p>
    <w:p>
      <w:pPr>
        <w:spacing w:after="0" w:line="72" w:lineRule="exact"/>
        <w:rPr>
          <w:sz w:val="20"/>
          <w:szCs w:val="20"/>
          <w:color w:val="auto"/>
        </w:rPr>
      </w:pPr>
    </w:p>
    <w:p>
      <w:pPr>
        <w:ind w:right="82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2(e), the term “control” means the possession, direct or indirect, of the power to direct or cause the direction of the management and policies of the controlled person or entity.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2(e), the term “Holder” means any holder of Class A Stock or of the proxy to vote shares of Class A Stock.</w:t>
      </w:r>
    </w:p>
    <w:p>
      <w:pPr>
        <w:spacing w:after="0" w:line="11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As used in this Section 2(e), the term “person” shall mean both natural persons and legal entities, unless otherwise specified. The relationship of any person that is derived by or through legal adoption shall be considered a natural relationship.</w:t>
      </w:r>
    </w:p>
    <w:p>
      <w:pPr>
        <w:spacing w:after="0" w:line="54" w:lineRule="exact"/>
        <w:rPr>
          <w:sz w:val="20"/>
          <w:szCs w:val="20"/>
          <w:color w:val="auto"/>
        </w:rPr>
      </w:pPr>
    </w:p>
    <w:p>
      <w:pPr>
        <w:ind w:right="80" w:firstLine="450"/>
        <w:spacing w:after="0" w:line="312" w:lineRule="auto"/>
        <w:rPr>
          <w:sz w:val="20"/>
          <w:szCs w:val="20"/>
          <w:color w:val="auto"/>
        </w:rPr>
      </w:pPr>
      <w:r>
        <w:rPr>
          <w:rFonts w:ascii="Times New Roman" w:cs="Times New Roman" w:eastAsia="Times New Roman" w:hAnsi="Times New Roman"/>
          <w:sz w:val="17"/>
          <w:szCs w:val="17"/>
          <w:color w:val="auto"/>
        </w:rPr>
        <w:t>Each joint owner of shares or owner of a community property interest in shares of Class A Stock shall be considered a “Holder” of such shares. A minor for whom shares of Class A Stock are held pursuant to a Uniform Transfer to Minors Act or similar law shall be considered a Holder of such shares.</w:t>
      </w:r>
    </w:p>
    <w:p>
      <w:pPr>
        <w:spacing w:after="0" w:line="3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As used in this Section 2(e), a “Transfer” shall mean any Type of transfer of shares of Class A Stock, whether by sale, exchange, gift, operation of law, pledge, or otherwise or any transfer of the power to vote such shares by proxy or by transferring any proxy, and shares of Class A Stock shall refer to either (i) such shares of Class A Stock so transferred, (ii) the power to vote such shares so transferred or (iii) shares of Class A Stock for which the power to vote was so transferred, as the case may be.</w:t>
      </w:r>
    </w:p>
    <w:p>
      <w:pPr>
        <w:spacing w:after="0" w:line="72" w:lineRule="exact"/>
        <w:rPr>
          <w:sz w:val="20"/>
          <w:szCs w:val="20"/>
          <w:color w:val="auto"/>
        </w:rPr>
      </w:pPr>
    </w:p>
    <w:p>
      <w:pPr>
        <w:ind w:firstLine="683"/>
        <w:spacing w:after="0" w:line="254" w:lineRule="auto"/>
        <w:tabs>
          <w:tab w:leader="none" w:pos="93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herein, any Holder may pledge the shares of Class A Stock belonging to such Holder to a pledgee pursuant to a bona fide pledge of such shares as collateral security for indebtedness due to the pledgee, provided that such pledgee does not have the power to vote such shares and such shares remain subject to the provisions of this Section. In the event of foreclosure or other similar action by the pledgee, such shares, at midnight on the thirtieth day after delivery of notice by the Corporation to the pledgor of such foreclosure or other similar action (for purposes of this paragraph (3) the “Conversion Time”), shall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automatic conversion of such shares of Class A Stock shall not occur if, prior to the Conversion Time, (x) such pledged shares of Class A Stock are transferred to a Permitted Transferee of the pledgor or (y) such foreclosure or other similar action is cancelled or annulled so that the pledgor retains the right to vote such shares.</w:t>
      </w:r>
    </w:p>
    <w:p>
      <w:pPr>
        <w:spacing w:after="0" w:line="80" w:lineRule="exact"/>
        <w:rPr>
          <w:rFonts w:ascii="Times New Roman" w:cs="Times New Roman" w:eastAsia="Times New Roman" w:hAnsi="Times New Roman"/>
          <w:sz w:val="18"/>
          <w:szCs w:val="18"/>
          <w:color w:val="auto"/>
        </w:rPr>
      </w:pPr>
    </w:p>
    <w:p>
      <w:pPr>
        <w:ind w:right="40" w:firstLine="683"/>
        <w:spacing w:after="0" w:line="268" w:lineRule="auto"/>
        <w:tabs>
          <w:tab w:leader="none" w:pos="93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by reason of any change of the direct or indirect control of a person subsequent to any Transfer to such person, such person would not have qualified, at the time of the Transfer of the Class A Stock to such person (the “Transfer Date”), as a Permitted Transferee under clause (ii)(F), clause (iv) or clause (v), as the case may be, all shares of Class A Stock Transferred pursuant to the relevant clause to such person shall, at midnight on the thirtieth day after delivery of written notice by the Corporation to such person of such change of the direct or indirect control of such person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automatic conversion of Class A Stock shall not occur if, prior to the Conversion Time, (x) by reason of additional changes in the direct or indirect control of such person, such person would again have qualified on the Transfer Date as a “Permitted Transferee” under clause (ii)(F), clause</w:t>
      </w:r>
    </w:p>
    <w:p>
      <w:pPr>
        <w:jc w:val="both"/>
        <w:ind w:right="420" w:firstLine="8"/>
        <w:spacing w:after="0" w:line="255" w:lineRule="auto"/>
        <w:tabs>
          <w:tab w:leader="none" w:pos="30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(v), as the case may be, or (y) such person Transfers all such shares of Class A Stock owned by such person to one or more persons who would qualify as a “Permitted Transferee” of the transferor of the Class A Stock to such person as if the transferor did not Transfer such shares on the Transfer Date.</w:t>
      </w:r>
    </w:p>
    <w:p>
      <w:pPr>
        <w:sectPr>
          <w:pgSz w:w="11900" w:h="16838" w:orient="portrait"/>
          <w:cols w:equalWidth="0" w:num="1">
            <w:col w:w="11220"/>
          </w:cols>
          <w:pgMar w:left="320" w:top="1440" w:right="359" w:bottom="1440" w:gutter="0" w:footer="0" w:header="0"/>
        </w:sectPr>
      </w:pPr>
    </w:p>
    <w:bookmarkStart w:id="94" w:name="page95"/>
    <w:bookmarkEnd w:id="94"/>
    <w:p>
      <w:pPr>
        <w:spacing w:after="0" w:line="153" w:lineRule="exact"/>
        <w:rPr>
          <w:sz w:val="20"/>
          <w:szCs w:val="20"/>
          <w:color w:val="auto"/>
        </w:rPr>
      </w:pPr>
    </w:p>
    <w:p>
      <w:pPr>
        <w:ind w:right="20" w:firstLine="683"/>
        <w:spacing w:after="0" w:line="261" w:lineRule="auto"/>
        <w:tabs>
          <w:tab w:leader="none" w:pos="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good faith determination by the Board of Directors of the Corporation (x) that a transferee of shares of Class A Stock is or is not a Permitted Transferee of the transferor of such shares to such transferee on the date of Transfer, or (y) that, by reason of any change in the direct or indirect control of such transferee subsequent to such Transfer, such person would have or have not qualified at the time of the Transfer of the Class A Stock to such person as a Permitted Transferee shall be conclusive.</w:t>
      </w:r>
    </w:p>
    <w:p>
      <w:pPr>
        <w:spacing w:after="0" w:line="71" w:lineRule="exact"/>
        <w:rPr>
          <w:rFonts w:ascii="Times New Roman" w:cs="Times New Roman" w:eastAsia="Times New Roman" w:hAnsi="Times New Roman"/>
          <w:sz w:val="18"/>
          <w:szCs w:val="18"/>
          <w:color w:val="auto"/>
        </w:rPr>
      </w:pPr>
    </w:p>
    <w:p>
      <w:pPr>
        <w:ind w:right="40" w:firstLine="683"/>
        <w:spacing w:after="0" w:line="261" w:lineRule="auto"/>
        <w:tabs>
          <w:tab w:leader="none" w:pos="9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provided for herein shall be deemed to have been delivered three days after being sent by registered or certified mail, return receipt requested, postage prepaid, to the person to whom it is directed. If notice is to a Holder, such notice should be sent to him at the address set forth at the office of the Transfer Agent of the Corporation. If notice is to any other person, such notice should be sent to him at the address known by the Corporation at the time the notice is sent.</w:t>
      </w:r>
    </w:p>
    <w:p>
      <w:pPr>
        <w:spacing w:after="0" w:line="71" w:lineRule="exact"/>
        <w:rPr>
          <w:rFonts w:ascii="Times New Roman" w:cs="Times New Roman" w:eastAsia="Times New Roman" w:hAnsi="Times New Roman"/>
          <w:sz w:val="18"/>
          <w:szCs w:val="18"/>
          <w:color w:val="auto"/>
        </w:rPr>
      </w:pPr>
    </w:p>
    <w:p>
      <w:pPr>
        <w:ind w:right="280" w:firstLine="683"/>
        <w:spacing w:after="0" w:line="258" w:lineRule="auto"/>
        <w:tabs>
          <w:tab w:leader="none" w:pos="9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as a condition to the transfer or the registration of transfer of shares of Class A Stock to a purported Permitted Transferee, require the furnishing of such affidavits or other proof as it deems necessary to establish that such transferee is a Permitted Transferee. Each certificate representing shares of Class A Stock shall be endorsed with a legend that states that shares of Class A Stock are not transferable other than to certain transferees and are subject to certain restrictions as set forth in the Certificate of Incorporation of the Corporation filed with the Secretary of the State of New York.</w:t>
      </w:r>
    </w:p>
    <w:p>
      <w:pPr>
        <w:spacing w:after="0" w:line="75" w:lineRule="exact"/>
        <w:rPr>
          <w:rFonts w:ascii="Times New Roman" w:cs="Times New Roman" w:eastAsia="Times New Roman" w:hAnsi="Times New Roman"/>
          <w:sz w:val="18"/>
          <w:szCs w:val="18"/>
          <w:color w:val="auto"/>
        </w:rPr>
      </w:pPr>
    </w:p>
    <w:p>
      <w:pPr>
        <w:ind w:right="800" w:firstLine="683"/>
        <w:spacing w:after="0" w:line="282" w:lineRule="auto"/>
        <w:tabs>
          <w:tab w:leader="none" w:pos="9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2(e) may not be amended without the affirmative vote of holders of the majority of the shares of Class A Stock and the affirmative vote of the holders of two-thirds of the shares of Common Stock, each voting separately as a class.</w:t>
      </w:r>
    </w:p>
    <w:p>
      <w:pPr>
        <w:spacing w:after="0" w:line="53" w:lineRule="exact"/>
        <w:rPr>
          <w:rFonts w:ascii="Times New Roman" w:cs="Times New Roman" w:eastAsia="Times New Roman" w:hAnsi="Times New Roman"/>
          <w:sz w:val="18"/>
          <w:szCs w:val="18"/>
          <w:color w:val="auto"/>
        </w:rPr>
      </w:pPr>
    </w:p>
    <w:p>
      <w:pPr>
        <w:ind w:left="680" w:hanging="222"/>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683"/>
        <w:spacing w:after="0" w:line="255" w:lineRule="auto"/>
        <w:tabs>
          <w:tab w:leader="none" w:pos="93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conversion of shares pursuant to Section 2(d) hereto will be effected by the surrender of the certificate or certificates, duly endorsed, representing the shares to be converted at the principal office of the Corporation at any time during normal business hours, together with a written notice by the holder stating the number of shares that such holder desires to convert and the names or name in which he wishes the certificate or certificates for the Common Stock to be issued. Such conversion shall be deemed to have been effected as of the close of business on the date on which such certificate or certificates have been surrendered, and at such time, the rights of any such holder with respect to the converted shares of such holder will cease and the person or persons in whose name or names the certificate or certificates for shares are to be issued upon such conversion will be deemed to have become the holder or holders of record of such shares represented thereby.</w:t>
      </w:r>
    </w:p>
    <w:p>
      <w:pPr>
        <w:spacing w:after="0" w:line="81" w:lineRule="exact"/>
        <w:rPr>
          <w:sz w:val="20"/>
          <w:szCs w:val="20"/>
          <w:color w:val="auto"/>
        </w:rPr>
      </w:pPr>
    </w:p>
    <w:p>
      <w:pPr>
        <w:ind w:right="60" w:firstLine="450"/>
        <w:spacing w:after="0" w:line="266" w:lineRule="auto"/>
        <w:rPr>
          <w:sz w:val="20"/>
          <w:szCs w:val="20"/>
          <w:color w:val="auto"/>
        </w:rPr>
      </w:pPr>
      <w:r>
        <w:rPr>
          <w:rFonts w:ascii="Times New Roman" w:cs="Times New Roman" w:eastAsia="Times New Roman" w:hAnsi="Times New Roman"/>
          <w:sz w:val="18"/>
          <w:szCs w:val="18"/>
          <w:color w:val="auto"/>
        </w:rPr>
        <w:t>Promptly after such surrender, the Corporation will issue and deliver in accordance with the surrendering holder’s instructions the certificate or certificates for the Common Stock issuable upon such conversion and a certificate representing any Class A Stock which was represented by the certificate or certificates delivered to the Corporation in connection with such conversion, but which was not converted.</w:t>
      </w:r>
    </w:p>
    <w:p>
      <w:pPr>
        <w:spacing w:after="0" w:line="68" w:lineRule="exact"/>
        <w:rPr>
          <w:sz w:val="20"/>
          <w:szCs w:val="20"/>
          <w:color w:val="auto"/>
        </w:rPr>
      </w:pPr>
    </w:p>
    <w:p>
      <w:pPr>
        <w:ind w:right="120" w:firstLine="683"/>
        <w:spacing w:after="0" w:line="282"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certificates upon conversion of shares pursuant to Section 2(d) hereto will be made without charge to the holder or holders of such shares for any issuance tax (except stock transfer tax) in respect thereof or other costs incurred by the Corporation in connection therewith.</w:t>
      </w:r>
    </w:p>
    <w:p>
      <w:pPr>
        <w:spacing w:after="0" w:line="53" w:lineRule="exact"/>
        <w:rPr>
          <w:rFonts w:ascii="Times New Roman" w:cs="Times New Roman" w:eastAsia="Times New Roman" w:hAnsi="Times New Roman"/>
          <w:sz w:val="18"/>
          <w:szCs w:val="18"/>
          <w:color w:val="auto"/>
        </w:rPr>
      </w:pPr>
    </w:p>
    <w:p>
      <w:pPr>
        <w:ind w:right="60" w:firstLine="683"/>
        <w:spacing w:after="0" w:line="266"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reserve and keep available out of its authorized but unissued shares of Common Stock or its treasury shares, solely for the purpose of issuance upon the conversion of the Class A Stock, such number of shares of Common Stock as may be issued upon conversion, of all outstanding Class A Stock.</w:t>
      </w:r>
    </w:p>
    <w:p>
      <w:pPr>
        <w:spacing w:after="0" w:line="67" w:lineRule="exact"/>
        <w:rPr>
          <w:rFonts w:ascii="Times New Roman" w:cs="Times New Roman" w:eastAsia="Times New Roman" w:hAnsi="Times New Roman"/>
          <w:sz w:val="18"/>
          <w:szCs w:val="18"/>
          <w:color w:val="auto"/>
        </w:rPr>
      </w:pPr>
    </w:p>
    <w:p>
      <w:pPr>
        <w:ind w:right="660" w:firstLine="683"/>
        <w:spacing w:after="0" w:line="282" w:lineRule="auto"/>
        <w:tabs>
          <w:tab w:leader="none" w:pos="93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the Class A Stock surrendered for conversion as above provided or otherwise acquired by the corporation shall be cancelled according to law and shall not be reissued.</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ARTICLE V</w:t>
      </w:r>
    </w:p>
    <w:p>
      <w:pPr>
        <w:spacing w:after="0" w:line="1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DESIGNATION OF SECRETARY OF STATE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 AGENT FOR SERVICE OF PROCESS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Secretary of State is designated as agent of the Corporation upon whom process against it may be served. The post office address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 of State shall mail a copy of any process against the Corporation served upon him 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Tarrytown, New York 10591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Secretary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BOARD OF DIRECTORS</w:t>
      </w:r>
    </w:p>
    <w:p>
      <w:pPr>
        <w:spacing w:after="0" w:line="117" w:lineRule="exact"/>
        <w:rPr>
          <w:sz w:val="20"/>
          <w:szCs w:val="20"/>
          <w:color w:val="auto"/>
        </w:rPr>
      </w:pPr>
    </w:p>
    <w:p>
      <w:pPr>
        <w:ind w:right="40" w:firstLine="447"/>
        <w:spacing w:after="0" w:line="261" w:lineRule="auto"/>
        <w:rPr>
          <w:sz w:val="20"/>
          <w:szCs w:val="20"/>
          <w:color w:val="auto"/>
        </w:rPr>
      </w:pPr>
      <w:r>
        <w:rPr>
          <w:rFonts w:ascii="Times New Roman" w:cs="Times New Roman" w:eastAsia="Times New Roman" w:hAnsi="Times New Roman"/>
          <w:sz w:val="18"/>
          <w:szCs w:val="18"/>
          <w:color w:val="auto"/>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spacing w:after="0" w:line="72"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Commencing at the Annual Meeting of Shareholders held in 1991, the terms of office of the Board of Directors shall be divided into three classes, Class I, Class II and Class III, as shall be determined by the Board of Directors. All classes shall be as nearly equal in number as possible, and no class shall include less than three nor more than nine Directors. 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 office, or by a sole remaining Director. Directors elected to fill a newly created directorship or other vacancies shall be classified and hold office as provided by statute.</w:t>
      </w:r>
    </w:p>
    <w:p>
      <w:pPr>
        <w:spacing w:after="0" w:line="79" w:lineRule="exact"/>
        <w:rPr>
          <w:sz w:val="20"/>
          <w:szCs w:val="20"/>
          <w:color w:val="auto"/>
        </w:rPr>
      </w:pPr>
    </w:p>
    <w:p>
      <w:pPr>
        <w:ind w:right="80" w:firstLine="447"/>
        <w:spacing w:after="0" w:line="258" w:lineRule="auto"/>
        <w:rPr>
          <w:sz w:val="20"/>
          <w:szCs w:val="20"/>
          <w:color w:val="auto"/>
        </w:rPr>
      </w:pPr>
      <w:r>
        <w:rPr>
          <w:rFonts w:ascii="Times New Roman" w:cs="Times New Roman" w:eastAsia="Times New Roman" w:hAnsi="Times New Roman"/>
          <w:sz w:val="18"/>
          <w:szCs w:val="18"/>
          <w:color w:val="auto"/>
        </w:rPr>
        <w:t>The terms of office of the respective classes of directors initially classified shall be as follows: (1) Class I shall expire at the Annual Meeting of Shareholders to be held in 1992; (2) Class II shall expire at the Annual Meeting of Shareholders to be held in 1993; and (3) Class III shall expire at the Annual Meeting of Shareholders to be held in 1994. At each Annual Meeting of Shareholders after the aforementioned initial classification, the successors to Directors whose terms shall then expire shall be elected to serve from the time of election and qualification until the third Annual Meeting following election and until a successor shall have been duly elected and shall have qualified.</w:t>
      </w:r>
    </w:p>
    <w:p>
      <w:pPr>
        <w:spacing w:after="0" w:line="75" w:lineRule="exact"/>
        <w:rPr>
          <w:sz w:val="20"/>
          <w:szCs w:val="20"/>
          <w:color w:val="auto"/>
        </w:rPr>
      </w:pPr>
    </w:p>
    <w:p>
      <w:pPr>
        <w:ind w:right="220" w:firstLine="447"/>
        <w:spacing w:after="0" w:line="261" w:lineRule="auto"/>
        <w:rPr>
          <w:sz w:val="20"/>
          <w:szCs w:val="20"/>
          <w:color w:val="auto"/>
        </w:rPr>
      </w:pPr>
      <w:r>
        <w:rPr>
          <w:rFonts w:ascii="Times New Roman" w:cs="Times New Roman" w:eastAsia="Times New Roman" w:hAnsi="Times New Roman"/>
          <w:sz w:val="18"/>
          <w:szCs w:val="18"/>
          <w:color w:val="auto"/>
        </w:rPr>
        <w:t>The Directors of any class of Directors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 Annual Meeting of Shareholders or at any Special Meeting of Shareholders called by the Board of Directors or by the Chairman of the Board or by the President for this purpose.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LIMITATION OF DIRECTOR AND OFFICER LIABILITY</w:t>
      </w:r>
    </w:p>
    <w:p>
      <w:pPr>
        <w:spacing w:after="0" w:line="117" w:lineRule="exact"/>
        <w:rPr>
          <w:sz w:val="20"/>
          <w:szCs w:val="20"/>
          <w:color w:val="auto"/>
        </w:rPr>
      </w:pPr>
    </w:p>
    <w:p>
      <w:pPr>
        <w:ind w:right="40" w:firstLine="447"/>
        <w:spacing w:after="0" w:line="261" w:lineRule="auto"/>
        <w:rPr>
          <w:sz w:val="20"/>
          <w:szCs w:val="20"/>
          <w:color w:val="auto"/>
        </w:rPr>
      </w:pPr>
      <w:r>
        <w:rPr>
          <w:rFonts w:ascii="Times New Roman" w:cs="Times New Roman" w:eastAsia="Times New Roman" w:hAnsi="Times New Roman"/>
          <w:sz w:val="18"/>
          <w:szCs w:val="18"/>
          <w:color w:val="auto"/>
        </w:rPr>
        <w:t>To the fullest extent now or hereafter permitted under the New York Business Corporation Law, no director or officer of the Corporation shall be personally liable to the Corporation or its shareholders for monetary damages for any breach of fiduciary duty in such capacity. No amendment or repeal of this Article 7 shall adversely affect any right or protection of any director or officer of the Corporation existing at the time of such amendment or repeal with respect to acts or omissions occurring prior to such amendment or repeal.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PREEMPTIVE RIGHTS</w:t>
      </w:r>
    </w:p>
    <w:p>
      <w:pPr>
        <w:sectPr>
          <w:pgSz w:w="11900" w:h="16838" w:orient="portrait"/>
          <w:cols w:equalWidth="0" w:num="1">
            <w:col w:w="11220"/>
          </w:cols>
          <w:pgMar w:left="320" w:top="1440" w:right="359" w:bottom="1440" w:gutter="0" w:footer="0" w:header="0"/>
        </w:sectPr>
      </w:pPr>
    </w:p>
    <w:bookmarkStart w:id="96" w:name="page97"/>
    <w:bookmarkEnd w:id="96"/>
    <w:p>
      <w:pPr>
        <w:spacing w:after="0" w:line="153" w:lineRule="exact"/>
        <w:rPr>
          <w:sz w:val="20"/>
          <w:szCs w:val="20"/>
          <w:color w:val="auto"/>
        </w:rPr>
      </w:pPr>
    </w:p>
    <w:p>
      <w:pPr>
        <w:ind w:firstLine="450"/>
        <w:spacing w:after="0" w:line="254" w:lineRule="auto"/>
        <w:rPr>
          <w:sz w:val="20"/>
          <w:szCs w:val="20"/>
          <w:color w:val="auto"/>
        </w:rPr>
      </w:pPr>
      <w:r>
        <w:rPr>
          <w:rFonts w:ascii="Times New Roman" w:cs="Times New Roman" w:eastAsia="Times New Roman" w:hAnsi="Times New Roman"/>
          <w:sz w:val="18"/>
          <w:szCs w:val="18"/>
          <w:color w:val="auto"/>
        </w:rPr>
        <w:t>No holder of Common Shares, or preferred stock of any designation or series shall, as such holder, have any right to purchase or subscribe for (i) any stock of any class, or any warrant or warrants, option or options, or other instrument or instruments that shall confer upon the holder or holders thereof the right to subscribe for or purchase or receive from the Corporation any stock of any class or classes which the Corporation may issue or sell, whether or not such stock shall be convertible into or exchangeable for any other stock of the Corporation of any class or classes and whether or not such stock shall be unissued shares authorized by the Certificate of Incorporation or by any amendment thereto or shares of stock of the Corporation acquired by it after the issuance thereof, or (ii) any obligation which the Corporation may issue or sell that shall be convertible into or exchangeable for any shares of stock of the Corporation of any class or classes, or to which shall be attached or appurtenant to any warrant or warrants, option or options or other instrument or instruments that shall confer upon the holder or holders of such obligation the right to subscribe for or purchase or receive from the Corporation any shares of its stock of any class or classes.</w:t>
      </w:r>
    </w:p>
    <w:p>
      <w:pPr>
        <w:spacing w:after="0" w:line="80"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Upon any issuance for money or other consideration of any stock of the Corporation that may be authorized from time to time, no holder of stock, irrespective of the kind of such stock, shall have any preemptive or other right to subscribe for, purchase or receive any proportionate or other share of the stock so issued, and the Board of Directors may dispose of all or any portion of such stock as and when it may determine free of any such rights, whether by offering the same to shareholders or by sale or other disposition as said Board may deem advisable.”</w:t>
      </w:r>
    </w:p>
    <w:p>
      <w:pPr>
        <w:spacing w:after="0" w:line="72"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IN WITNESS WHEREOF, this Restated Certificate of Incorporation has been signed as of the 25</w:t>
      </w:r>
      <w:r>
        <w:rPr>
          <w:rFonts w:ascii="Times New Roman" w:cs="Times New Roman" w:eastAsia="Times New Roman" w:hAnsi="Times New Roman"/>
          <w:sz w:val="9"/>
          <w:szCs w:val="9"/>
          <w:color w:val="auto"/>
        </w:rPr>
        <w:t>th</w:t>
      </w:r>
      <w:r>
        <w:rPr>
          <w:rFonts w:ascii="Times New Roman" w:cs="Times New Roman" w:eastAsia="Times New Roman" w:hAnsi="Times New Roman"/>
          <w:sz w:val="18"/>
          <w:szCs w:val="18"/>
          <w:color w:val="auto"/>
        </w:rPr>
        <w:t xml:space="preserve"> day of January, 2008, and affirmed that the statements made herein are true under penalties of perjury.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Leonard S. Schleifer,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u w:val="single" w:color="auto"/>
          <w:color w:val="auto"/>
        </w:rPr>
        <w:t>/s/ Stuart A. Kolinski</w:t>
      </w:r>
    </w:p>
    <w:p>
      <w:pPr>
        <w:spacing w:after="0" w:line="9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Stuart A. Kolinski, Secretary</w:t>
      </w:r>
    </w:p>
    <w:p>
      <w:pPr>
        <w:sectPr>
          <w:pgSz w:w="11900" w:h="16838" w:orient="portrait"/>
          <w:cols w:equalWidth="0" w:num="1">
            <w:col w:w="11180"/>
          </w:cols>
          <w:pgMar w:left="320" w:top="1440" w:right="399" w:bottom="1440" w:gutter="0" w:footer="0" w:header="0"/>
        </w:sectPr>
      </w:pPr>
    </w:p>
    <w:bookmarkStart w:id="97" w:name="page98"/>
    <w:bookmarkEnd w:id="97"/>
    <w:p>
      <w:pPr>
        <w:ind w:left="10180"/>
        <w:spacing w:after="0"/>
        <w:rPr>
          <w:sz w:val="20"/>
          <w:szCs w:val="20"/>
          <w:color w:val="auto"/>
        </w:rPr>
      </w:pPr>
      <w:r>
        <w:rPr>
          <w:rFonts w:ascii="Times New Roman" w:cs="Times New Roman" w:eastAsia="Times New Roman" w:hAnsi="Times New Roman"/>
          <w:sz w:val="21"/>
          <w:szCs w:val="21"/>
          <w:color w:val="auto"/>
        </w:rPr>
        <w:t>Exhibit 10.1</w:t>
      </w:r>
    </w:p>
    <w:p>
      <w:pPr>
        <w:spacing w:after="0" w:line="258" w:lineRule="exact"/>
        <w:rPr>
          <w:sz w:val="20"/>
          <w:szCs w:val="20"/>
          <w:color w:val="auto"/>
        </w:rPr>
      </w:pPr>
    </w:p>
    <w:p>
      <w:pPr>
        <w:jc w:val="center"/>
        <w:spacing w:after="0" w:line="263" w:lineRule="auto"/>
        <w:rPr>
          <w:sz w:val="20"/>
          <w:szCs w:val="20"/>
          <w:color w:val="auto"/>
        </w:rPr>
      </w:pPr>
      <w:r>
        <w:rPr>
          <w:rFonts w:ascii="Times New Roman" w:cs="Times New Roman" w:eastAsia="Times New Roman" w:hAnsi="Times New Roman"/>
          <w:sz w:val="22"/>
          <w:szCs w:val="22"/>
          <w:color w:val="auto"/>
        </w:rPr>
        <w:t>CERTAIN INFORMATION IN THIS DOCUMENT, MARKED BY [***], HAS BEEN EXCLUDED PURSUANT TO REGULATION S-K, ITEM 601(b)(10)(iv).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AMENDMENT NO. 2 TO AMENDED AND RESTATED LICENSE AND COLLABORATION AGREEMENT</w:t>
      </w:r>
    </w:p>
    <w:p>
      <w:pPr>
        <w:spacing w:after="0" w:line="233" w:lineRule="exact"/>
        <w:rPr>
          <w:sz w:val="20"/>
          <w:szCs w:val="20"/>
          <w:color w:val="auto"/>
        </w:rPr>
      </w:pPr>
    </w:p>
    <w:p>
      <w:pPr>
        <w:ind w:right="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AMENDMENT NO. 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Second Amendment</w:t>
      </w:r>
      <w:r>
        <w:rPr>
          <w:rFonts w:ascii="Times New Roman" w:cs="Times New Roman" w:eastAsia="Times New Roman" w:hAnsi="Times New Roman"/>
          <w:sz w:val="22"/>
          <w:szCs w:val="22"/>
          <w:color w:val="auto"/>
        </w:rPr>
        <w:t xml:space="preserve">") to that certain </w:t>
      </w:r>
      <w:r>
        <w:rPr>
          <w:rFonts w:ascii="Times New Roman" w:cs="Times New Roman" w:eastAsia="Times New Roman" w:hAnsi="Times New Roman"/>
          <w:sz w:val="22"/>
          <w:szCs w:val="22"/>
          <w:b w:val="1"/>
          <w:bCs w:val="1"/>
          <w:color w:val="auto"/>
        </w:rPr>
        <w:t>AMENDED AND RESTATED LICENSE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AND COLLABORATION AGREEMENT </w:t>
      </w:r>
      <w:r>
        <w:rPr>
          <w:rFonts w:ascii="Times New Roman" w:cs="Times New Roman" w:eastAsia="Times New Roman" w:hAnsi="Times New Roman"/>
          <w:sz w:val="22"/>
          <w:szCs w:val="22"/>
          <w:color w:val="auto"/>
        </w:rPr>
        <w:t>by and between Sanofi Biotechnology SAS, a société par actions simplifee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organized under the laws of France, as successor-in-interest to Aventis Pharmaceuticals, Inc. ("</w:t>
      </w:r>
      <w:r>
        <w:rPr>
          <w:rFonts w:ascii="Times New Roman" w:cs="Times New Roman" w:eastAsia="Times New Roman" w:hAnsi="Times New Roman"/>
          <w:sz w:val="22"/>
          <w:szCs w:val="22"/>
          <w:u w:val="single" w:color="auto"/>
          <w:color w:val="auto"/>
        </w:rPr>
        <w:t>Sanofi</w:t>
      </w:r>
      <w:r>
        <w:rPr>
          <w:rFonts w:ascii="Times New Roman" w:cs="Times New Roman" w:eastAsia="Times New Roman" w:hAnsi="Times New Roman"/>
          <w:sz w:val="22"/>
          <w:szCs w:val="22"/>
          <w:color w:val="auto"/>
        </w:rPr>
        <w:t>"), sanofi-aventis Amerique du Nord, a partnership organized under the laws of France ("</w:t>
      </w:r>
      <w:r>
        <w:rPr>
          <w:rFonts w:ascii="Times New Roman" w:cs="Times New Roman" w:eastAsia="Times New Roman" w:hAnsi="Times New Roman"/>
          <w:sz w:val="22"/>
          <w:szCs w:val="22"/>
          <w:u w:val="single" w:color="auto"/>
          <w:color w:val="auto"/>
        </w:rPr>
        <w:t>Sanofi Amerique</w:t>
      </w:r>
      <w:r>
        <w:rPr>
          <w:rFonts w:ascii="Times New Roman" w:cs="Times New Roman" w:eastAsia="Times New Roman" w:hAnsi="Times New Roman"/>
          <w:sz w:val="22"/>
          <w:szCs w:val="22"/>
          <w:color w:val="auto"/>
        </w:rPr>
        <w:t>") and Regeneron Pharmaceuticals, Inc., a corporation organized under the laws of the State of New York ("</w:t>
      </w:r>
      <w:r>
        <w:rPr>
          <w:rFonts w:ascii="Times New Roman" w:cs="Times New Roman" w:eastAsia="Times New Roman" w:hAnsi="Times New Roman"/>
          <w:sz w:val="22"/>
          <w:szCs w:val="22"/>
          <w:u w:val="single" w:color="auto"/>
          <w:color w:val="auto"/>
        </w:rPr>
        <w:t>Regeneron</w:t>
      </w:r>
      <w:r>
        <w:rPr>
          <w:rFonts w:ascii="Times New Roman" w:cs="Times New Roman" w:eastAsia="Times New Roman" w:hAnsi="Times New Roman"/>
          <w:sz w:val="22"/>
          <w:szCs w:val="22"/>
          <w:color w:val="auto"/>
        </w:rPr>
        <w:t>") effective as of November 10, 2009 and amended as of May 1, 2013 (the "</w:t>
      </w:r>
      <w:r>
        <w:rPr>
          <w:rFonts w:ascii="Times New Roman" w:cs="Times New Roman" w:eastAsia="Times New Roman" w:hAnsi="Times New Roman"/>
          <w:sz w:val="22"/>
          <w:szCs w:val="22"/>
          <w:u w:val="single" w:color="auto"/>
          <w:color w:val="auto"/>
        </w:rPr>
        <w:t>Existing License and Collaboration Agreement</w:t>
      </w:r>
      <w:r>
        <w:rPr>
          <w:rFonts w:ascii="Times New Roman" w:cs="Times New Roman" w:eastAsia="Times New Roman" w:hAnsi="Times New Roman"/>
          <w:sz w:val="22"/>
          <w:szCs w:val="22"/>
          <w:color w:val="auto"/>
        </w:rPr>
        <w:t>"), dated as of July 1, 2015 and executed as of July 27, 2015, is by and between Sanofi and Regeneron. Capitalized terms used but not defined in this Second Amendment have the respective meanings set forth with respect thereto in the Existing License and Collaboration Agreement. Each of Sanofi and Regeneron may be referred to in this Second Amendment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connection with entering into that certain Immuno-Oncology License and Collaboration Agreement dated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July 1, 2015 (the "</w:t>
      </w:r>
      <w:r>
        <w:rPr>
          <w:rFonts w:ascii="Times New Roman" w:cs="Times New Roman" w:eastAsia="Times New Roman" w:hAnsi="Times New Roman"/>
          <w:sz w:val="22"/>
          <w:szCs w:val="22"/>
          <w:u w:val="single" w:color="auto"/>
          <w:color w:val="auto"/>
        </w:rPr>
        <w:t>IO License and Collaboration Agreement</w:t>
      </w:r>
      <w:r>
        <w:rPr>
          <w:rFonts w:ascii="Times New Roman" w:cs="Times New Roman" w:eastAsia="Times New Roman" w:hAnsi="Times New Roman"/>
          <w:sz w:val="22"/>
          <w:szCs w:val="22"/>
          <w:color w:val="auto"/>
        </w:rPr>
        <w:t>"), the Parties have agreed to certain amendments to the Existing License and Collaboration Agreement; and</w:t>
      </w:r>
    </w:p>
    <w:p>
      <w:pPr>
        <w:spacing w:after="0" w:line="161" w:lineRule="exact"/>
        <w:rPr>
          <w:sz w:val="20"/>
          <w:szCs w:val="20"/>
          <w:color w:val="auto"/>
        </w:rPr>
      </w:pPr>
    </w:p>
    <w:p>
      <w:pPr>
        <w:ind w:right="2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 accordance with Section 20.5 (</w:t>
      </w:r>
      <w:r>
        <w:rPr>
          <w:rFonts w:ascii="Times New Roman" w:cs="Times New Roman" w:eastAsia="Times New Roman" w:hAnsi="Times New Roman"/>
          <w:sz w:val="22"/>
          <w:szCs w:val="22"/>
          <w:i w:val="1"/>
          <w:iCs w:val="1"/>
          <w:color w:val="auto"/>
        </w:rPr>
        <w:t>Amendments</w:t>
      </w:r>
      <w:r>
        <w:rPr>
          <w:rFonts w:ascii="Times New Roman" w:cs="Times New Roman" w:eastAsia="Times New Roman" w:hAnsi="Times New Roman"/>
          <w:sz w:val="22"/>
          <w:szCs w:val="22"/>
          <w:color w:val="auto"/>
        </w:rPr>
        <w:t>) of the Existing License and Collaboration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desire to memorialize such amendments in this Second Amendment.</w:t>
      </w:r>
    </w:p>
    <w:p>
      <w:pPr>
        <w:spacing w:after="0" w:line="149" w:lineRule="exact"/>
        <w:rPr>
          <w:sz w:val="20"/>
          <w:szCs w:val="20"/>
          <w:color w:val="auto"/>
        </w:rPr>
      </w:pPr>
    </w:p>
    <w:p>
      <w:pPr>
        <w:ind w:right="180"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premises, the mutual promises and covenants of the Parties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contained herein, and other good and valuable consideration, the receipt and sufficiency of which are hereby acknowledged, the Parties, intending to be legally bound, do hereby agree as follows:</w:t>
      </w:r>
    </w:p>
    <w:p>
      <w:pPr>
        <w:spacing w:after="0" w:line="13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 to Definitions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right="200" w:firstLine="656"/>
        <w:spacing w:after="0" w:line="225" w:lineRule="auto"/>
        <w:tabs>
          <w:tab w:leader="none" w:pos="1293"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the "Discovery Agreement" in the Existing License and Collaboration Agreement shall be deemed to refer to such Discovery Agreement, as the same may be amended from time-to-time, including by the amendment agreement between Sanofi and Regeneron of even date herewith.</w:t>
      </w:r>
    </w:p>
    <w:p>
      <w:pPr>
        <w:spacing w:after="0" w:line="152" w:lineRule="exact"/>
        <w:rPr>
          <w:rFonts w:ascii="Times New Roman" w:cs="Times New Roman" w:eastAsia="Times New Roman" w:hAnsi="Times New Roman"/>
          <w:sz w:val="22"/>
          <w:szCs w:val="22"/>
          <w:color w:val="auto"/>
        </w:rPr>
      </w:pPr>
    </w:p>
    <w:p>
      <w:pPr>
        <w:ind w:right="500" w:firstLine="656"/>
        <w:spacing w:after="0" w:line="236" w:lineRule="auto"/>
        <w:tabs>
          <w:tab w:leader="none" w:pos="129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Indication</w:t>
      </w:r>
      <w:r>
        <w:rPr>
          <w:rFonts w:ascii="Times New Roman" w:cs="Times New Roman" w:eastAsia="Times New Roman" w:hAnsi="Times New Roman"/>
          <w:sz w:val="22"/>
          <w:szCs w:val="22"/>
          <w:color w:val="auto"/>
        </w:rPr>
        <w:t>" in Section 1.59 of the Existing License and Collaboration Agreement is hereby amended and restated in its entirety to read as follows: "'</w:t>
      </w:r>
      <w:r>
        <w:rPr>
          <w:rFonts w:ascii="Times New Roman" w:cs="Times New Roman" w:eastAsia="Times New Roman" w:hAnsi="Times New Roman"/>
          <w:sz w:val="22"/>
          <w:szCs w:val="22"/>
          <w:u w:val="single" w:color="auto"/>
          <w:color w:val="auto"/>
        </w:rPr>
        <w:t>Indication</w:t>
      </w:r>
      <w:r>
        <w:rPr>
          <w:rFonts w:ascii="Times New Roman" w:cs="Times New Roman" w:eastAsia="Times New Roman" w:hAnsi="Times New Roman"/>
          <w:sz w:val="22"/>
          <w:szCs w:val="22"/>
          <w:color w:val="auto"/>
        </w:rPr>
        <w:t>' means any disease, state or condition."</w:t>
      </w:r>
    </w:p>
    <w:p>
      <w:pPr>
        <w:sectPr>
          <w:pgSz w:w="11900" w:h="16838" w:orient="portrait"/>
          <w:cols w:equalWidth="0" w:num="1">
            <w:col w:w="11240"/>
          </w:cols>
          <w:pgMar w:left="320" w:top="126"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definitions are hereby added to the Existing License and Collaboration Agreement as Sections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1.126, 1.127, 1.128, 1.129, 1.130, and 1.131 respectively:</w:t>
      </w:r>
    </w:p>
    <w:p>
      <w:pPr>
        <w:spacing w:after="0" w:line="182" w:lineRule="exact"/>
        <w:rPr>
          <w:sz w:val="20"/>
          <w:szCs w:val="20"/>
          <w:color w:val="auto"/>
        </w:rPr>
      </w:pPr>
    </w:p>
    <w:p>
      <w:pPr>
        <w:jc w:val="both"/>
        <w:ind w:left="660" w:right="460"/>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'Ancillary Collaboration Agreements</w:t>
      </w:r>
      <w:r>
        <w:rPr>
          <w:rFonts w:ascii="Times New Roman" w:cs="Times New Roman" w:eastAsia="Times New Roman" w:hAnsi="Times New Roman"/>
          <w:sz w:val="22"/>
          <w:szCs w:val="22"/>
          <w:color w:val="auto"/>
        </w:rPr>
        <w:t>' shall mean the Existing Discovery Agreement, the IO Discovery Agreement and the IO License and Collaboration Agreement."</w:t>
      </w:r>
    </w:p>
    <w:p>
      <w:pPr>
        <w:jc w:val="both"/>
        <w:ind w:left="660" w:right="460"/>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IO Discovery Agreement</w:t>
      </w:r>
      <w:r>
        <w:rPr>
          <w:rFonts w:ascii="Times New Roman" w:cs="Times New Roman" w:eastAsia="Times New Roman" w:hAnsi="Times New Roman"/>
          <w:sz w:val="22"/>
          <w:szCs w:val="22"/>
          <w:color w:val="auto"/>
        </w:rPr>
        <w:t>' shall mean the Immuno-Oncology Discovery and Development Agreement by and between Sanofi and Regeneron, dated as of July 1, 2015, as the same may be amended from time-to-time."</w:t>
      </w:r>
    </w:p>
    <w:p>
      <w:pPr>
        <w:spacing w:after="0" w:line="1" w:lineRule="exact"/>
        <w:rPr>
          <w:sz w:val="20"/>
          <w:szCs w:val="20"/>
          <w:color w:val="auto"/>
        </w:rPr>
      </w:pPr>
    </w:p>
    <w:p>
      <w:pPr>
        <w:jc w:val="both"/>
        <w:ind w:left="660" w:right="44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IO Discovery Program Antibody</w:t>
      </w:r>
      <w:r>
        <w:rPr>
          <w:rFonts w:ascii="Times New Roman" w:cs="Times New Roman" w:eastAsia="Times New Roman" w:hAnsi="Times New Roman"/>
          <w:sz w:val="22"/>
          <w:szCs w:val="22"/>
          <w:color w:val="auto"/>
        </w:rPr>
        <w:t>' shall have the meaning ascribed to such term in the IO Discovery Agreement." "'</w:t>
      </w:r>
      <w:r>
        <w:rPr>
          <w:rFonts w:ascii="Times New Roman" w:cs="Times New Roman" w:eastAsia="Times New Roman" w:hAnsi="Times New Roman"/>
          <w:sz w:val="22"/>
          <w:szCs w:val="22"/>
          <w:u w:val="single" w:color="auto"/>
          <w:color w:val="auto"/>
        </w:rPr>
        <w:t>IO License and Collaboration Agreement</w:t>
      </w:r>
      <w:r>
        <w:rPr>
          <w:rFonts w:ascii="Times New Roman" w:cs="Times New Roman" w:eastAsia="Times New Roman" w:hAnsi="Times New Roman"/>
          <w:sz w:val="22"/>
          <w:szCs w:val="22"/>
          <w:color w:val="auto"/>
        </w:rPr>
        <w:t>' shall mean the Immuno-Oncology License and Collaboration Agreement by and between Sanofi and Regeneron, dated as of July 1, 2015, as the same may be amended from time-to-time."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IO Licensed Product</w:t>
      </w:r>
      <w:r>
        <w:rPr>
          <w:rFonts w:ascii="Times New Roman" w:cs="Times New Roman" w:eastAsia="Times New Roman" w:hAnsi="Times New Roman"/>
          <w:sz w:val="22"/>
          <w:szCs w:val="22"/>
          <w:color w:val="auto"/>
        </w:rPr>
        <w:t>' shall have the meaning ascribed to such term in the IO License and Collaboration</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Agreement."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p>
    <w:p>
      <w:pPr>
        <w:spacing w:after="0" w:line="165" w:lineRule="exact"/>
        <w:rPr>
          <w:sz w:val="20"/>
          <w:szCs w:val="20"/>
          <w:color w:val="auto"/>
        </w:rPr>
      </w:pPr>
    </w:p>
    <w:p>
      <w:pPr>
        <w:ind w:firstLine="8"/>
        <w:spacing w:after="0" w:line="227" w:lineRule="auto"/>
        <w:tabs>
          <w:tab w:leader="none" w:pos="64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Article II (Collaboration)</w:t>
      </w:r>
      <w:r>
        <w:rPr>
          <w:rFonts w:ascii="Times New Roman" w:cs="Times New Roman" w:eastAsia="Times New Roman" w:hAnsi="Times New Roman"/>
          <w:sz w:val="22"/>
          <w:szCs w:val="22"/>
          <w:color w:val="auto"/>
        </w:rPr>
        <w:t>. Section 2.6(a) (</w:t>
      </w:r>
      <w:r>
        <w:rPr>
          <w:rFonts w:ascii="Times New Roman" w:cs="Times New Roman" w:eastAsia="Times New Roman" w:hAnsi="Times New Roman"/>
          <w:sz w:val="22"/>
          <w:szCs w:val="22"/>
          <w:i w:val="1"/>
          <w:iCs w:val="1"/>
          <w:color w:val="auto"/>
        </w:rPr>
        <w:t>Non-Compete</w:t>
      </w:r>
      <w:r>
        <w:rPr>
          <w:rFonts w:ascii="Times New Roman" w:cs="Times New Roman" w:eastAsia="Times New Roman" w:hAnsi="Times New Roman"/>
          <w:sz w:val="22"/>
          <w:szCs w:val="22"/>
          <w:color w:val="auto"/>
        </w:rPr>
        <w:t>) of the Existing License and Collaboration Agreement is hereby amended as follows (inserted language underlined and in italics and deleted language in strikethrough text for ease of reference):</w:t>
      </w:r>
    </w:p>
    <w:p>
      <w:pPr>
        <w:spacing w:after="0" w:line="177" w:lineRule="exact"/>
        <w:rPr>
          <w:sz w:val="20"/>
          <w:szCs w:val="20"/>
          <w:color w:val="auto"/>
        </w:rPr>
      </w:pPr>
    </w:p>
    <w:p>
      <w:pPr>
        <w:jc w:val="both"/>
        <w:ind w:left="660" w:right="460"/>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 xml:space="preserve">. Without limitation of and in addition and subject to Section 2.8 of the Discovery Agreement, during the Term, except as set forth in this Agreement </w:t>
      </w:r>
      <w:r>
        <w:rPr>
          <w:rFonts w:ascii="Times New Roman" w:cs="Times New Roman" w:eastAsia="Times New Roman" w:hAnsi="Times New Roman"/>
          <w:sz w:val="22"/>
          <w:szCs w:val="22"/>
          <w:i w:val="1"/>
          <w:iCs w:val="1"/>
          <w:u w:val="single" w:color="auto"/>
          <w:color w:val="auto"/>
        </w:rPr>
        <w:t>(including in Section 5.7)</w:t>
      </w:r>
      <w:r>
        <w:rPr>
          <w:rFonts w:ascii="Times New Roman" w:cs="Times New Roman" w:eastAsia="Times New Roman" w:hAnsi="Times New Roman"/>
          <w:sz w:val="22"/>
          <w:szCs w:val="22"/>
          <w:color w:val="auto"/>
        </w:rPr>
        <w:t xml:space="preserve"> or Section 2.8 </w:t>
      </w:r>
      <w:r>
        <w:rPr>
          <w:rFonts w:ascii="Times New Roman" w:cs="Times New Roman" w:eastAsia="Times New Roman" w:hAnsi="Times New Roman"/>
          <w:sz w:val="22"/>
          <w:szCs w:val="22"/>
          <w:i w:val="1"/>
          <w:iCs w:val="1"/>
          <w:u w:val="single" w:color="auto"/>
          <w:color w:val="auto"/>
        </w:rPr>
        <w:t>or Section 5.7</w:t>
      </w:r>
      <w:r>
        <w:rPr>
          <w:rFonts w:ascii="Times New Roman" w:cs="Times New Roman" w:eastAsia="Times New Roman" w:hAnsi="Times New Roman"/>
          <w:sz w:val="22"/>
          <w:szCs w:val="22"/>
          <w:color w:val="auto"/>
        </w:rPr>
        <w:t xml:space="preserve"> of the Discovery Agreement, neither Party nor any of its Affiliates, either alone or through any Third Party, shall </w:t>
      </w:r>
      <w:r>
        <w:rPr>
          <w:rFonts w:ascii="Times New Roman" w:cs="Times New Roman" w:eastAsia="Times New Roman" w:hAnsi="Times New Roman"/>
          <w:sz w:val="22"/>
          <w:szCs w:val="22"/>
          <w:color w:val="auto"/>
          <w:strike w:val="1"/>
        </w:rPr>
        <w:t>D</w:t>
      </w:r>
      <w:r>
        <w:rPr>
          <w:rFonts w:ascii="Times New Roman" w:cs="Times New Roman" w:eastAsia="Times New Roman" w:hAnsi="Times New Roman"/>
          <w:sz w:val="22"/>
          <w:szCs w:val="22"/>
          <w:i w:val="1"/>
          <w:iCs w:val="1"/>
          <w:u w:val="single" w:color="auto"/>
          <w:color w:val="auto"/>
        </w:rPr>
        <w:t>d</w:t>
      </w:r>
      <w:r>
        <w:rPr>
          <w:rFonts w:ascii="Times New Roman" w:cs="Times New Roman" w:eastAsia="Times New Roman" w:hAnsi="Times New Roman"/>
          <w:sz w:val="22"/>
          <w:szCs w:val="22"/>
          <w:color w:val="auto"/>
        </w:rPr>
        <w:t xml:space="preserve">evelop or </w:t>
      </w:r>
      <w:r>
        <w:rPr>
          <w:rFonts w:ascii="Times New Roman" w:cs="Times New Roman" w:eastAsia="Times New Roman" w:hAnsi="Times New Roman"/>
          <w:sz w:val="22"/>
          <w:szCs w:val="22"/>
          <w:color w:val="auto"/>
          <w:strike w:val="1"/>
        </w:rPr>
        <w:t>C</w:t>
      </w:r>
      <w:r>
        <w:rPr>
          <w:rFonts w:ascii="Times New Roman" w:cs="Times New Roman" w:eastAsia="Times New Roman" w:hAnsi="Times New Roman"/>
          <w:sz w:val="22"/>
          <w:szCs w:val="22"/>
          <w:i w:val="1"/>
          <w:iCs w:val="1"/>
          <w:u w:val="single" w:color="auto"/>
          <w:color w:val="auto"/>
        </w:rPr>
        <w:t>c</w:t>
      </w:r>
      <w:r>
        <w:rPr>
          <w:rFonts w:ascii="Times New Roman" w:cs="Times New Roman" w:eastAsia="Times New Roman" w:hAnsi="Times New Roman"/>
          <w:sz w:val="22"/>
          <w:szCs w:val="22"/>
          <w:color w:val="auto"/>
        </w:rPr>
        <w:t>ommercialize any Competing Product."</w:t>
      </w:r>
    </w:p>
    <w:p>
      <w:pPr>
        <w:spacing w:after="0" w:line="149" w:lineRule="exact"/>
        <w:rPr>
          <w:sz w:val="20"/>
          <w:szCs w:val="20"/>
          <w:color w:val="auto"/>
        </w:rPr>
      </w:pPr>
    </w:p>
    <w:p>
      <w:pPr>
        <w:ind w:right="260" w:firstLine="8"/>
        <w:spacing w:after="0" w:line="236" w:lineRule="auto"/>
        <w:tabs>
          <w:tab w:leader="none" w:pos="64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Article V (Development)</w:t>
      </w:r>
      <w:r>
        <w:rPr>
          <w:rFonts w:ascii="Times New Roman" w:cs="Times New Roman" w:eastAsia="Times New Roman" w:hAnsi="Times New Roman"/>
          <w:sz w:val="22"/>
          <w:szCs w:val="22"/>
          <w:color w:val="auto"/>
        </w:rPr>
        <w:t>. The following new Section 5.7 is hereby added to Article V of the Existing License and Collaboration Agreement as the final section of such Article: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"5.7 Combination Therapies.</w:t>
      </w:r>
    </w:p>
    <w:p>
      <w:pPr>
        <w:spacing w:after="0" w:line="220" w:lineRule="exact"/>
        <w:rPr>
          <w:sz w:val="20"/>
          <w:szCs w:val="20"/>
          <w:color w:val="auto"/>
        </w:rPr>
      </w:pPr>
    </w:p>
    <w:p>
      <w:pPr>
        <w:jc w:val="both"/>
        <w:ind w:left="660" w:right="440" w:hanging="4"/>
        <w:spacing w:after="0" w:line="273" w:lineRule="auto"/>
        <w:tabs>
          <w:tab w:leader="none" w:pos="95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development of any Licensed Product for use with an "IO Discovery Program Antibody" (as defined in the IO Discovery Agreement) shall be permitted under this Agreement and governed by the terms of Section 2.10(b)</w:t>
      </w:r>
    </w:p>
    <w:p>
      <w:pPr>
        <w:spacing w:after="0" w:line="1" w:lineRule="exact"/>
        <w:rPr>
          <w:rFonts w:ascii="Times New Roman" w:cs="Times New Roman" w:eastAsia="Times New Roman" w:hAnsi="Times New Roman"/>
          <w:sz w:val="21"/>
          <w:szCs w:val="21"/>
          <w:color w:val="auto"/>
        </w:rPr>
      </w:pPr>
    </w:p>
    <w:p>
      <w:pPr>
        <w:jc w:val="both"/>
        <w:ind w:left="660" w:right="460" w:hanging="4"/>
        <w:spacing w:after="0" w:line="245" w:lineRule="auto"/>
        <w:tabs>
          <w:tab w:leader="none" w:pos="101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IO Discovery Agreement. The development of any Licensed Product for use with an IO Licensed Product shall be permitted under this Agreement and governed by the terms of Section 5.6(d)(i) of the IO License and Collaboration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40"/>
          </w:cols>
          <w:pgMar w:left="320" w:top="1440" w:right="539" w:bottom="1440" w:gutter="0" w:footer="0" w:header="0"/>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52" w:right="140" w:hanging="4"/>
        <w:spacing w:after="0" w:line="284" w:lineRule="auto"/>
        <w:tabs>
          <w:tab w:leader="none" w:pos="97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Parties do not agree to the development of any Licensed Product for use with an IO Licensed Product that is proposed by [***], then, notwithstanding anything to the contrary herein, [***] may [***].</w:t>
      </w:r>
    </w:p>
    <w:p>
      <w:pPr>
        <w:spacing w:after="0" w:line="143" w:lineRule="exact"/>
        <w:rPr>
          <w:rFonts w:ascii="Times New Roman" w:cs="Times New Roman" w:eastAsia="Times New Roman" w:hAnsi="Times New Roman"/>
          <w:sz w:val="22"/>
          <w:szCs w:val="22"/>
          <w:color w:val="auto"/>
        </w:rPr>
      </w:pPr>
    </w:p>
    <w:p>
      <w:pPr>
        <w:ind w:left="652" w:right="160" w:hanging="4"/>
        <w:spacing w:after="0" w:line="295" w:lineRule="auto"/>
        <w:tabs>
          <w:tab w:leader="none" w:pos="955"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Parties do not agree to the development of any Licensed Product for use with an IO Discovery Program Antibody that is proposed by [***], then, notwithstanding anything to the contrary herein, [***] may [***]."</w:t>
      </w:r>
    </w:p>
    <w:p>
      <w:pPr>
        <w:spacing w:after="0" w:line="108" w:lineRule="exact"/>
        <w:rPr>
          <w:rFonts w:ascii="Times New Roman" w:cs="Times New Roman" w:eastAsia="Times New Roman" w:hAnsi="Times New Roman"/>
          <w:sz w:val="21"/>
          <w:szCs w:val="21"/>
          <w:color w:val="auto"/>
        </w:rPr>
      </w:pPr>
    </w:p>
    <w:p>
      <w:pPr>
        <w:ind w:left="-8" w:firstLine="8"/>
        <w:spacing w:after="0" w:line="236" w:lineRule="auto"/>
        <w:tabs>
          <w:tab w:leader="none" w:pos="6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Article IX (Periodic Reports; Payments)</w:t>
      </w:r>
      <w:r>
        <w:rPr>
          <w:rFonts w:ascii="Times New Roman" w:cs="Times New Roman" w:eastAsia="Times New Roman" w:hAnsi="Times New Roman"/>
          <w:sz w:val="22"/>
          <w:szCs w:val="22"/>
          <w:color w:val="auto"/>
        </w:rPr>
        <w:t>. The following sentence is hereby added to become the final sentence of Section 9.3 (</w:t>
      </w:r>
      <w:r>
        <w:rPr>
          <w:rFonts w:ascii="Times New Roman" w:cs="Times New Roman" w:eastAsia="Times New Roman" w:hAnsi="Times New Roman"/>
          <w:sz w:val="22"/>
          <w:szCs w:val="22"/>
          <w:i w:val="1"/>
          <w:iCs w:val="1"/>
          <w:color w:val="auto"/>
        </w:rPr>
        <w:t>Royalties</w:t>
      </w:r>
      <w:r>
        <w:rPr>
          <w:rFonts w:ascii="Times New Roman" w:cs="Times New Roman" w:eastAsia="Times New Roman" w:hAnsi="Times New Roman"/>
          <w:sz w:val="22"/>
          <w:szCs w:val="22"/>
          <w:color w:val="auto"/>
        </w:rPr>
        <w:t>) of the Existing License and Collaboration Agreement:</w:t>
      </w:r>
    </w:p>
    <w:p>
      <w:pPr>
        <w:spacing w:after="0" w:line="177" w:lineRule="exact"/>
        <w:rPr>
          <w:sz w:val="20"/>
          <w:szCs w:val="20"/>
          <w:color w:val="auto"/>
        </w:rPr>
      </w:pPr>
    </w:p>
    <w:p>
      <w:pPr>
        <w:jc w:val="both"/>
        <w:ind w:left="652" w:right="140"/>
        <w:spacing w:after="0" w:line="253" w:lineRule="auto"/>
        <w:rPr>
          <w:sz w:val="20"/>
          <w:szCs w:val="20"/>
          <w:color w:val="auto"/>
        </w:rPr>
      </w:pPr>
      <w:r>
        <w:rPr>
          <w:rFonts w:ascii="Times New Roman" w:cs="Times New Roman" w:eastAsia="Times New Roman" w:hAnsi="Times New Roman"/>
          <w:sz w:val="22"/>
          <w:szCs w:val="22"/>
          <w:color w:val="auto"/>
        </w:rPr>
        <w:t>"For the avoidance of doubt, no royalty or other payments shall be payable pursuant to Section 2.6(d) and 5.6 of this Agreement with respect to any product that is an "IO Licensed Product" or a "Special Termination Product" under the IO License and Collaboration Agreement. For the avoidance of doubt, neither Party shall owe any royalty or other payment to the other Party under this Agreement with respect to "REGN2810" (as defined in the IO License and Collaboration Agreement)."</w:t>
      </w:r>
    </w:p>
    <w:p>
      <w:pPr>
        <w:spacing w:after="0" w:line="152" w:lineRule="exact"/>
        <w:rPr>
          <w:sz w:val="20"/>
          <w:szCs w:val="20"/>
          <w:color w:val="auto"/>
        </w:rPr>
      </w:pPr>
    </w:p>
    <w:p>
      <w:pPr>
        <w:ind w:left="652" w:hanging="652"/>
        <w:spacing w:after="0"/>
        <w:tabs>
          <w:tab w:leader="none" w:pos="65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Article IX (Periodic Reports; 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 w:right="440" w:firstLine="656"/>
        <w:spacing w:after="0" w:line="236" w:lineRule="auto"/>
        <w:tabs>
          <w:tab w:leader="none" w:pos="1285"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9.13 is hereby added to Article IX of the Existing License and Collaboration Agreement as the penultimate section of such Article:</w:t>
      </w:r>
    </w:p>
    <w:p>
      <w:pPr>
        <w:spacing w:after="0" w:line="177" w:lineRule="exact"/>
        <w:rPr>
          <w:sz w:val="20"/>
          <w:szCs w:val="20"/>
          <w:color w:val="auto"/>
        </w:rPr>
      </w:pPr>
    </w:p>
    <w:p>
      <w:pPr>
        <w:jc w:val="both"/>
        <w:ind w:left="652" w:right="160"/>
        <w:spacing w:after="0" w:line="250" w:lineRule="auto"/>
        <w:rPr>
          <w:sz w:val="20"/>
          <w:szCs w:val="20"/>
          <w:color w:val="auto"/>
        </w:rPr>
      </w:pPr>
      <w:r>
        <w:rPr>
          <w:rFonts w:ascii="Times New Roman" w:cs="Times New Roman" w:eastAsia="Times New Roman" w:hAnsi="Times New Roman"/>
          <w:sz w:val="22"/>
          <w:szCs w:val="22"/>
          <w:color w:val="auto"/>
        </w:rPr>
        <w:t xml:space="preserve">"9.13 </w:t>
      </w:r>
      <w:r>
        <w:rPr>
          <w:rFonts w:ascii="Times New Roman" w:cs="Times New Roman" w:eastAsia="Times New Roman" w:hAnsi="Times New Roman"/>
          <w:sz w:val="22"/>
          <w:szCs w:val="22"/>
          <w:u w:val="single" w:color="auto"/>
          <w:color w:val="auto"/>
        </w:rPr>
        <w:t>Right to Offset Payments</w:t>
      </w:r>
      <w:r>
        <w:rPr>
          <w:rFonts w:ascii="Times New Roman" w:cs="Times New Roman" w:eastAsia="Times New Roman" w:hAnsi="Times New Roman"/>
          <w:sz w:val="22"/>
          <w:szCs w:val="22"/>
          <w:color w:val="auto"/>
        </w:rPr>
        <w:t xml:space="preserve">. Subject to Section 9.10, each Party shall have the right to offset any amount owed by the other Party to such first Party under or in connection with this Agreement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including pursuant to this Article IX or in connection with any breach, against any payments owed by such first Party to such other Party under this Agreement; provided, however, that no such offset shall be permitted to the extent and for so long as such other Party is contesting in good faith its obligation to make any such payment to such first Party under the applicable dispute resolution procedures of this Agreement [***]. Such offsets shall be in addition to any other rights or remedies available under this Agreement and applicable Law."</w:t>
      </w:r>
    </w:p>
    <w:p>
      <w:pPr>
        <w:spacing w:after="0" w:line="153" w:lineRule="exact"/>
        <w:rPr>
          <w:sz w:val="20"/>
          <w:szCs w:val="20"/>
          <w:color w:val="auto"/>
        </w:rPr>
      </w:pPr>
    </w:p>
    <w:p>
      <w:pPr>
        <w:ind w:left="-8" w:right="440" w:firstLine="656"/>
        <w:spacing w:after="0" w:line="236" w:lineRule="auto"/>
        <w:tabs>
          <w:tab w:leader="none" w:pos="128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new Section 9.14 is hereby added to Article IX of the Existing License and Collaboration Agreement as the final section of such Article:</w:t>
      </w:r>
    </w:p>
    <w:p>
      <w:pPr>
        <w:spacing w:after="0" w:line="177" w:lineRule="exact"/>
        <w:rPr>
          <w:sz w:val="20"/>
          <w:szCs w:val="20"/>
          <w:color w:val="auto"/>
        </w:rPr>
      </w:pPr>
    </w:p>
    <w:p>
      <w:pPr>
        <w:jc w:val="both"/>
        <w:ind w:left="652" w:right="160"/>
        <w:spacing w:after="0" w:line="256" w:lineRule="auto"/>
        <w:rPr>
          <w:sz w:val="20"/>
          <w:szCs w:val="20"/>
          <w:color w:val="auto"/>
        </w:rPr>
      </w:pPr>
      <w:r>
        <w:rPr>
          <w:rFonts w:ascii="Times New Roman" w:cs="Times New Roman" w:eastAsia="Times New Roman" w:hAnsi="Times New Roman"/>
          <w:sz w:val="22"/>
          <w:szCs w:val="22"/>
          <w:color w:val="auto"/>
        </w:rPr>
        <w:t xml:space="preserve">"9.14 </w:t>
      </w:r>
      <w:r>
        <w:rPr>
          <w:rFonts w:ascii="Times New Roman" w:cs="Times New Roman" w:eastAsia="Times New Roman" w:hAnsi="Times New Roman"/>
          <w:sz w:val="22"/>
          <w:szCs w:val="22"/>
          <w:u w:val="single" w:color="auto"/>
          <w:color w:val="auto"/>
        </w:rPr>
        <w:t>No Double Counting</w:t>
      </w:r>
      <w:r>
        <w:rPr>
          <w:rFonts w:ascii="Times New Roman" w:cs="Times New Roman" w:eastAsia="Times New Roman" w:hAnsi="Times New Roman"/>
          <w:sz w:val="22"/>
          <w:szCs w:val="22"/>
          <w:color w:val="auto"/>
        </w:rPr>
        <w:t>. Any specific cost or expense paid or reimbursed under this Agreement or any Ancillary Collaboration Agreements shall be paid or reimbursed only once so as to avoid any "double counting," regardless of whether such cost or expense is reflected in more than one plan or budget under this Agreement or the Ancillary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91"/>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32"/>
          </w:cols>
          <w:pgMar w:left="328" w:top="1440" w:right="83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right="200" w:firstLine="8"/>
        <w:spacing w:after="0" w:line="227" w:lineRule="auto"/>
        <w:tabs>
          <w:tab w:leader="none" w:pos="6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to Article XX (Miscellaneous)</w:t>
      </w:r>
      <w:r>
        <w:rPr>
          <w:rFonts w:ascii="Times New Roman" w:cs="Times New Roman" w:eastAsia="Times New Roman" w:hAnsi="Times New Roman"/>
          <w:sz w:val="22"/>
          <w:szCs w:val="22"/>
          <w:color w:val="auto"/>
        </w:rPr>
        <w:t>. Section 20.4 (</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of the Existing License and Collaboration Agreement is hereby amended as follows (inserted language underlined and in italics and deleted language in strikethrough text for ease of reference):</w:t>
      </w:r>
    </w:p>
    <w:p>
      <w:pPr>
        <w:spacing w:after="0" w:line="177" w:lineRule="exact"/>
        <w:rPr>
          <w:sz w:val="20"/>
          <w:szCs w:val="20"/>
          <w:color w:val="auto"/>
        </w:rPr>
      </w:pPr>
    </w:p>
    <w:p>
      <w:pPr>
        <w:jc w:val="both"/>
        <w:ind w:left="652" w:right="640"/>
        <w:spacing w:after="0" w:line="262" w:lineRule="auto"/>
        <w:rPr>
          <w:sz w:val="20"/>
          <w:szCs w:val="20"/>
          <w:color w:val="auto"/>
        </w:rPr>
      </w:pPr>
      <w:r>
        <w:rPr>
          <w:rFonts w:ascii="Times New Roman" w:cs="Times New Roman" w:eastAsia="Times New Roman" w:hAnsi="Times New Roman"/>
          <w:sz w:val="21"/>
          <w:szCs w:val="21"/>
          <w:color w:val="auto"/>
        </w:rPr>
        <w:t xml:space="preserve">"20.4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together with the Discovery Agreement and, solely to the extent referred to herein, the Ancillary Agreements contain the complete understanding of the Parties with respect to the subject matter hereof and thereof and supersedes all prior understandings and writings relating to the subject matter hereof and thereof, provided that the </w:t>
      </w:r>
      <w:r>
        <w:rPr>
          <w:rFonts w:ascii="Times New Roman" w:cs="Times New Roman" w:eastAsia="Times New Roman" w:hAnsi="Times New Roman"/>
          <w:sz w:val="21"/>
          <w:szCs w:val="21"/>
          <w:color w:val="auto"/>
          <w:strike w:val="1"/>
        </w:rPr>
        <w:t>last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penultimate</w:t>
      </w:r>
      <w:r>
        <w:rPr>
          <w:rFonts w:ascii="Times New Roman" w:cs="Times New Roman" w:eastAsia="Times New Roman" w:hAnsi="Times New Roman"/>
          <w:sz w:val="21"/>
          <w:szCs w:val="21"/>
          <w:color w:val="auto"/>
        </w:rPr>
        <w:t xml:space="preserve"> sentence of Section 14.4 of the Discovery Agreement shall apply with respect to any conflict or inconsistency between this Agreement and the Discovery Agreement.</w:t>
      </w:r>
    </w:p>
    <w:p>
      <w:pPr>
        <w:spacing w:after="0" w:line="2" w:lineRule="exact"/>
        <w:rPr>
          <w:sz w:val="20"/>
          <w:szCs w:val="20"/>
          <w:color w:val="auto"/>
        </w:rPr>
      </w:pPr>
    </w:p>
    <w:p>
      <w:pPr>
        <w:jc w:val="both"/>
        <w:ind w:left="652" w:right="640"/>
        <w:spacing w:after="0" w:line="252" w:lineRule="auto"/>
        <w:rPr>
          <w:sz w:val="20"/>
          <w:szCs w:val="20"/>
          <w:color w:val="auto"/>
        </w:rPr>
      </w:pPr>
      <w:r>
        <w:rPr>
          <w:rFonts w:ascii="Times New Roman" w:cs="Times New Roman" w:eastAsia="Times New Roman" w:hAnsi="Times New Roman"/>
          <w:sz w:val="22"/>
          <w:szCs w:val="22"/>
          <w:i w:val="1"/>
          <w:iCs w:val="1"/>
          <w:u w:val="single" w:color="auto"/>
          <w:color w:val="auto"/>
        </w:rPr>
        <w:t>Any variation between a provision of this Agreement and a corresponding or similar provision of the IO License and Collaboration Agreement or the IO Discovery Agreement shall not be considered in the interpretation of this Agreement, the IO Discovery Agreement or the IO License and Collaboration Agreement</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652" w:hanging="652"/>
        <w:spacing w:after="0"/>
        <w:tabs>
          <w:tab w:leader="none" w:pos="652"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8" w:right="60" w:firstLine="656"/>
        <w:spacing w:after="0" w:line="220" w:lineRule="auto"/>
        <w:tabs>
          <w:tab w:leader="none" w:pos="128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9.4 of the IO Discovery Agreement, the Parties shall mutually agree on the contents of their respective press releases with respect to the amendments made to the Existing License and Collaboration Agreement pursuant to this Second Amendment. Regeneron shall have the right to file or register this Second Amendment and a notification thereof with the United States Securities and Exchange Commission.</w:t>
      </w:r>
    </w:p>
    <w:p>
      <w:pPr>
        <w:spacing w:after="0" w:line="152" w:lineRule="exact"/>
        <w:rPr>
          <w:rFonts w:ascii="Times New Roman" w:cs="Times New Roman" w:eastAsia="Times New Roman" w:hAnsi="Times New Roman"/>
          <w:sz w:val="22"/>
          <w:szCs w:val="22"/>
          <w:color w:val="auto"/>
        </w:rPr>
      </w:pPr>
    </w:p>
    <w:p>
      <w:pPr>
        <w:ind w:left="-8" w:right="80" w:firstLine="656"/>
        <w:spacing w:after="0" w:line="217" w:lineRule="auto"/>
        <w:tabs>
          <w:tab w:leader="none" w:pos="128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hereby represents and warrants to the other Party that the Existing License and Collaboration Agreement, as hereby amended, constitutes the legal, valid and binding obligation of such Party and is enforceable against such Party in accordance with its terms, subject, as to enforceability, to equitable principles of general application (regardless of whether enforcement is sought in a proceeding in equity or at law). The Parties agree that the Existing License and Collaboration Agreement, as specifically amended by this Second Amendment, continues to remain in full force and effect.</w:t>
      </w:r>
    </w:p>
    <w:p>
      <w:pPr>
        <w:spacing w:after="0" w:line="152" w:lineRule="exact"/>
        <w:rPr>
          <w:rFonts w:ascii="Times New Roman" w:cs="Times New Roman" w:eastAsia="Times New Roman" w:hAnsi="Times New Roman"/>
          <w:sz w:val="22"/>
          <w:szCs w:val="22"/>
          <w:color w:val="auto"/>
        </w:rPr>
      </w:pPr>
    </w:p>
    <w:p>
      <w:pPr>
        <w:ind w:left="-8" w:right="260" w:firstLine="656"/>
        <w:spacing w:after="0" w:line="255" w:lineRule="auto"/>
        <w:tabs>
          <w:tab w:leader="none" w:pos="1285" w:val="left"/>
        </w:tabs>
        <w:numPr>
          <w:ilvl w:val="1"/>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context suggests otherwise, if there is a direct conflict between the provisions of this Second Amendment and the IO License and Collaboration Agreement, then the IO License and Collaboration Agreement shall govern.</w:t>
      </w:r>
    </w:p>
    <w:p>
      <w:pPr>
        <w:spacing w:after="0" w:line="134" w:lineRule="exact"/>
        <w:rPr>
          <w:rFonts w:ascii="Times New Roman" w:cs="Times New Roman" w:eastAsia="Times New Roman" w:hAnsi="Times New Roman"/>
          <w:sz w:val="21"/>
          <w:szCs w:val="21"/>
          <w:color w:val="auto"/>
        </w:rPr>
      </w:pPr>
    </w:p>
    <w:p>
      <w:pPr>
        <w:ind w:left="-8" w:right="60" w:firstLine="656"/>
        <w:spacing w:after="0" w:line="220" w:lineRule="auto"/>
        <w:tabs>
          <w:tab w:leader="none" w:pos="128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Second Amendment is intended to alter or modify the rights and obligations of the Parties set forth in that certain (i) letter agreement between Sanofi (as successor-in-interest to Aventis Pharmaceuticals, Inc.) and Regeneron regarding the Existing Discovery Agreement as it relates to "PDGF," dated as of May 1, 2013, or (ii) First Amendment to the Existing License and Collaboration Agreement dated as of May 1, 2013.</w:t>
      </w:r>
    </w:p>
    <w:p>
      <w:pPr>
        <w:spacing w:after="0" w:line="152" w:lineRule="exact"/>
        <w:rPr>
          <w:rFonts w:ascii="Times New Roman" w:cs="Times New Roman" w:eastAsia="Times New Roman" w:hAnsi="Times New Roman"/>
          <w:sz w:val="22"/>
          <w:szCs w:val="22"/>
          <w:color w:val="auto"/>
        </w:rPr>
      </w:pPr>
    </w:p>
    <w:p>
      <w:pPr>
        <w:jc w:val="both"/>
        <w:ind w:left="-8" w:firstLine="656"/>
        <w:spacing w:after="0" w:line="220" w:lineRule="auto"/>
        <w:tabs>
          <w:tab w:leader="none" w:pos="1285"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execute such additional amendments to the Existing License and Collaboration Agreement as the Parties determine in good faith are necessary to (i) give effect to the purpose and intent of the IO Discovery Agreement and/or the IO License and Collaboration Agreement and/or (ii) maintain the purpose and intent of the Existing License and Collaboration Agreement in view of the IO Discovery Agreement and/or the IO License and Collaboration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32"/>
          </w:cols>
          <w:pgMar w:left="328"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This Second Amendment may be amended only by a written instrument executed by Sanofi and Regeneron.</w:t>
      </w:r>
    </w:p>
    <w:p>
      <w:pPr>
        <w:spacing w:after="0" w:line="179" w:lineRule="exact"/>
        <w:rPr>
          <w:sz w:val="20"/>
          <w:szCs w:val="20"/>
          <w:color w:val="auto"/>
        </w:rPr>
      </w:pPr>
    </w:p>
    <w:p>
      <w:pPr>
        <w:ind w:right="80" w:firstLine="656"/>
        <w:spacing w:after="0" w:line="227" w:lineRule="auto"/>
        <w:tabs>
          <w:tab w:leader="none" w:pos="129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Second Amendment may be executed in any number of individual counterparts, each of which shall be deemed an original, but all of which together shall constitute one and the same instrument. Any executed counterpart of this Second Amendment that is delivered via facsimile or electronic transmission (for example, through use of a Portable Document Format or "</w:t>
      </w:r>
      <w:r>
        <w:rPr>
          <w:rFonts w:ascii="Times New Roman" w:cs="Times New Roman" w:eastAsia="Times New Roman" w:hAnsi="Times New Roman"/>
          <w:sz w:val="21"/>
          <w:szCs w:val="21"/>
          <w:u w:val="single" w:color="auto"/>
          <w:color w:val="auto"/>
        </w:rPr>
        <w:t>PDF</w:t>
      </w:r>
      <w:r>
        <w:rPr>
          <w:rFonts w:ascii="Times New Roman" w:cs="Times New Roman" w:eastAsia="Times New Roman" w:hAnsi="Times New Roman"/>
          <w:sz w:val="21"/>
          <w:szCs w:val="21"/>
          <w:color w:val="auto"/>
        </w:rPr>
        <w:t>" file) shall be deemed to have been so delivered with the intention that such facsimiled or electronically transmitted counterpart shall have the same effect as an executed original counterpart of this Second Amendment.</w:t>
      </w:r>
    </w:p>
    <w:p>
      <w:pPr>
        <w:spacing w:after="0" w:line="153" w:lineRule="exact"/>
        <w:rPr>
          <w:rFonts w:ascii="Times New Roman" w:cs="Times New Roman" w:eastAsia="Times New Roman" w:hAnsi="Times New Roman"/>
          <w:sz w:val="21"/>
          <w:szCs w:val="21"/>
          <w:color w:val="auto"/>
        </w:rPr>
      </w:pPr>
    </w:p>
    <w:p>
      <w:pPr>
        <w:ind w:firstLine="656"/>
        <w:spacing w:after="0" w:line="217" w:lineRule="auto"/>
        <w:tabs>
          <w:tab w:leader="none" w:pos="129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Second Amendment is governed by, construed and enforced in accordance with the laws of the State of New York, U.S.A., without regard to its conflict of laws principles 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Second Amendment.</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20"/>
          </w:cols>
          <w:pgMar w:left="320" w:top="1440" w:right="459" w:bottom="1440" w:gutter="0" w:footer="0" w:header="0"/>
        </w:sectPr>
      </w:pPr>
    </w:p>
    <w:bookmarkStart w:id="102" w:name="page103"/>
    <w:bookmarkEnd w:id="102"/>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each of the Parties has caused this Second Amendment to be executed as of the date hereof by a duly authorized corporate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SANOFI BIOTECHNOLOGY SAS</w:t>
      </w:r>
    </w:p>
    <w:p>
      <w:pPr>
        <w:spacing w:after="0" w:line="2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/s/ Olivier Brandicourt</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Olivier Brandicourt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-160020</wp:posOffset>
            </wp:positionV>
            <wp:extent cx="34544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7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8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By: /s/ Leonard S. Schleifer</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 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-160020</wp:posOffset>
            </wp:positionV>
            <wp:extent cx="34544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[Sanofi Signature Page to Letter Agreement]</w:t>
      </w:r>
    </w:p>
    <w:p>
      <w:pPr>
        <w:sectPr>
          <w:pgSz w:w="11900" w:h="16838" w:orient="portrait"/>
          <w:cols w:equalWidth="0" w:num="1">
            <w:col w:w="11200"/>
          </w:cols>
          <w:pgMar w:left="320" w:top="1440" w:right="37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1, 2025</w:t>
            </w:r>
          </w:p>
        </w:tc>
        <w:tc>
          <w:tcPr>
            <w:tcW w:w="12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02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020" w:type="dxa"/>
            <w:vAlign w:val="bottom"/>
            <w:vMerge w:val="continue"/>
          </w:tcPr>
          <w:p>
            <w:pPr>
              <w:spacing w:after="0"/>
              <w:rPr>
                <w:sz w:val="7"/>
                <w:szCs w:val="7"/>
                <w:color w:val="auto"/>
              </w:rPr>
            </w:pPr>
          </w:p>
        </w:tc>
        <w:tc>
          <w:tcPr>
            <w:tcW w:w="120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tcPr>
          <w:p>
            <w:pPr>
              <w:spacing w:after="0"/>
              <w:rPr>
                <w:sz w:val="19"/>
                <w:szCs w:val="19"/>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August 1, 2025</w:t>
            </w:r>
          </w:p>
        </w:tc>
        <w:tc>
          <w:tcPr>
            <w:tcW w:w="120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020" w:type="dxa"/>
            <w:vAlign w:val="bottom"/>
            <w:vMerge w:val="continue"/>
          </w:tcPr>
          <w:p>
            <w:pPr>
              <w:spacing w:after="0"/>
              <w:rPr>
                <w:sz w:val="7"/>
                <w:szCs w:val="7"/>
                <w:color w:val="auto"/>
              </w:rPr>
            </w:pPr>
          </w:p>
        </w:tc>
        <w:tc>
          <w:tcPr>
            <w:tcW w:w="120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0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15"/>
                <w:szCs w:val="15"/>
                <w:color w:val="auto"/>
              </w:rPr>
            </w:pPr>
          </w:p>
        </w:tc>
        <w:tc>
          <w:tcPr>
            <w:tcW w:w="8180" w:type="dxa"/>
            <w:vAlign w:val="bottom"/>
            <w:gridSpan w:val="3"/>
          </w:tcPr>
          <w:p>
            <w:pPr>
              <w:ind w:left="120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p>
        </w:tc>
        <w:tc>
          <w:tcPr>
            <w:tcW w:w="81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020" w:type="dxa"/>
            <w:vAlign w:val="bottom"/>
            <w:tcBorders>
              <w:bottom w:val="single" w:sz="8" w:color="666666"/>
            </w:tcBorders>
          </w:tcPr>
          <w:p>
            <w:pPr>
              <w:spacing w:after="0"/>
              <w:rPr>
                <w:sz w:val="24"/>
                <w:szCs w:val="24"/>
                <w:color w:val="auto"/>
              </w:rPr>
            </w:pPr>
          </w:p>
        </w:tc>
        <w:tc>
          <w:tcPr>
            <w:tcW w:w="120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June 30, 2025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2025</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August 1, 2025</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1)"/>
      <w:numFmt w:val="lowerLetter"/>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1)"/>
      <w:numFmt w:val="lowerLetter"/>
      <w:start w:val="1"/>
    </w:lvl>
  </w:abstractNum>
  <w:abstractNum w:abstractNumId="6">
    <w:nsid w:val="6A2342EC"/>
    <w:multiLevelType w:val="hybridMultilevel"/>
    <w:lvl w:ilvl="0">
      <w:lvlJc w:val="left"/>
      <w:lvlText w:val="(%1)"/>
      <w:numFmt w:val="lowerRoman"/>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lowerLetter"/>
      <w:start w:val="1"/>
    </w:lvl>
  </w:abstractNum>
  <w:abstractNum w:abstractNumId="9">
    <w:nsid w:val="725A06FB"/>
    <w:multiLevelType w:val="hybridMultilevel"/>
    <w:lvl w:ilvl="0">
      <w:lvlJc w:val="left"/>
      <w:lvlText w:val="(%1)"/>
      <w:numFmt w:val="lowerLetter"/>
      <w:start w:val="1"/>
    </w:lvl>
  </w:abstractNum>
  <w:abstractNum w:abstractNumId="10">
    <w:nsid w:val="2CD89A32"/>
    <w:multiLevelType w:val="hybridMultilevel"/>
    <w:lvl w:ilvl="0">
      <w:lvlJc w:val="left"/>
      <w:lvlText w:val="(%1)"/>
      <w:numFmt w:val="lowerLetter"/>
      <w:start w:val="1"/>
    </w:lvl>
  </w:abstractNum>
  <w:abstractNum w:abstractNumId="11">
    <w:nsid w:val="57E4CCAF"/>
    <w:multiLevelType w:val="hybridMultilevel"/>
    <w:lvl w:ilvl="0">
      <w:lvlJc w:val="left"/>
      <w:lvlText w:val="(%1)"/>
      <w:numFmt w:val="lowerLetter"/>
      <w:start w:val="1"/>
    </w:lvl>
  </w:abstractNum>
  <w:abstractNum w:abstractNumId="12">
    <w:nsid w:val="7A6D8D3C"/>
    <w:multiLevelType w:val="hybridMultilevel"/>
    <w:lvl w:ilvl="0">
      <w:lvlJc w:val="left"/>
      <w:lvlText w:val="(%1)"/>
      <w:numFmt w:val="lowerLetter"/>
      <w:start w:val="1"/>
    </w:lvl>
  </w:abstractNum>
  <w:abstractNum w:abstractNumId="13">
    <w:nsid w:val="4B588F54"/>
    <w:multiLevelType w:val="hybridMultilevel"/>
    <w:lvl w:ilvl="0">
      <w:lvlJc w:val="left"/>
      <w:lvlText w:val="(%1)"/>
      <w:numFmt w:val="lowerLetter"/>
      <w:start w:val="1"/>
    </w:lvl>
  </w:abstractNum>
  <w:abstractNum w:abstractNumId="14">
    <w:nsid w:val="542289EC"/>
    <w:multiLevelType w:val="hybridMultilevel"/>
    <w:lvl w:ilvl="0">
      <w:lvlJc w:val="left"/>
      <w:lvlText w:val="(%1)"/>
      <w:numFmt w:val="lowerLetter"/>
      <w:start w:val="1"/>
    </w:lvl>
  </w:abstractNum>
  <w:abstractNum w:abstractNumId="15">
    <w:nsid w:val="6DE91B18"/>
    <w:multiLevelType w:val="hybridMultilevel"/>
    <w:lvl w:ilvl="0">
      <w:lvlJc w:val="left"/>
      <w:lvlText w:val="(%1)"/>
      <w:numFmt w:val="lowerLetter"/>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lowerLetter"/>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lvl w:ilvl="1">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1)"/>
      <w:numFmt w:val="lowerLetter"/>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decimal"/>
      <w:start w:val="32"/>
    </w:lvl>
  </w:abstractNum>
  <w:abstractNum w:abstractNumId="39">
    <w:nsid w:val="354FE9F9"/>
    <w:multiLevelType w:val="hybridMultilevel"/>
    <w:lvl w:ilvl="0">
      <w:lvlJc w:val="left"/>
      <w:lvlText w:val="%1"/>
      <w:numFmt w:val="decimal"/>
      <w:start w:val="10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5"/>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3"/>
    </w:lvl>
  </w:abstractNum>
  <w:abstractNum w:abstractNumId="45">
    <w:nsid w:val="61574095"/>
    <w:multiLevelType w:val="hybridMultilevel"/>
    <w:lvl w:ilvl="0">
      <w:lvlJc w:val="left"/>
      <w:lvlText w:val="%1."/>
      <w:numFmt w:val="decimal"/>
      <w:start w:val="5"/>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lowerLetter"/>
      <w:start w:val="1"/>
    </w:lvl>
  </w:abstractNum>
  <w:abstractNum w:abstractNumId="50">
    <w:nsid w:val="5FF87E05"/>
    <w:multiLevelType w:val="hybridMultilevel"/>
    <w:lvl w:ilvl="0">
      <w:lvlJc w:val="left"/>
      <w:lvlText w:val="%1."/>
      <w:numFmt w:val="decimal"/>
      <w:start w:val="2"/>
    </w:lvl>
    <w:lvl w:ilvl="1">
      <w:lvlJc w:val="left"/>
      <w:lvlText w:val="(%2)"/>
      <w:numFmt w:val="lowerLetter"/>
      <w:start w:val="1"/>
    </w:lvl>
  </w:abstractNum>
  <w:abstractNum w:abstractNumId="51">
    <w:nsid w:val="2F305DEF"/>
    <w:multiLevelType w:val="hybridMultilevel"/>
    <w:lvl w:ilvl="0">
      <w:lvlJc w:val="left"/>
      <w:lvlText w:val="(%1)"/>
      <w:numFmt w:val="lowerLetter"/>
      <w:start w:val="2"/>
    </w:lvl>
  </w:abstractNum>
  <w:abstractNum w:abstractNumId="52">
    <w:nsid w:val="25A70BF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3">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4">
    <w:nsid w:val="4AD084E9"/>
    <w:multiLevelType w:val="hybridMultilevel"/>
    <w:lvl w:ilvl="0">
      <w:lvlJc w:val="left"/>
      <w:lvlText w:val="(%1)"/>
      <w:numFmt w:val="lowerLetter"/>
      <w:start w:val="25"/>
    </w:lvl>
    <w:lvl w:ilvl="1">
      <w:lvlJc w:val="left"/>
      <w:lvlText w:val="%2"/>
      <w:numFmt w:val="lowerRoman"/>
      <w:start w:val="1"/>
    </w:lvl>
    <w:lvl w:ilvl="2">
      <w:lvlJc w:val="left"/>
      <w:lvlText w:val="(%3)"/>
      <w:numFmt w:val="upperLetter"/>
      <w:start w:val="3"/>
    </w:lvl>
  </w:abstractNum>
  <w:abstractNum w:abstractNumId="55">
    <w:nsid w:val="1F48EAA1"/>
    <w:multiLevelType w:val="hybridMultilevel"/>
    <w:lvl w:ilvl="0">
      <w:lvlJc w:val="left"/>
      <w:lvlText w:val="(%1)"/>
      <w:numFmt w:val="lowerLetter"/>
      <w:start w:val="4"/>
    </w:lvl>
    <w:lvl w:ilvl="1">
      <w:lvlJc w:val="left"/>
      <w:lvlText w:val="(%2)"/>
      <w:numFmt w:val="lowerRoman"/>
      <w:start w:val="2"/>
    </w:lvl>
    <w:lvl w:ilvl="2">
      <w:lvlJc w:val="left"/>
      <w:lvlText w:val="(%3)"/>
      <w:numFmt w:val="upperLetter"/>
      <w:start w:val="7"/>
    </w:lvl>
  </w:abstractNum>
  <w:abstractNum w:abstractNumId="56">
    <w:nsid w:val="1381823A"/>
    <w:multiLevelType w:val="hybridMultilevel"/>
    <w:lvl w:ilvl="0">
      <w:lvlJc w:val="left"/>
      <w:lvlText w:val="(%1)"/>
      <w:numFmt w:val="decimal"/>
      <w:start w:val="4"/>
    </w:lvl>
    <w:lvl w:ilvl="1">
      <w:lvlJc w:val="left"/>
      <w:lvlText w:val="(%2)"/>
      <w:numFmt w:val="lowerRoman"/>
      <w:start w:val="6"/>
    </w:lvl>
  </w:abstractNum>
  <w:abstractNum w:abstractNumId="57">
    <w:nsid w:val="5DB70AE5"/>
    <w:multiLevelType w:val="hybridMultilevel"/>
    <w:lvl w:ilvl="0">
      <w:lvlJc w:val="left"/>
      <w:lvlText w:val="%1"/>
      <w:numFmt w:val="lowerRoman"/>
      <w:start w:val="1"/>
    </w:lvl>
    <w:lvl w:ilvl="1">
      <w:lvlJc w:val="left"/>
      <w:lvlText w:val="(%2)"/>
      <w:numFmt w:val="decimal"/>
      <w:start w:val="3"/>
    </w:lvl>
  </w:abstractNum>
  <w:abstractNum w:abstractNumId="58">
    <w:nsid w:val="100F8FCA"/>
    <w:multiLevelType w:val="hybridMultilevel"/>
    <w:lvl w:ilvl="0">
      <w:lvlJc w:val="left"/>
      <w:lvlText w:val="(%1)"/>
      <w:numFmt w:val="lowerRoman"/>
      <w:start w:val="4"/>
    </w:lvl>
    <w:lvl w:ilvl="1">
      <w:lvlJc w:val="left"/>
      <w:lvlText w:val="%2"/>
      <w:numFmt w:val="decimal"/>
      <w:start w:val="1"/>
    </w:lvl>
  </w:abstractNum>
  <w:abstractNum w:abstractNumId="59">
    <w:nsid w:val="6590700B"/>
    <w:multiLevelType w:val="hybridMultilevel"/>
    <w:lvl w:ilvl="0">
      <w:lvlJc w:val="left"/>
      <w:lvlText w:val="%1"/>
      <w:numFmt w:val="lowerLetter"/>
      <w:start w:val="1"/>
    </w:lvl>
    <w:lvl w:ilvl="1">
      <w:lvlJc w:val="left"/>
      <w:lvlText w:val="(%2)"/>
      <w:numFmt w:val="decimal"/>
      <w:start w:val="5"/>
    </w:lvl>
  </w:abstractNum>
  <w:abstractNum w:abstractNumId="60">
    <w:nsid w:val="15014ACB"/>
    <w:multiLevelType w:val="hybridMultilevel"/>
    <w:lvl w:ilvl="0">
      <w:lvlJc w:val="left"/>
      <w:lvlText w:val="(%1)"/>
      <w:numFmt w:val="lowerLetter"/>
      <w:start w:val="6"/>
    </w:lvl>
    <w:lvl w:ilvl="1">
      <w:lvlJc w:val="left"/>
      <w:lvlText w:val="(%2)"/>
      <w:numFmt w:val="decimal"/>
      <w:start w:val="1"/>
    </w:lvl>
  </w:abstractNum>
  <w:abstractNum w:abstractNumId="61">
    <w:nsid w:val="5F5E7FD0"/>
    <w:multiLevelType w:val="hybridMultilevel"/>
    <w:lvl w:ilvl="0">
      <w:lvlJc w:val="left"/>
      <w:lvlText w:val="(%1)"/>
      <w:numFmt w:val="decimal"/>
      <w:start w:val="2"/>
    </w:lvl>
  </w:abstractNum>
  <w:abstractNum w:abstractNumId="62">
    <w:nsid w:val="98A3148"/>
    <w:multiLevelType w:val="hybridMultilevel"/>
    <w:lvl w:ilvl="0">
      <w:lvlJc w:val="left"/>
      <w:lvlText w:val="%1."/>
      <w:numFmt w:val="decimal"/>
      <w:start w:val="1"/>
    </w:lvl>
    <w:lvl w:ilvl="1">
      <w:lvlJc w:val="left"/>
      <w:lvlText w:val="(%2)"/>
      <w:numFmt w:val="lowerLetter"/>
      <w:start w:val="1"/>
    </w:lvl>
  </w:abstractNum>
  <w:abstractNum w:abstractNumId="63">
    <w:nsid w:val="799D0247"/>
    <w:multiLevelType w:val="hybridMultilevel"/>
    <w:lvl w:ilvl="0">
      <w:lvlJc w:val="left"/>
      <w:lvlText w:val="(%1)"/>
      <w:numFmt w:val="lowerLetter"/>
      <w:start w:val="3"/>
    </w:lvl>
  </w:abstractNum>
  <w:abstractNum w:abstractNumId="64">
    <w:nsid w:val="6B94764"/>
    <w:multiLevelType w:val="hybridMultilevel"/>
    <w:lvl w:ilvl="0">
      <w:lvlJc w:val="left"/>
      <w:lvlText w:val="%1."/>
      <w:numFmt w:val="decimal"/>
      <w:start w:val="2"/>
    </w:lvl>
  </w:abstractNum>
  <w:abstractNum w:abstractNumId="65">
    <w:nsid w:val="42C296BD"/>
    <w:multiLevelType w:val="hybridMultilevel"/>
    <w:lvl w:ilvl="0">
      <w:lvlJc w:val="left"/>
      <w:lvlText w:val="%1."/>
      <w:numFmt w:val="decimal"/>
      <w:start w:val="3"/>
    </w:lvl>
  </w:abstractNum>
  <w:abstractNum w:abstractNumId="66">
    <w:nsid w:val="168E121F"/>
    <w:multiLevelType w:val="hybridMultilevel"/>
    <w:lvl w:ilvl="0">
      <w:lvlJc w:val="left"/>
      <w:lvlText w:val="(%1)"/>
      <w:numFmt w:val="lowerLetter"/>
      <w:start w:val="1"/>
    </w:lvl>
  </w:abstractNum>
  <w:abstractNum w:abstractNumId="67">
    <w:nsid w:val="1EBA5D23"/>
    <w:multiLevelType w:val="hybridMultilevel"/>
    <w:lvl w:ilvl="0">
      <w:lvlJc w:val="left"/>
      <w:lvlText w:val="(%1)"/>
      <w:numFmt w:val="lowerLetter"/>
      <w:start w:val="35"/>
    </w:lvl>
  </w:abstractNum>
  <w:abstractNum w:abstractNumId="68">
    <w:nsid w:val="661E3F1E"/>
    <w:multiLevelType w:val="hybridMultilevel"/>
    <w:lvl w:ilvl="0">
      <w:lvlJc w:val="left"/>
      <w:lvlText w:val="%1"/>
      <w:numFmt w:val="decimal"/>
      <w:start w:val="1"/>
    </w:lvl>
    <w:lvl w:ilvl="1">
      <w:lvlJc w:val="left"/>
      <w:lvlText w:val="(%2)"/>
      <w:numFmt w:val="lowerLetter"/>
      <w:start w:val="2"/>
    </w:lvl>
  </w:abstractNum>
  <w:abstractNum w:abstractNumId="69">
    <w:nsid w:val="5DC79EA8"/>
    <w:multiLevelType w:val="hybridMultilevel"/>
    <w:lvl w:ilvl="0">
      <w:lvlJc w:val="left"/>
      <w:lvlText w:val="%1."/>
      <w:numFmt w:val="decimal"/>
      <w:start w:val="4"/>
    </w:lvl>
    <w:lvl w:ilvl="1">
      <w:lvlJc w:val="left"/>
      <w:lvlText w:val="%2"/>
      <w:numFmt w:val="lowerLetter"/>
      <w:start w:val="1"/>
    </w:lvl>
  </w:abstractNum>
  <w:abstractNum w:abstractNumId="70">
    <w:nsid w:val="540A471C"/>
    <w:multiLevelType w:val="hybridMultilevel"/>
    <w:lvl w:ilvl="0">
      <w:lvlJc w:val="left"/>
      <w:lvlText w:val="%1."/>
      <w:numFmt w:val="decimal"/>
      <w:start w:val="5"/>
    </w:lvl>
    <w:lvl w:ilvl="1">
      <w:lvlJc w:val="left"/>
      <w:lvlText w:val="(%2)"/>
      <w:numFmt w:val="lowerLetter"/>
      <w:start w:val="1"/>
    </w:lvl>
  </w:abstractNum>
  <w:abstractNum w:abstractNumId="71">
    <w:nsid w:val="7BD3EE7B"/>
    <w:multiLevelType w:val="hybridMultilevel"/>
    <w:lvl w:ilvl="0">
      <w:lvlJc w:val="left"/>
      <w:lvlText w:val="(%1)"/>
      <w:numFmt w:val="lowerLetter"/>
      <w:start w:val="2"/>
    </w:lvl>
  </w:abstractNum>
  <w:abstractNum w:abstractNumId="72">
    <w:nsid w:val="51D9C564"/>
    <w:multiLevelType w:val="hybridMultilevel"/>
    <w:lvl w:ilvl="0">
      <w:lvlJc w:val="left"/>
      <w:lvlText w:val="%1."/>
      <w:numFmt w:val="decimal"/>
      <w:start w:val="6"/>
    </w:lvl>
  </w:abstractNum>
  <w:abstractNum w:abstractNumId="73">
    <w:nsid w:val="613EFDC5"/>
    <w:multiLevelType w:val="hybridMultilevel"/>
    <w:lvl w:ilvl="0">
      <w:lvlJc w:val="left"/>
      <w:lvlText w:val="%1."/>
      <w:numFmt w:val="decimal"/>
      <w:start w:val="7"/>
    </w:lvl>
    <w:lvl w:ilvl="1">
      <w:lvlJc w:val="left"/>
      <w:lvlText w:val="(%2)"/>
      <w:numFmt w:val="lowerLetter"/>
      <w:start w:val="1"/>
    </w:lvl>
  </w:abstractNum>
  <w:abstractNum w:abstractNumId="74">
    <w:nsid w:val="BF72B14"/>
    <w:multiLevelType w:val="hybridMultilevel"/>
    <w:lvl w:ilvl="0">
      <w:lvlJc w:val="left"/>
      <w:lvlText w:val="(%1)"/>
      <w:numFmt w:val="lowerLetter"/>
      <w:start w:val="6"/>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2025-08-01T06:06:19Z</dcterms:created>
  <dcterms:modified xsi:type="dcterms:W3CDTF">2025-08-01T06:06:19Z</dcterms:modified>
</cp:coreProperties>
</file>