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3147060</wp:posOffset>
            </wp:positionH>
            <wp:positionV relativeFrom="paragraph">
              <wp:posOffset>91440</wp:posOffset>
            </wp:positionV>
            <wp:extent cx="917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37" w:lineRule="exact"/>
        <w:rPr>
          <w:sz w:val="24"/>
          <w:szCs w:val="24"/>
          <w:color w:val="auto"/>
        </w:rPr>
      </w:pPr>
    </w:p>
    <w:p>
      <w:pPr>
        <w:jc w:val="center"/>
        <w:ind w:right="-4"/>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3147060</wp:posOffset>
            </wp:positionH>
            <wp:positionV relativeFrom="paragraph">
              <wp:posOffset>28575</wp:posOffset>
            </wp:positionV>
            <wp:extent cx="917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4" w:lineRule="exact"/>
        <w:rPr>
          <w:sz w:val="24"/>
          <w:szCs w:val="24"/>
          <w:color w:val="auto"/>
        </w:rPr>
      </w:pPr>
    </w:p>
    <w:p>
      <w:pPr>
        <w:ind w:left="5"/>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465" w:right="2980" w:hanging="465"/>
        <w:spacing w:after="0" w:line="352" w:lineRule="auto"/>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6"/>
          <w:szCs w:val="16"/>
          <w:b w:val="1"/>
          <w:bCs w:val="1"/>
          <w:u w:val="single" w:color="auto"/>
          <w:color w:val="auto"/>
        </w:rPr>
        <w:t>December 31, 2017</w:t>
      </w:r>
    </w:p>
    <w:p>
      <w:pPr>
        <w:spacing w:after="0" w:line="1" w:lineRule="exact"/>
        <w:rPr>
          <w:sz w:val="24"/>
          <w:szCs w:val="24"/>
          <w:color w:val="auto"/>
        </w:rPr>
      </w:pPr>
    </w:p>
    <w:p>
      <w:pPr>
        <w:ind w:left="2145"/>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465" w:right="2640" w:hanging="465"/>
        <w:spacing w:after="0" w:line="386" w:lineRule="auto"/>
        <w:tabs>
          <w:tab w:leader="none" w:pos="46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spacing w:after="0" w:line="83" w:lineRule="exact"/>
        <w:rPr>
          <w:sz w:val="24"/>
          <w:szCs w:val="24"/>
          <w:color w:val="auto"/>
        </w:rPr>
      </w:pPr>
    </w:p>
    <w:p>
      <w:pPr>
        <w:jc w:val="center"/>
        <w:ind w:right="-24"/>
        <w:spacing w:after="0"/>
        <w:rPr>
          <w:sz w:val="20"/>
          <w:szCs w:val="20"/>
          <w:color w:val="auto"/>
        </w:rPr>
      </w:pPr>
      <w:r>
        <w:rPr>
          <w:rFonts w:ascii="Arial" w:cs="Arial" w:eastAsia="Arial" w:hAnsi="Arial"/>
          <w:sz w:val="16"/>
          <w:szCs w:val="16"/>
          <w:b w:val="1"/>
          <w:bCs w:val="1"/>
          <w:color w:val="auto"/>
        </w:rPr>
        <w:t>Commission File Number: 0-19034</w:t>
      </w:r>
    </w:p>
    <w:p>
      <w:pPr>
        <w:spacing w:after="0" w:line="145" w:lineRule="exact"/>
        <w:rPr>
          <w:sz w:val="24"/>
          <w:szCs w:val="24"/>
          <w:color w:val="auto"/>
        </w:rPr>
      </w:pPr>
    </w:p>
    <w:p>
      <w:pPr>
        <w:jc w:val="center"/>
        <w:ind w:right="-4"/>
        <w:spacing w:after="0"/>
        <w:rPr>
          <w:sz w:val="20"/>
          <w:szCs w:val="20"/>
          <w:color w:val="auto"/>
        </w:rPr>
      </w:pPr>
      <w:r>
        <w:rPr>
          <w:rFonts w:ascii="Arial" w:cs="Arial" w:eastAsia="Arial" w:hAnsi="Arial"/>
          <w:sz w:val="25"/>
          <w:szCs w:val="25"/>
          <w:b w:val="1"/>
          <w:bCs w:val="1"/>
          <w:color w:val="auto"/>
        </w:rPr>
        <w:t>REGENERON PHARMACEUTICALS, INC.</w:t>
      </w:r>
    </w:p>
    <w:p>
      <w:pPr>
        <w:spacing w:after="0" w:line="37"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32" w:lineRule="exact"/>
        <w:rPr>
          <w:sz w:val="24"/>
          <w:szCs w:val="24"/>
          <w:color w:val="auto"/>
        </w:rPr>
      </w:pPr>
    </w:p>
    <w:tbl>
      <w:tblPr>
        <w:tblLayout w:type="fixed"/>
        <w:tblInd w:w="965"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New York</w:t>
            </w:r>
          </w:p>
        </w:tc>
        <w:tc>
          <w:tcPr>
            <w:tcW w:w="272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13-3444607</w:t>
            </w:r>
          </w:p>
        </w:tc>
        <w:tc>
          <w:tcPr>
            <w:tcW w:w="720" w:type="dxa"/>
            <w:vAlign w:val="bottom"/>
          </w:tcPr>
          <w:p>
            <w:pPr>
              <w:spacing w:after="0"/>
              <w:rPr>
                <w:sz w:val="17"/>
                <w:szCs w:val="17"/>
                <w:color w:val="auto"/>
              </w:rPr>
            </w:pPr>
          </w:p>
        </w:tc>
      </w:tr>
      <w:tr>
        <w:trPr>
          <w:trHeight w:val="285"/>
        </w:trPr>
        <w:tc>
          <w:tcPr>
            <w:tcW w:w="5120" w:type="dxa"/>
            <w:vAlign w:val="bottom"/>
            <w:gridSpan w:val="4"/>
          </w:tcPr>
          <w:p>
            <w:pPr>
              <w:jc w:val="center"/>
              <w:ind w:right="110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400" w:type="dxa"/>
            <w:vAlign w:val="bottom"/>
            <w:gridSpan w:val="3"/>
          </w:tcPr>
          <w:p>
            <w:pPr>
              <w:jc w:val="center"/>
              <w:ind w:left="994"/>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357"/>
        </w:trPr>
        <w:tc>
          <w:tcPr>
            <w:tcW w:w="51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400" w:type="dxa"/>
            <w:vAlign w:val="bottom"/>
            <w:gridSpan w:val="3"/>
          </w:tcPr>
          <w:p>
            <w:pPr>
              <w:jc w:val="center"/>
              <w:ind w:left="994"/>
              <w:spacing w:after="0"/>
              <w:rPr>
                <w:sz w:val="20"/>
                <w:szCs w:val="20"/>
                <w:color w:val="auto"/>
              </w:rPr>
            </w:pPr>
            <w:r>
              <w:rPr>
                <w:rFonts w:ascii="Arial" w:cs="Arial" w:eastAsia="Arial" w:hAnsi="Arial"/>
                <w:sz w:val="18"/>
                <w:szCs w:val="18"/>
                <w:b w:val="1"/>
                <w:bCs w:val="1"/>
                <w:color w:val="auto"/>
                <w:w w:val="91"/>
              </w:rPr>
              <w:t>10591-6707</w:t>
            </w:r>
          </w:p>
        </w:tc>
      </w:tr>
      <w:tr>
        <w:trPr>
          <w:trHeight w:val="285"/>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5"/>
              </w:rPr>
              <w:t>(Zip Code)</w:t>
            </w:r>
          </w:p>
        </w:tc>
        <w:tc>
          <w:tcPr>
            <w:tcW w:w="720" w:type="dxa"/>
            <w:vAlign w:val="bottom"/>
          </w:tcPr>
          <w:p>
            <w:pPr>
              <w:spacing w:after="0"/>
              <w:rPr>
                <w:sz w:val="24"/>
                <w:szCs w:val="24"/>
                <w:color w:val="auto"/>
              </w:rPr>
            </w:pPr>
          </w:p>
        </w:tc>
      </w:tr>
    </w:tbl>
    <w:p>
      <w:pPr>
        <w:spacing w:after="0" w:line="15"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u w:val="single" w:color="auto"/>
          <w:color w:val="auto"/>
        </w:rPr>
        <w:t>(914) 847-7000</w:t>
      </w:r>
    </w:p>
    <w:p>
      <w:pPr>
        <w:spacing w:after="0" w:line="27"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95"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5" w:lineRule="exact"/>
        <w:rPr>
          <w:sz w:val="24"/>
          <w:szCs w:val="24"/>
          <w:color w:val="auto"/>
        </w:rPr>
      </w:pPr>
    </w:p>
    <w:p>
      <w:pPr>
        <w:jc w:val="right"/>
        <w:ind w:right="1440"/>
        <w:spacing w:after="0"/>
        <w:tabs>
          <w:tab w:leader="none" w:pos="3140" w:val="left"/>
        </w:tabs>
        <w:rPr>
          <w:sz w:val="20"/>
          <w:szCs w:val="20"/>
          <w:color w:val="auto"/>
        </w:rPr>
      </w:pPr>
      <w:r>
        <w:rPr>
          <w:rFonts w:ascii="Arial" w:cs="Arial" w:eastAsia="Arial" w:hAnsi="Arial"/>
          <w:sz w:val="18"/>
          <w:szCs w:val="18"/>
          <w:i w:val="1"/>
          <w:iCs w:val="1"/>
          <w:u w:val="single" w:color="auto"/>
          <w:color w:val="auto"/>
        </w:rPr>
        <w:t>Title of each class</w:t>
      </w:r>
      <w:r>
        <w:rPr>
          <w:sz w:val="20"/>
          <w:szCs w:val="20"/>
          <w:color w:val="auto"/>
        </w:rPr>
        <w:tab/>
      </w:r>
      <w:r>
        <w:rPr>
          <w:rFonts w:ascii="Arial" w:cs="Arial" w:eastAsia="Arial" w:hAnsi="Arial"/>
          <w:sz w:val="15"/>
          <w:szCs w:val="15"/>
          <w:i w:val="1"/>
          <w:iCs w:val="1"/>
          <w:u w:val="single" w:color="auto"/>
          <w:color w:val="auto"/>
        </w:rPr>
        <w:t>Name of each exchange on which registered</w:t>
      </w:r>
    </w:p>
    <w:p>
      <w:pPr>
        <w:sectPr>
          <w:pgSz w:w="11900" w:h="16838" w:orient="portrait"/>
          <w:cols w:equalWidth="0" w:num="1">
            <w:col w:w="11345"/>
          </w:cols>
          <w:pgMar w:left="275" w:top="472" w:right="279" w:bottom="1440" w:gutter="0" w:footer="0" w:header="0"/>
        </w:sectPr>
      </w:pPr>
    </w:p>
    <w:p>
      <w:pPr>
        <w:spacing w:after="0" w:line="59" w:lineRule="exact"/>
        <w:rPr>
          <w:sz w:val="24"/>
          <w:szCs w:val="24"/>
          <w:color w:val="auto"/>
        </w:rPr>
      </w:pPr>
    </w:p>
    <w:p>
      <w:pPr>
        <w:ind w:left="1345"/>
        <w:spacing w:after="0"/>
        <w:tabs>
          <w:tab w:leader="none" w:pos="7085" w:val="left"/>
        </w:tabs>
        <w:rPr>
          <w:sz w:val="20"/>
          <w:szCs w:val="20"/>
          <w:color w:val="auto"/>
        </w:rPr>
      </w:pPr>
      <w:r>
        <w:rPr>
          <w:rFonts w:ascii="Arial" w:cs="Arial" w:eastAsia="Arial" w:hAnsi="Arial"/>
          <w:sz w:val="18"/>
          <w:szCs w:val="18"/>
          <w:b w:val="1"/>
          <w:bCs w:val="1"/>
          <w:color w:val="auto"/>
        </w:rPr>
        <w:t>Common Stock - par value $.001 per share</w:t>
      </w:r>
      <w:r>
        <w:rPr>
          <w:sz w:val="20"/>
          <w:szCs w:val="20"/>
          <w:color w:val="auto"/>
        </w:rPr>
        <w:tab/>
      </w:r>
      <w:r>
        <w:rPr>
          <w:rFonts w:ascii="Arial" w:cs="Arial" w:eastAsia="Arial" w:hAnsi="Arial"/>
          <w:sz w:val="16"/>
          <w:szCs w:val="16"/>
          <w:b w:val="1"/>
          <w:bCs w:val="1"/>
          <w:color w:val="auto"/>
        </w:rPr>
        <w:t>NASDAQ Global Select Market</w:t>
      </w:r>
    </w:p>
    <w:p>
      <w:pPr>
        <w:spacing w:after="0" w:line="144" w:lineRule="exact"/>
        <w:rPr>
          <w:sz w:val="24"/>
          <w:szCs w:val="24"/>
          <w:color w:val="auto"/>
        </w:rPr>
      </w:pPr>
    </w:p>
    <w:p>
      <w:pPr>
        <w:ind w:left="3285"/>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43" w:lineRule="exact"/>
        <w:rPr>
          <w:sz w:val="24"/>
          <w:szCs w:val="24"/>
          <w:color w:val="auto"/>
        </w:rPr>
      </w:pPr>
    </w:p>
    <w:p>
      <w:pPr>
        <w:ind w:left="5"/>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29" w:lineRule="exact"/>
        <w:rPr>
          <w:sz w:val="24"/>
          <w:szCs w:val="24"/>
          <w:color w:val="auto"/>
        </w:rPr>
      </w:pPr>
    </w:p>
    <w:p>
      <w:pPr>
        <w:ind w:left="5"/>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161" w:lineRule="exact"/>
        <w:rPr>
          <w:sz w:val="24"/>
          <w:szCs w:val="24"/>
          <w:color w:val="auto"/>
        </w:rPr>
      </w:pPr>
    </w:p>
    <w:p>
      <w:pPr>
        <w:ind w:left="5" w:right="60"/>
        <w:spacing w:after="0" w:line="23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0" w:lineRule="exact"/>
        <w:rPr>
          <w:sz w:val="24"/>
          <w:szCs w:val="24"/>
          <w:color w:val="auto"/>
        </w:rPr>
      </w:pPr>
    </w:p>
    <w:p>
      <w:pPr>
        <w:ind w:left="5" w:right="220"/>
        <w:spacing w:after="0" w:line="320"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8" w:lineRule="exact"/>
        <w:rPr>
          <w:sz w:val="24"/>
          <w:szCs w:val="24"/>
          <w:color w:val="auto"/>
        </w:rPr>
      </w:pPr>
    </w:p>
    <w:p>
      <w:pPr>
        <w:ind w:left="5"/>
        <w:spacing w:after="0" w:line="237" w:lineRule="auto"/>
        <w:rPr>
          <w:sz w:val="20"/>
          <w:szCs w:val="20"/>
          <w:color w:val="auto"/>
        </w:rPr>
      </w:pPr>
      <w:r>
        <w:rPr>
          <w:rFonts w:ascii="Arial" w:cs="Arial" w:eastAsia="Arial" w:hAnsi="Arial"/>
          <w:sz w:val="13"/>
          <w:szCs w:val="13"/>
          <w:color w:val="auto"/>
        </w:rPr>
        <w:t>Indicate by check mark if disclosure of delinquent filers pursuant to Item 405 of Regulation S-K (§232.405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378"/>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446"/>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446"/>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446"/>
        </w:trPr>
        <w:tc>
          <w:tcPr>
            <w:tcW w:w="540" w:type="dxa"/>
            <w:vAlign w:val="bottom"/>
          </w:tcPr>
          <w:p>
            <w:pPr>
              <w:jc w:val="right"/>
              <w:ind w:right="93"/>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24"/>
                <w:szCs w:val="24"/>
                <w:color w:val="auto"/>
              </w:rPr>
            </w:pPr>
          </w:p>
        </w:tc>
      </w:tr>
    </w:tbl>
    <w:p>
      <w:pPr>
        <w:spacing w:after="0" w:line="149" w:lineRule="exact"/>
        <w:rPr>
          <w:sz w:val="24"/>
          <w:szCs w:val="24"/>
          <w:color w:val="auto"/>
        </w:rPr>
      </w:pPr>
    </w:p>
    <w:p>
      <w:pPr>
        <w:sectPr>
          <w:pgSz w:w="11900" w:h="16838" w:orient="portrait"/>
          <w:cols w:equalWidth="0" w:num="2">
            <w:col w:w="10005" w:space="160"/>
            <w:col w:w="1180"/>
          </w:cols>
          <w:pgMar w:left="275" w:top="472" w:right="279" w:bottom="1440" w:gutter="0" w:footer="0" w:header="0"/>
          <w:type w:val="continuous"/>
        </w:sectPr>
      </w:pPr>
    </w:p>
    <w:p>
      <w:pPr>
        <w:jc w:val="both"/>
        <w:ind w:left="5"/>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5" w:type="dxa"/>
        <w:tblCellMar>
          <w:top w:w="0" w:type="dxa"/>
          <w:left w:w="0" w:type="dxa"/>
          <w:bottom w:w="0" w:type="dxa"/>
          <w:right w:w="0" w:type="dxa"/>
        </w:tblCellMar>
      </w:tblPr>
      <w:tr>
        <w:trPr>
          <w:trHeight w:val="254"/>
        </w:trPr>
        <w:tc>
          <w:tcPr>
            <w:tcW w:w="1760" w:type="dxa"/>
            <w:vAlign w:val="bottom"/>
          </w:tcPr>
          <w:p>
            <w:pPr>
              <w:ind w:left="160"/>
              <w:spacing w:after="0" w:line="184"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6"/>
                <w:szCs w:val="16"/>
                <w:color w:val="auto"/>
              </w:rPr>
              <w:t>☒</w:t>
            </w:r>
          </w:p>
        </w:tc>
        <w:tc>
          <w:tcPr>
            <w:tcW w:w="1540" w:type="dxa"/>
            <w:vAlign w:val="bottom"/>
          </w:tcPr>
          <w:p>
            <w:pPr>
              <w:ind w:left="260"/>
              <w:spacing w:after="0" w:line="184"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6"/>
                <w:szCs w:val="16"/>
                <w:color w:val="auto"/>
              </w:rPr>
              <w:t>☐</w:t>
            </w:r>
          </w:p>
        </w:tc>
        <w:tc>
          <w:tcPr>
            <w:tcW w:w="2060" w:type="dxa"/>
            <w:vAlign w:val="bottom"/>
          </w:tcPr>
          <w:p>
            <w:pPr>
              <w:jc w:val="right"/>
              <w:ind w:right="277"/>
              <w:spacing w:after="0" w:line="184"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6"/>
                <w:szCs w:val="16"/>
                <w:color w:val="auto"/>
              </w:rPr>
              <w:t>☐</w:t>
            </w:r>
          </w:p>
        </w:tc>
        <w:tc>
          <w:tcPr>
            <w:tcW w:w="2260" w:type="dxa"/>
            <w:vAlign w:val="bottom"/>
          </w:tcPr>
          <w:p>
            <w:pPr>
              <w:ind w:left="340"/>
              <w:spacing w:after="0" w:line="184"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6"/>
                <w:szCs w:val="16"/>
                <w:color w:val="auto"/>
              </w:rPr>
              <w:t>☐</w:t>
            </w:r>
          </w:p>
        </w:tc>
        <w:tc>
          <w:tcPr>
            <w:tcW w:w="2740" w:type="dxa"/>
            <w:vAlign w:val="bottom"/>
          </w:tcPr>
          <w:p>
            <w:pPr>
              <w:ind w:left="340"/>
              <w:spacing w:after="0" w:line="184"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6"/>
                <w:szCs w:val="16"/>
                <w:color w:val="auto"/>
              </w:rPr>
              <w:t>☐</w:t>
            </w: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jc w:val="right"/>
              <w:ind w:right="457"/>
              <w:spacing w:after="0"/>
              <w:rPr>
                <w:sz w:val="20"/>
                <w:szCs w:val="20"/>
                <w:color w:val="auto"/>
              </w:rPr>
            </w:pPr>
            <w:r>
              <w:rPr>
                <w:rFonts w:ascii="Arial" w:cs="Arial" w:eastAsia="Arial" w:hAnsi="Arial"/>
                <w:sz w:val="13"/>
                <w:szCs w:val="13"/>
                <w:color w:val="auto"/>
              </w:rPr>
              <w:t>(Do not check if a smaller</w:t>
            </w:r>
          </w:p>
        </w:tc>
        <w:tc>
          <w:tcPr>
            <w:tcW w:w="2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60" w:type="dxa"/>
            <w:vAlign w:val="bottom"/>
          </w:tcPr>
          <w:p>
            <w:pPr>
              <w:jc w:val="right"/>
              <w:ind w:right="457"/>
              <w:spacing w:after="0"/>
              <w:rPr>
                <w:sz w:val="20"/>
                <w:szCs w:val="20"/>
                <w:color w:val="auto"/>
              </w:rPr>
            </w:pPr>
            <w:r>
              <w:rPr>
                <w:rFonts w:ascii="Arial" w:cs="Arial" w:eastAsia="Arial" w:hAnsi="Arial"/>
                <w:sz w:val="13"/>
                <w:szCs w:val="13"/>
                <w:color w:val="auto"/>
              </w:rPr>
              <w:t>reporting company)</w:t>
            </w:r>
          </w:p>
        </w:tc>
        <w:tc>
          <w:tcPr>
            <w:tcW w:w="22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0360" w:type="dxa"/>
            <w:vAlign w:val="bottom"/>
            <w:gridSpan w:val="5"/>
          </w:tcPr>
          <w:p>
            <w:pPr>
              <w:spacing w:after="0"/>
              <w:rPr>
                <w:sz w:val="20"/>
                <w:szCs w:val="20"/>
                <w:color w:val="auto"/>
              </w:rPr>
            </w:pPr>
            <w:r>
              <w:rPr>
                <w:rFonts w:ascii="Arial" w:cs="Arial" w:eastAsia="Arial" w:hAnsi="Arial"/>
                <w:sz w:val="13"/>
                <w:szCs w:val="13"/>
                <w:color w:val="auto"/>
                <w:w w:val="88"/>
              </w:rPr>
              <w:t>If an emerging growth company, indicate by check mark if the registrant has elected not to use the extended transition period for complying with any new or revised financial accounting standards provided</w:t>
            </w:r>
          </w:p>
        </w:tc>
        <w:tc>
          <w:tcPr>
            <w:tcW w:w="340" w:type="dxa"/>
            <w:vAlign w:val="bottom"/>
            <w:vMerge w:val="restart"/>
          </w:tcPr>
          <w:p>
            <w:pPr>
              <w:jc w:val="right"/>
              <w:ind w:right="79"/>
              <w:spacing w:after="0" w:line="161" w:lineRule="exact"/>
              <w:rPr>
                <w:sz w:val="20"/>
                <w:szCs w:val="20"/>
                <w:color w:val="auto"/>
              </w:rPr>
            </w:pPr>
            <w:r>
              <w:rPr>
                <w:rFonts w:ascii="MS PGothic" w:cs="MS PGothic" w:eastAsia="MS PGothic" w:hAnsi="MS PGothic"/>
                <w:sz w:val="16"/>
                <w:szCs w:val="16"/>
                <w:color w:val="auto"/>
                <w:w w:val="99"/>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3"/>
                <w:szCs w:val="13"/>
                <w:color w:val="auto"/>
              </w:rPr>
              <w:t>pursuant to Section 13(a) of the Exchange Act.</w:t>
            </w:r>
          </w:p>
        </w:tc>
        <w:tc>
          <w:tcPr>
            <w:tcW w:w="2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7620" w:type="dxa"/>
            <w:vAlign w:val="bottom"/>
            <w:gridSpan w:val="4"/>
          </w:tcPr>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tc>
        <w:tc>
          <w:tcPr>
            <w:tcW w:w="3080" w:type="dxa"/>
            <w:vAlign w:val="bottom"/>
            <w:gridSpan w:val="2"/>
          </w:tcPr>
          <w:p>
            <w:pPr>
              <w:jc w:val="right"/>
              <w:ind w:right="79"/>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bl>
    <w:p>
      <w:pPr>
        <w:spacing w:after="0" w:line="149" w:lineRule="exact"/>
        <w:rPr>
          <w:sz w:val="24"/>
          <w:szCs w:val="24"/>
          <w:color w:val="auto"/>
        </w:rPr>
      </w:pPr>
    </w:p>
    <w:p>
      <w:pPr>
        <w:jc w:val="both"/>
        <w:ind w:left="5"/>
        <w:spacing w:after="0" w:line="230"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$50,337,000,000, computed by reference to the closing sales price of the stock on NASDAQ on June 30, 2017,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86" w:lineRule="exact"/>
        <w:rPr>
          <w:sz w:val="24"/>
          <w:szCs w:val="24"/>
          <w:color w:val="auto"/>
        </w:rPr>
      </w:pPr>
    </w:p>
    <w:tbl>
      <w:tblPr>
        <w:tblLayout w:type="fixed"/>
        <w:tblInd w:w="5" w:type="dxa"/>
        <w:tblCellMar>
          <w:top w:w="0" w:type="dxa"/>
          <w:left w:w="0" w:type="dxa"/>
          <w:bottom w:w="0" w:type="dxa"/>
          <w:right w:w="0" w:type="dxa"/>
        </w:tblCellMar>
      </w:tblPr>
      <w:tr>
        <w:trPr>
          <w:trHeight w:val="160"/>
        </w:trPr>
        <w:tc>
          <w:tcPr>
            <w:tcW w:w="5740" w:type="dxa"/>
            <w:vAlign w:val="bottom"/>
            <w:gridSpan w:val="3"/>
          </w:tcPr>
          <w:p>
            <w:pPr>
              <w:spacing w:after="0"/>
              <w:rPr>
                <w:sz w:val="20"/>
                <w:szCs w:val="20"/>
                <w:color w:val="auto"/>
              </w:rPr>
            </w:pPr>
            <w:r>
              <w:rPr>
                <w:rFonts w:ascii="Arial" w:cs="Arial" w:eastAsia="Arial" w:hAnsi="Arial"/>
                <w:sz w:val="13"/>
                <w:szCs w:val="13"/>
                <w:color w:val="auto"/>
                <w:w w:val="90"/>
              </w:rPr>
              <w:t>The number of shares outstanding of each of the registrant's classes of common stock as of February 1, 2018:</w:t>
            </w:r>
          </w:p>
        </w:tc>
        <w:tc>
          <w:tcPr>
            <w:tcW w:w="2140" w:type="dxa"/>
            <w:vAlign w:val="bottom"/>
          </w:tcPr>
          <w:p>
            <w:pPr>
              <w:spacing w:after="0"/>
              <w:rPr>
                <w:sz w:val="13"/>
                <w:szCs w:val="13"/>
                <w:color w:val="auto"/>
              </w:rPr>
            </w:pPr>
          </w:p>
        </w:tc>
      </w:tr>
      <w:tr>
        <w:trPr>
          <w:trHeight w:val="415"/>
        </w:trPr>
        <w:tc>
          <w:tcPr>
            <w:tcW w:w="348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Class of Common Stock</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Number of Shares</w:t>
            </w:r>
          </w:p>
        </w:tc>
      </w:tr>
      <w:tr>
        <w:trPr>
          <w:trHeight w:val="241"/>
        </w:trPr>
        <w:tc>
          <w:tcPr>
            <w:tcW w:w="34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Class A Stock, $.001 par value</w:t>
            </w:r>
          </w:p>
        </w:tc>
        <w:tc>
          <w:tcPr>
            <w:tcW w:w="2140" w:type="dxa"/>
            <w:vAlign w:val="bottom"/>
          </w:tcPr>
          <w:p>
            <w:pPr>
              <w:jc w:val="right"/>
              <w:ind w:right="757"/>
              <w:spacing w:after="0"/>
              <w:rPr>
                <w:sz w:val="20"/>
                <w:szCs w:val="20"/>
                <w:color w:val="auto"/>
              </w:rPr>
            </w:pPr>
            <w:r>
              <w:rPr>
                <w:rFonts w:ascii="Arial" w:cs="Arial" w:eastAsia="Arial" w:hAnsi="Arial"/>
                <w:sz w:val="13"/>
                <w:szCs w:val="13"/>
                <w:color w:val="auto"/>
              </w:rPr>
              <w:t>1,911,354</w:t>
            </w:r>
          </w:p>
        </w:tc>
      </w:tr>
      <w:tr>
        <w:trPr>
          <w:trHeight w:val="270"/>
        </w:trPr>
        <w:tc>
          <w:tcPr>
            <w:tcW w:w="3480" w:type="dxa"/>
            <w:vAlign w:val="bottom"/>
          </w:tcPr>
          <w:p>
            <w:pPr>
              <w:spacing w:after="0"/>
              <w:rPr>
                <w:sz w:val="23"/>
                <w:szCs w:val="23"/>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Common Stock, $.001 par value</w:t>
            </w:r>
          </w:p>
        </w:tc>
        <w:tc>
          <w:tcPr>
            <w:tcW w:w="2140" w:type="dxa"/>
            <w:vAlign w:val="bottom"/>
          </w:tcPr>
          <w:p>
            <w:pPr>
              <w:jc w:val="right"/>
              <w:ind w:right="697"/>
              <w:spacing w:after="0"/>
              <w:rPr>
                <w:sz w:val="20"/>
                <w:szCs w:val="20"/>
                <w:color w:val="auto"/>
              </w:rPr>
            </w:pPr>
            <w:r>
              <w:rPr>
                <w:rFonts w:ascii="Arial" w:cs="Arial" w:eastAsia="Arial" w:hAnsi="Arial"/>
                <w:sz w:val="13"/>
                <w:szCs w:val="13"/>
                <w:color w:val="auto"/>
              </w:rPr>
              <w:t>105,785,444</w:t>
            </w:r>
          </w:p>
        </w:tc>
      </w:tr>
    </w:tbl>
    <w:p>
      <w:pPr>
        <w:spacing w:after="0" w:line="160"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DOCUMENTS INCORPORATED BY REFERENCE</w:t>
      </w:r>
    </w:p>
    <w:p>
      <w:pPr>
        <w:spacing w:after="0" w:line="179" w:lineRule="exact"/>
        <w:rPr>
          <w:sz w:val="24"/>
          <w:szCs w:val="24"/>
          <w:color w:val="auto"/>
        </w:rPr>
      </w:pPr>
    </w:p>
    <w:p>
      <w:pPr>
        <w:ind w:left="5"/>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2018 Annual Meeting of Shareholders are incorporated by reference into Part III of this Form 10-K.</w:t>
      </w:r>
    </w:p>
    <w:p>
      <w:pPr>
        <w:spacing w:after="0" w:line="19" w:lineRule="exact"/>
        <w:rPr>
          <w:sz w:val="24"/>
          <w:szCs w:val="24"/>
          <w:color w:val="auto"/>
        </w:rPr>
      </w:pPr>
    </w:p>
    <w:p>
      <w:pPr>
        <w:ind w:left="5"/>
        <w:spacing w:after="0"/>
        <w:rPr>
          <w:sz w:val="20"/>
          <w:szCs w:val="20"/>
          <w:color w:val="auto"/>
        </w:rPr>
      </w:pPr>
      <w:r>
        <w:rPr>
          <w:rFonts w:ascii="Arial" w:cs="Arial" w:eastAsia="Arial" w:hAnsi="Arial"/>
          <w:sz w:val="13"/>
          <w:szCs w:val="13"/>
          <w:color w:val="auto"/>
        </w:rPr>
        <w:t>Exhibit index is located on pages 88 to 95 of this filing.</w:t>
      </w:r>
    </w:p>
    <w:p>
      <w:pPr>
        <w:sectPr>
          <w:pgSz w:w="11900" w:h="16838" w:orient="portrait"/>
          <w:cols w:equalWidth="0" w:num="1">
            <w:col w:w="11345"/>
          </w:cols>
          <w:pgMar w:left="275" w:top="472" w:right="2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gridSpan w:val="5"/>
          </w:tcPr>
          <w:p>
            <w:pPr>
              <w:ind w:left="400"/>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0000FF"/>
            </w:tcBorders>
            <w:gridSpan w:val="2"/>
            <w:shd w:val="clear" w:color="auto" w:fill="CCEEFF"/>
          </w:tcPr>
          <w:p>
            <w:pPr>
              <w:spacing w:after="0" w:line="202"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w:t>
              </w:r>
            </w:hyperlink>
          </w:p>
        </w:tc>
        <w:tc>
          <w:tcPr>
            <w:tcW w:w="740" w:type="dxa"/>
            <w:vAlign w:val="bottom"/>
            <w:tcBorders>
              <w:bottom w:val="single" w:sz="8" w:color="CCEEFF"/>
            </w:tcBorders>
            <w:gridSpan w:val="6"/>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6860" w:type="dxa"/>
            <w:vAlign w:val="bottom"/>
            <w:gridSpan w:val="24"/>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060" w:type="dxa"/>
            <w:vAlign w:val="bottom"/>
            <w:gridSpan w:val="3"/>
          </w:tcPr>
          <w:p>
            <w:pPr>
              <w:jc w:val="center"/>
              <w:ind w:left="790"/>
              <w:spacing w:after="0" w:line="20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40" w:type="dxa"/>
            <w:vAlign w:val="bottom"/>
            <w:gridSpan w:val="5"/>
            <w:shd w:val="clear" w:color="auto" w:fill="CCEEFF"/>
          </w:tcPr>
          <w:p>
            <w:pPr>
              <w:spacing w:after="0" w:line="202" w:lineRule="exact"/>
              <w:rPr>
                <w:rFonts w:ascii="Arial" w:cs="Arial" w:eastAsia="Arial" w:hAnsi="Arial"/>
                <w:sz w:val="18"/>
                <w:szCs w:val="18"/>
                <w:color w:val="0000FF"/>
                <w:w w:val="92"/>
              </w:rPr>
            </w:pPr>
            <w:hyperlink w:anchor="page31">
              <w:r>
                <w:rPr>
                  <w:rFonts w:ascii="Arial" w:cs="Arial" w:eastAsia="Arial" w:hAnsi="Arial"/>
                  <w:sz w:val="18"/>
                  <w:szCs w:val="18"/>
                  <w:color w:val="0000FF"/>
                  <w:w w:val="92"/>
                </w:rPr>
                <w:t>Item 1A.</w:t>
              </w:r>
            </w:hyperlink>
          </w:p>
        </w:tc>
        <w:tc>
          <w:tcPr>
            <w:tcW w:w="680" w:type="dxa"/>
            <w:vAlign w:val="bottom"/>
            <w:gridSpan w:val="3"/>
            <w:shd w:val="clear" w:color="auto" w:fill="CCEEFF"/>
          </w:tcPr>
          <w:p>
            <w:pPr>
              <w:spacing w:after="0"/>
              <w:rPr>
                <w:sz w:val="17"/>
                <w:szCs w:val="17"/>
                <w:color w:val="auto"/>
              </w:rPr>
            </w:pPr>
          </w:p>
        </w:tc>
        <w:tc>
          <w:tcPr>
            <w:tcW w:w="900" w:type="dxa"/>
            <w:vAlign w:val="bottom"/>
            <w:gridSpan w:val="4"/>
            <w:shd w:val="clear" w:color="auto" w:fill="CCEEFF"/>
          </w:tcPr>
          <w:p>
            <w:pPr>
              <w:spacing w:after="0" w:line="202" w:lineRule="exact"/>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5960" w:type="dxa"/>
            <w:vAlign w:val="bottom"/>
            <w:gridSpan w:val="20"/>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40" w:type="dxa"/>
            <w:vAlign w:val="bottom"/>
            <w:gridSpan w:val="5"/>
          </w:tcPr>
          <w:p>
            <w:pPr>
              <w:spacing w:after="0" w:line="202" w:lineRule="exact"/>
              <w:rPr>
                <w:rFonts w:ascii="Arial" w:cs="Arial" w:eastAsia="Arial" w:hAnsi="Arial"/>
                <w:sz w:val="18"/>
                <w:szCs w:val="18"/>
                <w:color w:val="0000FF"/>
                <w:w w:val="92"/>
              </w:rPr>
            </w:pPr>
            <w:hyperlink w:anchor="page61">
              <w:r>
                <w:rPr>
                  <w:rFonts w:ascii="Arial" w:cs="Arial" w:eastAsia="Arial" w:hAnsi="Arial"/>
                  <w:sz w:val="18"/>
                  <w:szCs w:val="18"/>
                  <w:color w:val="0000FF"/>
                  <w:w w:val="92"/>
                </w:rPr>
                <w:t>Item 1B.</w:t>
              </w:r>
            </w:hyperlink>
          </w:p>
        </w:tc>
        <w:tc>
          <w:tcPr>
            <w:tcW w:w="680" w:type="dxa"/>
            <w:vAlign w:val="bottom"/>
            <w:gridSpan w:val="3"/>
          </w:tcPr>
          <w:p>
            <w:pPr>
              <w:spacing w:after="0"/>
              <w:rPr>
                <w:sz w:val="17"/>
                <w:szCs w:val="17"/>
                <w:color w:val="auto"/>
              </w:rPr>
            </w:pPr>
          </w:p>
        </w:tc>
        <w:tc>
          <w:tcPr>
            <w:tcW w:w="6860" w:type="dxa"/>
            <w:vAlign w:val="bottom"/>
            <w:gridSpan w:val="24"/>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Unresolved Staff Comments</w:t>
              </w:r>
            </w:hyperlink>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Item 2.</w:t>
              </w:r>
            </w:hyperlink>
          </w:p>
        </w:tc>
        <w:tc>
          <w:tcPr>
            <w:tcW w:w="6860" w:type="dxa"/>
            <w:vAlign w:val="bottom"/>
            <w:gridSpan w:val="24"/>
            <w:shd w:val="clear" w:color="auto" w:fill="CCEEFF"/>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Properties</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Item 3.</w:t>
              </w:r>
            </w:hyperlink>
          </w:p>
        </w:tc>
        <w:tc>
          <w:tcPr>
            <w:tcW w:w="6860" w:type="dxa"/>
            <w:vAlign w:val="bottom"/>
            <w:gridSpan w:val="24"/>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Legal Proceedings</w:t>
              </w:r>
            </w:hyperlink>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61</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320" w:type="dxa"/>
            <w:vAlign w:val="bottom"/>
            <w:gridSpan w:val="8"/>
            <w:shd w:val="clear" w:color="auto" w:fill="CCEEFF"/>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Item 4.</w:t>
              </w:r>
            </w:hyperlink>
          </w:p>
        </w:tc>
        <w:tc>
          <w:tcPr>
            <w:tcW w:w="6860" w:type="dxa"/>
            <w:vAlign w:val="bottom"/>
            <w:gridSpan w:val="24"/>
            <w:shd w:val="clear" w:color="auto" w:fill="CCEEFF"/>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Mine Safety Disclosures</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61</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320" w:type="dxa"/>
            <w:vAlign w:val="bottom"/>
            <w:gridSpan w:val="8"/>
            <w:shd w:val="clear" w:color="auto" w:fill="CCEEFF"/>
          </w:tcPr>
          <w:p>
            <w:pPr>
              <w:spacing w:after="0" w:line="202" w:lineRule="exact"/>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PART II</w:t>
              </w:r>
            </w:hyperlink>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640" w:type="dxa"/>
            <w:vAlign w:val="bottom"/>
            <w:tcBorders>
              <w:top w:val="single" w:sz="8" w:color="0000FF"/>
            </w:tcBorders>
            <w:gridSpan w:val="5"/>
          </w:tcPr>
          <w:p>
            <w:pPr>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Item 5.</w:t>
              </w:r>
            </w:hyperlink>
          </w:p>
        </w:tc>
        <w:tc>
          <w:tcPr>
            <w:tcW w:w="680" w:type="dxa"/>
            <w:vAlign w:val="bottom"/>
            <w:tcBorders>
              <w:top w:val="single" w:sz="8" w:color="CCEEFF"/>
            </w:tcBorders>
            <w:gridSpan w:val="3"/>
          </w:tcPr>
          <w:p>
            <w:pPr>
              <w:spacing w:after="0"/>
              <w:rPr>
                <w:sz w:val="17"/>
                <w:szCs w:val="17"/>
                <w:color w:val="auto"/>
              </w:rPr>
            </w:pPr>
          </w:p>
        </w:tc>
        <w:tc>
          <w:tcPr>
            <w:tcW w:w="6860" w:type="dxa"/>
            <w:vAlign w:val="bottom"/>
            <w:tcBorders>
              <w:top w:val="single" w:sz="8" w:color="CCEEFF"/>
            </w:tcBorders>
            <w:gridSpan w:val="24"/>
          </w:tcPr>
          <w:p>
            <w:pPr>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Market for Registrant's Common Equity, Related Stockholder Matters, and Issuer</w:t>
              </w:r>
            </w:hyperlink>
          </w:p>
        </w:tc>
        <w:tc>
          <w:tcPr>
            <w:tcW w:w="1060" w:type="dxa"/>
            <w:vAlign w:val="bottom"/>
            <w:tcBorders>
              <w:top w:val="single" w:sz="8" w:color="CCEEFF"/>
            </w:tcBorders>
            <w:gridSpan w:val="3"/>
          </w:tcPr>
          <w:p>
            <w:pPr>
              <w:jc w:val="center"/>
              <w:ind w:left="790"/>
              <w:spacing w:after="0" w:line="202"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62</w:t>
              </w:r>
            </w:hyperlink>
          </w:p>
        </w:tc>
        <w:tc>
          <w:tcPr>
            <w:tcW w:w="4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Purchases of Equity Securities</w:t>
              </w:r>
            </w:hyperlink>
          </w:p>
        </w:tc>
        <w:tc>
          <w:tcPr>
            <w:tcW w:w="10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Item 6.</w:t>
              </w:r>
            </w:hyperlink>
          </w:p>
        </w:tc>
        <w:tc>
          <w:tcPr>
            <w:tcW w:w="6860" w:type="dxa"/>
            <w:vAlign w:val="bottom"/>
            <w:gridSpan w:val="24"/>
            <w:shd w:val="clear" w:color="auto" w:fill="CCEEFF"/>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Selected Financial Data</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Item 7.</w:t>
              </w:r>
            </w:hyperlink>
          </w:p>
        </w:tc>
        <w:tc>
          <w:tcPr>
            <w:tcW w:w="6860" w:type="dxa"/>
            <w:vAlign w:val="bottom"/>
            <w:gridSpan w:val="24"/>
          </w:tcPr>
          <w:p>
            <w:pPr>
              <w:spacing w:after="0" w:line="202" w:lineRule="exact"/>
              <w:rPr>
                <w:rFonts w:ascii="Arial" w:cs="Arial" w:eastAsia="Arial" w:hAnsi="Arial"/>
                <w:sz w:val="18"/>
                <w:szCs w:val="18"/>
                <w:color w:val="0000FF"/>
                <w:w w:val="96"/>
              </w:rPr>
            </w:pPr>
            <w:hyperlink w:anchor="page67">
              <w:r>
                <w:rPr>
                  <w:rFonts w:ascii="Arial" w:cs="Arial" w:eastAsia="Arial" w:hAnsi="Arial"/>
                  <w:sz w:val="18"/>
                  <w:szCs w:val="18"/>
                  <w:color w:val="0000FF"/>
                  <w:w w:val="96"/>
                </w:rPr>
                <w:t>Management's Discussion and Analysis of Financial Condition and Results of Operations</w:t>
              </w:r>
            </w:hyperlink>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40" w:type="dxa"/>
            <w:vAlign w:val="bottom"/>
            <w:gridSpan w:val="5"/>
            <w:shd w:val="clear" w:color="auto" w:fill="CCEEFF"/>
          </w:tcPr>
          <w:p>
            <w:pPr>
              <w:spacing w:after="0" w:line="202" w:lineRule="exact"/>
              <w:rPr>
                <w:rFonts w:ascii="Arial" w:cs="Arial" w:eastAsia="Arial" w:hAnsi="Arial"/>
                <w:sz w:val="18"/>
                <w:szCs w:val="18"/>
                <w:color w:val="0000FF"/>
                <w:w w:val="92"/>
              </w:rPr>
            </w:pPr>
            <w:hyperlink w:anchor="page86">
              <w:r>
                <w:rPr>
                  <w:rFonts w:ascii="Arial" w:cs="Arial" w:eastAsia="Arial" w:hAnsi="Arial"/>
                  <w:sz w:val="18"/>
                  <w:szCs w:val="18"/>
                  <w:color w:val="0000FF"/>
                  <w:w w:val="92"/>
                </w:rPr>
                <w:t>Item 7A.</w:t>
              </w:r>
            </w:hyperlink>
          </w:p>
        </w:tc>
        <w:tc>
          <w:tcPr>
            <w:tcW w:w="680" w:type="dxa"/>
            <w:vAlign w:val="bottom"/>
            <w:gridSpan w:val="3"/>
            <w:shd w:val="clear" w:color="auto" w:fill="CCEEFF"/>
          </w:tcPr>
          <w:p>
            <w:pPr>
              <w:spacing w:after="0"/>
              <w:rPr>
                <w:sz w:val="17"/>
                <w:szCs w:val="17"/>
                <w:color w:val="auto"/>
              </w:rPr>
            </w:pPr>
          </w:p>
        </w:tc>
        <w:tc>
          <w:tcPr>
            <w:tcW w:w="4360" w:type="dxa"/>
            <w:vAlign w:val="bottom"/>
            <w:gridSpan w:val="18"/>
            <w:shd w:val="clear" w:color="auto" w:fill="CCEEFF"/>
          </w:tcPr>
          <w:p>
            <w:pPr>
              <w:spacing w:after="0" w:line="202" w:lineRule="exact"/>
              <w:rPr>
                <w:rFonts w:ascii="Arial" w:cs="Arial" w:eastAsia="Arial" w:hAnsi="Arial"/>
                <w:sz w:val="18"/>
                <w:szCs w:val="18"/>
                <w:color w:val="0000FF"/>
                <w:w w:val="92"/>
              </w:rPr>
            </w:pPr>
            <w:hyperlink w:anchor="page86">
              <w:r>
                <w:rPr>
                  <w:rFonts w:ascii="Arial" w:cs="Arial" w:eastAsia="Arial" w:hAnsi="Arial"/>
                  <w:sz w:val="18"/>
                  <w:szCs w:val="18"/>
                  <w:color w:val="0000FF"/>
                  <w:w w:val="92"/>
                </w:rPr>
                <w:t>Quantitative and Qualitative Disclosures About Market Risk</w:t>
              </w:r>
            </w:hyperlink>
          </w:p>
        </w:tc>
        <w:tc>
          <w:tcPr>
            <w:tcW w:w="2500" w:type="dxa"/>
            <w:vAlign w:val="bottom"/>
            <w:gridSpan w:val="6"/>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40" w:type="dxa"/>
            <w:vAlign w:val="bottom"/>
            <w:gridSpan w:val="5"/>
          </w:tcPr>
          <w:p>
            <w:pPr>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Item 8.</w:t>
              </w:r>
            </w:hyperlink>
          </w:p>
        </w:tc>
        <w:tc>
          <w:tcPr>
            <w:tcW w:w="680" w:type="dxa"/>
            <w:vAlign w:val="bottom"/>
            <w:gridSpan w:val="3"/>
          </w:tcPr>
          <w:p>
            <w:pPr>
              <w:spacing w:after="0"/>
              <w:rPr>
                <w:sz w:val="17"/>
                <w:szCs w:val="17"/>
                <w:color w:val="auto"/>
              </w:rPr>
            </w:pPr>
          </w:p>
        </w:tc>
        <w:tc>
          <w:tcPr>
            <w:tcW w:w="4360" w:type="dxa"/>
            <w:vAlign w:val="bottom"/>
            <w:gridSpan w:val="18"/>
          </w:tcPr>
          <w:p>
            <w:pPr>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Financial Statements and Supplementary Data</w:t>
              </w:r>
            </w:hyperlink>
          </w:p>
        </w:tc>
        <w:tc>
          <w:tcPr>
            <w:tcW w:w="2500" w:type="dxa"/>
            <w:vAlign w:val="bottom"/>
            <w:gridSpan w:val="6"/>
          </w:tcPr>
          <w:p>
            <w:pPr>
              <w:spacing w:after="0"/>
              <w:rPr>
                <w:sz w:val="17"/>
                <w:szCs w:val="17"/>
                <w:color w:val="auto"/>
              </w:rPr>
            </w:pPr>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Item 9.</w:t>
              </w:r>
            </w:hyperlink>
          </w:p>
        </w:tc>
        <w:tc>
          <w:tcPr>
            <w:tcW w:w="6860" w:type="dxa"/>
            <w:vAlign w:val="bottom"/>
            <w:gridSpan w:val="24"/>
            <w:shd w:val="clear" w:color="auto" w:fill="CCEEFF"/>
          </w:tcPr>
          <w:p>
            <w:pPr>
              <w:spacing w:after="0" w:line="202" w:lineRule="exact"/>
              <w:rPr>
                <w:rFonts w:ascii="Arial" w:cs="Arial" w:eastAsia="Arial" w:hAnsi="Arial"/>
                <w:sz w:val="18"/>
                <w:szCs w:val="18"/>
                <w:color w:val="0000FF"/>
                <w:w w:val="95"/>
              </w:rPr>
            </w:pPr>
            <w:hyperlink w:anchor="page87">
              <w:r>
                <w:rPr>
                  <w:rFonts w:ascii="Arial" w:cs="Arial" w:eastAsia="Arial" w:hAnsi="Arial"/>
                  <w:sz w:val="18"/>
                  <w:szCs w:val="18"/>
                  <w:color w:val="0000FF"/>
                  <w:w w:val="95"/>
                </w:rPr>
                <w:t>Changes in and Disagreements with Accountants on Accounting and Financial Disclosure</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Item 9A.</w:t>
              </w:r>
            </w:hyperlink>
          </w:p>
        </w:tc>
        <w:tc>
          <w:tcPr>
            <w:tcW w:w="6860" w:type="dxa"/>
            <w:vAlign w:val="bottom"/>
            <w:gridSpan w:val="24"/>
          </w:tcPr>
          <w:p>
            <w:pPr>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Controls and Procedures</w:t>
              </w:r>
            </w:hyperlink>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87</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320" w:type="dxa"/>
            <w:vAlign w:val="bottom"/>
            <w:gridSpan w:val="8"/>
            <w:shd w:val="clear" w:color="auto" w:fill="CCEEFF"/>
          </w:tcPr>
          <w:p>
            <w:pPr>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Item 9B.</w:t>
              </w:r>
            </w:hyperlink>
          </w:p>
        </w:tc>
        <w:tc>
          <w:tcPr>
            <w:tcW w:w="6860" w:type="dxa"/>
            <w:vAlign w:val="bottom"/>
            <w:gridSpan w:val="24"/>
            <w:shd w:val="clear" w:color="auto" w:fill="CCEEFF"/>
          </w:tcPr>
          <w:p>
            <w:pPr>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Other Information</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87</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PART III</w:t>
              </w:r>
            </w:hyperlink>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Item 10.</w:t>
              </w:r>
            </w:hyperlink>
          </w:p>
        </w:tc>
        <w:tc>
          <w:tcPr>
            <w:tcW w:w="6860" w:type="dxa"/>
            <w:vAlign w:val="bottom"/>
            <w:gridSpan w:val="24"/>
          </w:tcPr>
          <w:p>
            <w:pPr>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Directors, Executive Officers and Corporate Governance</w:t>
              </w:r>
            </w:hyperlink>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320" w:type="dxa"/>
            <w:vAlign w:val="bottom"/>
            <w:gridSpan w:val="8"/>
            <w:shd w:val="clear" w:color="auto" w:fill="CCEEFF"/>
          </w:tcPr>
          <w:p>
            <w:pPr>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Item 11.</w:t>
              </w:r>
            </w:hyperlink>
          </w:p>
        </w:tc>
        <w:tc>
          <w:tcPr>
            <w:tcW w:w="6860" w:type="dxa"/>
            <w:vAlign w:val="bottom"/>
            <w:gridSpan w:val="24"/>
            <w:shd w:val="clear" w:color="auto" w:fill="CCEEFF"/>
          </w:tcPr>
          <w:p>
            <w:pPr>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Executive Compensation</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3"/>
          </w:tcPr>
          <w:p>
            <w:pPr>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Item 12.</w:t>
              </w:r>
            </w:hyperlink>
          </w:p>
        </w:tc>
        <w:tc>
          <w:tcPr>
            <w:tcW w:w="720" w:type="dxa"/>
            <w:vAlign w:val="bottom"/>
            <w:gridSpan w:val="5"/>
          </w:tcPr>
          <w:p>
            <w:pPr>
              <w:spacing w:after="0"/>
              <w:rPr>
                <w:sz w:val="17"/>
                <w:szCs w:val="17"/>
                <w:color w:val="auto"/>
              </w:rPr>
            </w:pPr>
          </w:p>
        </w:tc>
        <w:tc>
          <w:tcPr>
            <w:tcW w:w="5780" w:type="dxa"/>
            <w:vAlign w:val="bottom"/>
            <w:gridSpan w:val="20"/>
          </w:tcPr>
          <w:p>
            <w:pPr>
              <w:spacing w:after="0" w:line="202"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Security Ownership of Certain Beneficial Owners and Management and Related</w:t>
              </w:r>
            </w:hyperlink>
          </w:p>
        </w:tc>
        <w:tc>
          <w:tcPr>
            <w:tcW w:w="1080" w:type="dxa"/>
            <w:vAlign w:val="bottom"/>
            <w:gridSpan w:val="4"/>
          </w:tcPr>
          <w:p>
            <w:pPr>
              <w:spacing w:after="0"/>
              <w:rPr>
                <w:sz w:val="17"/>
                <w:szCs w:val="17"/>
                <w:color w:val="auto"/>
              </w:rPr>
            </w:pPr>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89">
              <w:r>
                <w:rPr>
                  <w:rFonts w:ascii="Arial" w:cs="Arial" w:eastAsia="Arial" w:hAnsi="Arial"/>
                  <w:sz w:val="18"/>
                  <w:szCs w:val="18"/>
                  <w:color w:val="0000FF"/>
                </w:rPr>
                <w:t>Stockholder Matters</w:t>
              </w:r>
            </w:hyperlink>
          </w:p>
        </w:tc>
        <w:tc>
          <w:tcPr>
            <w:tcW w:w="10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Item 13.</w:t>
              </w:r>
            </w:hyperlink>
          </w:p>
        </w:tc>
        <w:tc>
          <w:tcPr>
            <w:tcW w:w="720" w:type="dxa"/>
            <w:vAlign w:val="bottom"/>
            <w:gridSpan w:val="5"/>
            <w:shd w:val="clear" w:color="auto" w:fill="CCEEFF"/>
          </w:tcPr>
          <w:p>
            <w:pPr>
              <w:spacing w:after="0"/>
              <w:rPr>
                <w:sz w:val="17"/>
                <w:szCs w:val="17"/>
                <w:color w:val="auto"/>
              </w:rPr>
            </w:pPr>
          </w:p>
        </w:tc>
        <w:tc>
          <w:tcPr>
            <w:tcW w:w="6860" w:type="dxa"/>
            <w:vAlign w:val="bottom"/>
            <w:gridSpan w:val="24"/>
            <w:shd w:val="clear" w:color="auto" w:fill="CCEEFF"/>
          </w:tcPr>
          <w:p>
            <w:pPr>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Certain Relationships and Related Transactions, and Director Independence</w:t>
              </w:r>
            </w:hyperlink>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3"/>
          </w:tcPr>
          <w:p>
            <w:pPr>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Item 14.</w:t>
              </w:r>
            </w:hyperlink>
          </w:p>
        </w:tc>
        <w:tc>
          <w:tcPr>
            <w:tcW w:w="720" w:type="dxa"/>
            <w:vAlign w:val="bottom"/>
            <w:gridSpan w:val="5"/>
          </w:tcPr>
          <w:p>
            <w:pPr>
              <w:spacing w:after="0"/>
              <w:rPr>
                <w:sz w:val="17"/>
                <w:szCs w:val="17"/>
                <w:color w:val="auto"/>
              </w:rPr>
            </w:pPr>
          </w:p>
        </w:tc>
        <w:tc>
          <w:tcPr>
            <w:tcW w:w="5440" w:type="dxa"/>
            <w:vAlign w:val="bottom"/>
            <w:gridSpan w:val="19"/>
          </w:tcPr>
          <w:p>
            <w:pPr>
              <w:spacing w:after="0" w:line="202" w:lineRule="exact"/>
              <w:rPr>
                <w:rFonts w:ascii="Arial" w:cs="Arial" w:eastAsia="Arial" w:hAnsi="Arial"/>
                <w:sz w:val="18"/>
                <w:szCs w:val="18"/>
                <w:color w:val="0000FF"/>
              </w:rPr>
            </w:pPr>
            <w:hyperlink w:anchor="page89">
              <w:r>
                <w:rPr>
                  <w:rFonts w:ascii="Arial" w:cs="Arial" w:eastAsia="Arial" w:hAnsi="Arial"/>
                  <w:sz w:val="18"/>
                  <w:szCs w:val="18"/>
                  <w:color w:val="0000FF"/>
                </w:rPr>
                <w:t>Principal Accounting Fees and Services</w:t>
              </w:r>
            </w:hyperlink>
          </w:p>
        </w:tc>
        <w:tc>
          <w:tcPr>
            <w:tcW w:w="1420" w:type="dxa"/>
            <w:vAlign w:val="bottom"/>
            <w:gridSpan w:val="5"/>
          </w:tcPr>
          <w:p>
            <w:pPr>
              <w:spacing w:after="0"/>
              <w:rPr>
                <w:sz w:val="17"/>
                <w:szCs w:val="17"/>
                <w:color w:val="auto"/>
              </w:rPr>
            </w:pPr>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320" w:type="dxa"/>
            <w:vAlign w:val="bottom"/>
            <w:gridSpan w:val="8"/>
          </w:tcPr>
          <w:p>
            <w:pPr>
              <w:spacing w:after="0" w:line="202" w:lineRule="exact"/>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PART IV</w:t>
              </w:r>
            </w:hyperlink>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Item 15.</w:t>
              </w:r>
            </w:hyperlink>
          </w:p>
        </w:tc>
        <w:tc>
          <w:tcPr>
            <w:tcW w:w="720" w:type="dxa"/>
            <w:vAlign w:val="bottom"/>
            <w:gridSpan w:val="5"/>
            <w:shd w:val="clear" w:color="auto" w:fill="CCEEFF"/>
          </w:tcPr>
          <w:p>
            <w:pPr>
              <w:spacing w:after="0"/>
              <w:rPr>
                <w:sz w:val="17"/>
                <w:szCs w:val="17"/>
                <w:color w:val="auto"/>
              </w:rPr>
            </w:pPr>
          </w:p>
        </w:tc>
        <w:tc>
          <w:tcPr>
            <w:tcW w:w="3160" w:type="dxa"/>
            <w:vAlign w:val="bottom"/>
            <w:gridSpan w:val="15"/>
            <w:shd w:val="clear" w:color="auto" w:fill="CCEEFF"/>
          </w:tcPr>
          <w:p>
            <w:pPr>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Exhibits and Financial Statement Schedules</w:t>
              </w:r>
            </w:hyperlink>
          </w:p>
        </w:tc>
        <w:tc>
          <w:tcPr>
            <w:tcW w:w="3700" w:type="dxa"/>
            <w:vAlign w:val="bottom"/>
            <w:gridSpan w:val="9"/>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center"/>
              <w:ind w:left="790"/>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3"/>
          </w:tcPr>
          <w:p>
            <w:pPr>
              <w:spacing w:after="0" w:line="202"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Item 16.</w:t>
              </w:r>
            </w:hyperlink>
          </w:p>
        </w:tc>
        <w:tc>
          <w:tcPr>
            <w:tcW w:w="720" w:type="dxa"/>
            <w:vAlign w:val="bottom"/>
            <w:gridSpan w:val="5"/>
          </w:tcPr>
          <w:p>
            <w:pPr>
              <w:spacing w:after="0"/>
              <w:rPr>
                <w:sz w:val="17"/>
                <w:szCs w:val="17"/>
                <w:color w:val="auto"/>
              </w:rPr>
            </w:pPr>
          </w:p>
        </w:tc>
        <w:tc>
          <w:tcPr>
            <w:tcW w:w="3160" w:type="dxa"/>
            <w:vAlign w:val="bottom"/>
            <w:gridSpan w:val="15"/>
          </w:tcPr>
          <w:p>
            <w:pPr>
              <w:spacing w:after="0" w:line="202" w:lineRule="exact"/>
              <w:rPr>
                <w:rFonts w:ascii="Arial" w:cs="Arial" w:eastAsia="Arial" w:hAnsi="Arial"/>
                <w:sz w:val="18"/>
                <w:szCs w:val="18"/>
                <w:color w:val="0000FF"/>
              </w:rPr>
            </w:pPr>
            <w:hyperlink w:anchor="page96">
              <w:r>
                <w:rPr>
                  <w:rFonts w:ascii="Arial" w:cs="Arial" w:eastAsia="Arial" w:hAnsi="Arial"/>
                  <w:sz w:val="18"/>
                  <w:szCs w:val="18"/>
                  <w:color w:val="0000FF"/>
                </w:rPr>
                <w:t>Form 10-K Summary</w:t>
              </w:r>
            </w:hyperlink>
          </w:p>
        </w:tc>
        <w:tc>
          <w:tcPr>
            <w:tcW w:w="3700" w:type="dxa"/>
            <w:vAlign w:val="bottom"/>
            <w:gridSpan w:val="9"/>
          </w:tcPr>
          <w:p>
            <w:pPr>
              <w:spacing w:after="0"/>
              <w:rPr>
                <w:sz w:val="17"/>
                <w:szCs w:val="17"/>
                <w:color w:val="auto"/>
              </w:rPr>
            </w:pPr>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96">
              <w:r>
                <w:rPr>
                  <w:rFonts w:ascii="Arial" w:cs="Arial" w:eastAsia="Arial" w:hAnsi="Arial"/>
                  <w:sz w:val="18"/>
                  <w:szCs w:val="18"/>
                  <w:color w:val="0000FF"/>
                  <w:w w:val="89"/>
                </w:rPr>
                <w:t>95</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1580" w:type="dxa"/>
            <w:vAlign w:val="bottom"/>
            <w:gridSpan w:val="9"/>
          </w:tcPr>
          <w:p>
            <w:pPr>
              <w:spacing w:after="0" w:line="202" w:lineRule="exact"/>
              <w:rPr>
                <w:rFonts w:ascii="Arial" w:cs="Arial" w:eastAsia="Arial" w:hAnsi="Arial"/>
                <w:sz w:val="18"/>
                <w:szCs w:val="18"/>
                <w:b w:val="1"/>
                <w:bCs w:val="1"/>
                <w:color w:val="0000FF"/>
                <w:w w:val="96"/>
              </w:rPr>
            </w:pPr>
            <w:hyperlink w:anchor="page97">
              <w:r>
                <w:rPr>
                  <w:rFonts w:ascii="Arial" w:cs="Arial" w:eastAsia="Arial" w:hAnsi="Arial"/>
                  <w:sz w:val="18"/>
                  <w:szCs w:val="18"/>
                  <w:b w:val="1"/>
                  <w:bCs w:val="1"/>
                  <w:color w:val="0000FF"/>
                  <w:w w:val="96"/>
                </w:rPr>
                <w:t>SIGNATURE PAGE</w:t>
              </w:r>
            </w:hyperlink>
          </w:p>
        </w:tc>
        <w:tc>
          <w:tcPr>
            <w:tcW w:w="6600" w:type="dxa"/>
            <w:vAlign w:val="bottom"/>
            <w:gridSpan w:val="23"/>
          </w:tcPr>
          <w:p>
            <w:pPr>
              <w:spacing w:after="0"/>
              <w:rPr>
                <w:sz w:val="17"/>
                <w:szCs w:val="17"/>
                <w:color w:val="auto"/>
              </w:rPr>
            </w:pPr>
          </w:p>
        </w:tc>
        <w:tc>
          <w:tcPr>
            <w:tcW w:w="1060" w:type="dxa"/>
            <w:vAlign w:val="bottom"/>
            <w:gridSpan w:val="3"/>
          </w:tcPr>
          <w:p>
            <w:pPr>
              <w:jc w:val="center"/>
              <w:ind w:left="790"/>
              <w:spacing w:after="0" w:line="202"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96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40"/>
        <w:spacing w:after="0" w:line="20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400"/>
          </w:cols>
          <w:pgMar w:left="240" w:top="130"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(aflibercept) Injection, Dupixent</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(dupilumab) Injection, Praluent</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(alirocumab) Injection, Kevzara</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(sarilumab) Injection, cemiplimab,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cemiplimab,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and Kevzara),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Dupixent and Praluent described further in Note 17 to our Consolidated Financial Statements included in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 allergic and inflammatory diseases, heart disease, pain, cancer, and infectious and other serious medical conditions.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significant 2017 business highlights include:</w:t>
      </w:r>
    </w:p>
    <w:p>
      <w:pPr>
        <w:spacing w:after="0" w:line="144" w:lineRule="exact"/>
        <w:rPr>
          <w:sz w:val="20"/>
          <w:szCs w:val="20"/>
          <w:color w:val="auto"/>
        </w:rPr>
      </w:pPr>
    </w:p>
    <w:p>
      <w:pPr>
        <w:jc w:val="both"/>
        <w:ind w:left="660" w:hanging="328"/>
        <w:spacing w:after="0" w:line="28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EYLEA (aflibercept) Injection, which is approved by the U.S. Food and Drug Administration (FDA), European Union (EU), Japan, and certain other countries for use in retinal indications, delivered net sales growth of 11.4% over 2016 in the United States and net sales growth of 18.9% outside the United States. In December 2017, the supplemental Biologics License Application (sBLA) for a 12-week dosing interval of EYLEA in patients with neovascular age-related macular degeneration (wet AMD) was filed with the FDA, with a target action date of August 11, 2018. A Phase 3 study for the treatment of non-proliferative diabetic retinopathy (NPDR) in patients without diabetic macular edema (DME) completed enrollment.</w:t>
      </w:r>
    </w:p>
    <w:p>
      <w:pPr>
        <w:spacing w:after="0" w:line="2"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Dupixent (dupilumab) for the treatment of adults with moderate-to-severe atopic dermatitis received regulatory approval in the United States and EU. We also reported positive results from two additional pivotal Phase 3 studies of dupilumab for the treatment of asthma, and recently submitted an sBLA with the FDA. We reported positive results in the Phase 2 study in eosinophilic esophagitis (EoE). Phase 3 studies in patients (12-17 years of age and 6-11 years of age) with atopic dermatitis and pediatric patients (6-11 years of age) with asthma were initiated.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Phase 3 cardiovascular outcomes study of Praluent has recently been completed, and a Phase 3 study for the treatment of homozygous familial hypercholesterolemia (HoFH) was initiated. The U.S. Court of Appeals for the Federal Circuit ordered a new trial on the issues of written description and enablement and vacated the permanent injunction in the ongoing PCSK9 litigation. The sBLA for use of Praluent with apheresis was filed with the FDA, with a target action date of August 24, 2018.</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Kevzara for the treatment of adult patients with moderately to severely active rheumatoid arthritis (RA) received regulatory approval in the United States, EU, and Japan.</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positive top-line results from a pivotal Phase 2 study of cemiplimab in advanced cutaneous squamous cell carcinoma (CSCC). We have commenced a rolling BLA submission to the FDA and expect to complete the submission in the first quarter of 2018. The FDA granted Breakthrough Therapy designation to cemiplimab for the treatment of adults with metastatic CSCC and adults with locally advanced and unresectable CSCC. A Phase 3 study as a first-line treatment for non-small cell lung cancer (NSCLC) and a Phase 3 study in cervical cancer were initiated. A potentially pivotal Phase 2 study in basal cell carcinoma (BCC) was also initiated.</w:t>
      </w:r>
    </w:p>
    <w:p>
      <w:pPr>
        <w:spacing w:after="0" w:line="2"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3 efficacy studies of fasinumab in osteoarthritis of the knee or hip were initiated, while the Phase 3 long-term safety study in osteoarthritis continued patient enrollment. A Phase 3 study in chronic low back pain in patients with concomitant osteoarthritis of the knee and hip was also initiated.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granted Breakthrough Therapy designation for evinacumab for the treatment of hypercholesterolemia in patients with HoFH.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advanced one new product candidate (REGN3918, an antibody to complement 5 (C5)) into Phase 1 clinical development.</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significant new research and development license and collaboration arrangements, including agreements with the Biomedical Advanced Research Development Authority (BARDA) of the U.S. Department of Health and Human Services (HHS) to develop new treatments to combat infectious diseases; Decibel Therapeutics, Inc. to discover and develop new potential therapeutics to protect, repair, and restore hearing; and ISA Pharmaceuticals B.V. to develop ISA101, an immunotherapy targeting human papillomavirus type 16 (HPV16)-induced cancer, in combination with cemiplimab.</w:t>
      </w:r>
    </w:p>
    <w:p>
      <w:pPr>
        <w:spacing w:after="0" w:line="2" w:lineRule="exact"/>
        <w:rPr>
          <w:rFonts w:ascii="Arial" w:cs="Arial" w:eastAsia="Arial" w:hAnsi="Arial"/>
          <w:sz w:val="18"/>
          <w:szCs w:val="18"/>
          <w:color w:val="auto"/>
        </w:rPr>
      </w:pPr>
    </w:p>
    <w:p>
      <w:pPr>
        <w:jc w:val="both"/>
        <w:ind w:left="660" w:hanging="328"/>
        <w:spacing w:after="0" w:line="22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a growth perspective, we hired our 6,000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employee, completed a new lease financing for our laboratory and office facilities in Tarrytown, New York, continued to expand our bulk drug product manufacturing operations in Rensselaer, New York, and continued build-out and validation activities at our Limerick, Ireland commercial manufacturing facility.</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were named the top employer in the global biotech and pharmaceutical industry by </w:t>
      </w:r>
      <w:r>
        <w:rPr>
          <w:rFonts w:ascii="Arial" w:cs="Arial" w:eastAsia="Arial" w:hAnsi="Arial"/>
          <w:sz w:val="18"/>
          <w:szCs w:val="18"/>
          <w:i w:val="1"/>
          <w:iCs w:val="1"/>
          <w:color w:val="auto"/>
        </w:rPr>
        <w:t>Science</w:t>
      </w:r>
      <w:r>
        <w:rPr>
          <w:rFonts w:ascii="Arial" w:cs="Arial" w:eastAsia="Arial" w:hAnsi="Arial"/>
          <w:sz w:val="18"/>
          <w:szCs w:val="18"/>
          <w:color w:val="auto"/>
        </w:rPr>
        <w:t xml:space="preserve"> magazine. We have been ranked first for five of the past seven years, with second-place rankings in 2015 and 2011.</w:t>
      </w:r>
    </w:p>
    <w:p>
      <w:pPr>
        <w:spacing w:after="0" w:line="1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total revenues were $5,872.2 million in 2017, compared to $4,860.4 million in 2016 and $4,103.7 million in 2015. Our net income was $1,198.5 million, or $10.34 per diluted share, in 2017, compared to $895.5 million, or $7.70 per diluted share, in 2016, and $636.1 million, or $5.52 per diluted share, in 2015. Refer to Part II, Item 7. "Management's Discussion and Analysis of Financial Condition and Results of Operations - Results of Operations" below for further details of our financial results, including amounts incurred related to research and development activities.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six products that have received marketing approval:</w:t>
      </w:r>
    </w:p>
    <w:p>
      <w:pPr>
        <w:spacing w:after="0" w:line="275" w:lineRule="exact"/>
        <w:rPr>
          <w:sz w:val="20"/>
          <w:szCs w:val="20"/>
          <w:color w:val="auto"/>
        </w:rPr>
      </w:pPr>
    </w:p>
    <w:p>
      <w:pPr>
        <w:jc w:val="both"/>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EYLEA (aflibercept) Injection</w:t>
      </w:r>
      <w:r>
        <w:rPr>
          <w:rFonts w:ascii="Arial" w:cs="Arial" w:eastAsia="Arial" w:hAnsi="Arial"/>
          <w:sz w:val="18"/>
          <w:szCs w:val="18"/>
          <w:color w:val="auto"/>
        </w:rPr>
        <w:t>, known in the scientific literature as VEGF Trap-Eye, is available in the United States, EU, Japan, and certain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countries outside the United States for the treatment of wet AMD,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w:t>
      </w:r>
    </w:p>
    <w:p>
      <w:pPr>
        <w:spacing w:after="0" w:line="160"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7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Dupixent (dupilumab) Injection. </w:t>
      </w:r>
      <w:r>
        <w:rPr>
          <w:rFonts w:ascii="Arial" w:cs="Arial" w:eastAsia="Arial" w:hAnsi="Arial"/>
          <w:sz w:val="18"/>
          <w:szCs w:val="18"/>
          <w:color w:val="auto"/>
        </w:rPr>
        <w:t>On March 28, 2017, the FDA approved Dupixent for the treatment of adult patients with moderate-to-severe</w:t>
      </w:r>
      <w:r>
        <w:rPr>
          <w:rFonts w:ascii="Arial" w:cs="Arial" w:eastAsia="Arial" w:hAnsi="Arial"/>
          <w:sz w:val="18"/>
          <w:szCs w:val="18"/>
          <w:b w:val="1"/>
          <w:bCs w:val="1"/>
          <w:color w:val="auto"/>
        </w:rPr>
        <w:t xml:space="preserve"> </w:t>
      </w:r>
      <w:r>
        <w:rPr>
          <w:rFonts w:ascii="Arial" w:cs="Arial" w:eastAsia="Arial" w:hAnsi="Arial"/>
          <w:sz w:val="18"/>
          <w:szCs w:val="18"/>
          <w:color w:val="auto"/>
        </w:rPr>
        <w:t>atopic dermatitis whose disease is not adequately controlled with topical prescription therapies or when those therapies are not advisable. The launch of Dupixent commenced in March following the FDA approval. In September 2017, the European Commission granted marketing authorization for Dupixent for use in adults with moderate-to-severe atopic dermatitis who are candidates for systemic therapy and in January 2018, the Ministry of Health, Labor and Welfare (MHLW) in Japan approved Dupixent for the treatment of atopic dermatitis in adults not adequately controlled with existing therapies.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We are collaborating with Sanofi on the global development and commercialization of Dupixent. Sanofi records product sales for Dupixent, and we and Sanofi share profits and losses from sales of Dupixent. We have exercised our option to co-promote Dupixent in the United States and thus far have not exercised any of our options to co-promote Dupixent outside the United States.</w:t>
      </w:r>
    </w:p>
    <w:p>
      <w:pPr>
        <w:spacing w:after="0" w:line="69"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Praluent (alirocumab) Injection </w:t>
      </w:r>
      <w:r>
        <w:rPr>
          <w:rFonts w:ascii="Arial" w:cs="Arial" w:eastAsia="Arial" w:hAnsi="Arial"/>
          <w:sz w:val="18"/>
          <w:szCs w:val="18"/>
          <w:color w:val="auto"/>
        </w:rPr>
        <w:t>is available in the United States where it is indicated as an adjunct to diet and maximally tolerated statin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adults with heterozygous familial hypercholesterolemia (HeFH) or clinical atherosclerotic cardiovascular disease (ASCVD), who require additional lowering of high low-density lipoprotein (LDL) cholesterol. Praluent is also available in certain European countries and in Japan. In April 2017, the FDA approved the sBLA for a once-monthly (every four weeks), 300 mg dose of Praluent. In July 2017, the FDA approved the sBLA for Praluent's time out of refrigeration, which was increased from 24 hours to 30 days. The effect of Praluent on cardiovascular morbidity and mortality has not been determined.</w:t>
      </w:r>
    </w:p>
    <w:p>
      <w:pPr>
        <w:spacing w:after="0" w:line="164"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Sanofi records product sales for Praluent, and we and Sanofi share profits and losses from sales of Praluent. We have exercised our option to co-promote Praluent in the United States and thus far have not exercised any of our options to co-promote Praluent outside the United States.</w:t>
      </w:r>
    </w:p>
    <w:p>
      <w:pPr>
        <w:spacing w:after="0" w:line="11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See Note 17 to our Consolidated Financial Statements for information regarding the patent infringement proceedings relating to Praluent, which may impact Praluent's commercial availability in certain jurisdictions.</w:t>
      </w:r>
    </w:p>
    <w:p>
      <w:pPr>
        <w:spacing w:after="0" w:line="58"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Kevzara (sarilumab) Solution for Subcutaneous Injection</w:t>
      </w:r>
      <w:r>
        <w:rPr>
          <w:rFonts w:ascii="Arial" w:cs="Arial" w:eastAsia="Arial" w:hAnsi="Arial"/>
          <w:sz w:val="17"/>
          <w:szCs w:val="17"/>
          <w:color w:val="auto"/>
        </w:rPr>
        <w:t>. In January 2017, Health Canada approved Kevzara for the treatment of adult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with moderately to severely active rheumatoid arthritis who have an inadequate response to or intolerance to one or more biologic or non-biologic disease modifying anti-rheumatic drugs (DMARDs). This was the first approval of Kevzara worldwide. On May 22, 2017, the FDA approved Kevzara for the treatment of adult patients with moderately to severely active rheumatoid arthritis who have an inadequate response or intolerance to one or more DMARDs. In June 2017, the European Commission granted marketing authorization for Kevzara in combination with methotrexate (MTX) for the treatment of moderately to severely active rheumatoid arthritis in adult patients who have responded inadequately to, or who are intolerant to one or more DMARDs; Kevzara may be used as monotherapy in case of intolerance to MTX or when treatment with MTX is inappropriate. In September 2017, the MHLW in Japan approved Kevzara for the treatment of adult patients with rheumatoid arthritis who have had an inadequate response to conventional treatments.</w:t>
      </w:r>
    </w:p>
    <w:p>
      <w:pPr>
        <w:spacing w:after="0" w:line="232" w:lineRule="exact"/>
        <w:rPr>
          <w:rFonts w:ascii="Arial" w:cs="Arial" w:eastAsia="Arial" w:hAnsi="Arial"/>
          <w:sz w:val="17"/>
          <w:szCs w:val="17"/>
          <w:b w:val="1"/>
          <w:bCs w:val="1"/>
          <w:color w:val="auto"/>
        </w:rPr>
      </w:pPr>
    </w:p>
    <w:p>
      <w:pPr>
        <w:ind w:left="66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Sanofi records product sales for Kevzara, and we and Sanofi share profits and losses from sales of Kevzara. We have exercised our option to co-promote Kevzara in the United States and thus far have not exercised any of our options to co-promote Kevzara outside the United States.</w:t>
      </w:r>
    </w:p>
    <w:p>
      <w:pPr>
        <w:spacing w:after="0" w:line="34" w:lineRule="exact"/>
        <w:rPr>
          <w:rFonts w:ascii="Arial" w:cs="Arial" w:eastAsia="Arial" w:hAnsi="Arial"/>
          <w:sz w:val="17"/>
          <w:szCs w:val="17"/>
          <w:b w:val="1"/>
          <w:bCs w:val="1"/>
          <w:color w:val="auto"/>
        </w:rPr>
      </w:pPr>
    </w:p>
    <w:p>
      <w:pPr>
        <w:jc w:val="both"/>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 </w:t>
      </w:r>
      <w:r>
        <w:rPr>
          <w:rFonts w:ascii="Arial" w:cs="Arial" w:eastAsia="Arial" w:hAnsi="Arial"/>
          <w:sz w:val="18"/>
          <w:szCs w:val="18"/>
          <w:color w:val="auto"/>
        </w:rPr>
        <w:t>is available in the United States for the treatment of Cryopyrin-Associated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Syndromes (CAPS), including Familial Cold Auto-inflammatory Syndrome (FCAS) and Muckle-Wells Syndrome (MWS),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91" w:lineRule="exact"/>
        <w:rPr>
          <w:rFonts w:ascii="Arial" w:cs="Arial" w:eastAsia="Arial" w:hAnsi="Arial"/>
          <w:sz w:val="18"/>
          <w:szCs w:val="18"/>
          <w:color w:val="auto"/>
        </w:rPr>
      </w:pPr>
    </w:p>
    <w:p>
      <w:pPr>
        <w:jc w:val="both"/>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ZALTRAP</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(ziv-aflibercept) Injection for Intravenous Infusion</w:t>
      </w:r>
      <w:r>
        <w:rPr>
          <w:rFonts w:ascii="Arial" w:cs="Arial" w:eastAsia="Arial" w:hAnsi="Arial"/>
          <w:sz w:val="18"/>
          <w:szCs w:val="18"/>
          <w:color w:val="auto"/>
        </w:rPr>
        <w:t>, known in the scientific literature as VEGF Trap, is available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EU, and certain other countries for treatment, in combination with 5-fluorouracil, leucovorin, irinotecan (FOLFIRI), of patients with metastatic colorectal cancer (mCRC) that is resistant to or has progressed following an oxaliplatin-containing regimen. Pursuant to a 2015 amended and restated ZALTRAP agreement, Sanofi is solely responsible for the development and commercialization of ZALTRAP, and Sanofi pays us a percentage of aggregate net sales of ZALTRAP.</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00" w:lineRule="exact"/>
        <w:rPr>
          <w:sz w:val="20"/>
          <w:szCs w:val="20"/>
          <w:color w:val="auto"/>
        </w:rPr>
      </w:pPr>
    </w:p>
    <w:p>
      <w:pPr>
        <w:spacing w:after="0" w:line="228"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Net Product Sales of Regeneron-Discovered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vMerge w:val="restart"/>
          </w:tcPr>
          <w:p>
            <w:pPr>
              <w:spacing w:after="0" w:line="196" w:lineRule="exact"/>
              <w:rPr>
                <w:sz w:val="20"/>
                <w:szCs w:val="20"/>
                <w:color w:val="auto"/>
              </w:rPr>
            </w:pPr>
            <w:r>
              <w:rPr>
                <w:rFonts w:ascii="Arial" w:cs="Arial" w:eastAsia="Arial" w:hAnsi="Arial"/>
                <w:sz w:val="18"/>
                <w:szCs w:val="18"/>
                <w:b w:val="1"/>
                <w:bCs w:val="1"/>
                <w:color w:val="auto"/>
                <w:w w:val="87"/>
              </w:rPr>
              <w:t>Products</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(1)</w:t>
            </w:r>
          </w:p>
        </w:tc>
        <w:tc>
          <w:tcPr>
            <w:tcW w:w="2500" w:type="dxa"/>
            <w:vAlign w:val="bottom"/>
            <w:tcBorders>
              <w:top w:val="single" w:sz="8" w:color="auto"/>
              <w:bottom w:val="single" w:sz="8" w:color="auto"/>
            </w:tcBorders>
            <w:vMerge w:val="restart"/>
          </w:tcPr>
          <w:p>
            <w:pPr>
              <w:spacing w:after="0"/>
              <w:rPr>
                <w:sz w:val="12"/>
                <w:szCs w:val="12"/>
                <w:color w:val="auto"/>
              </w:rPr>
            </w:pPr>
          </w:p>
        </w:tc>
        <w:tc>
          <w:tcPr>
            <w:tcW w:w="9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gridSpan w:val="6"/>
            <w:vMerge w:val="continue"/>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EYLEA in the 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ARCALYST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Regeneron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32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EYLEA outside of the United States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EYLEA global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5,195.4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4,089.3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2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Global net product sales recorded by Sanofi</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Praluent in the 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Praluent outside of the United States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Praluent global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Dupixent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Sanofi</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0" w:right="1800" w:firstLine="7"/>
        <w:spacing w:after="0" w:line="285" w:lineRule="auto"/>
        <w:tabs>
          <w:tab w:leader="none" w:pos="2178"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 described in the "General" section above, Bayer records net product sales of EYLEA outside the United States and Sanofi records global net product sales of Praluent, Dupixent, Kevzara, and ZALTRAP.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 xml:space="preserve">All 15 of our product candidates in clinical development were discovered in our research laboratories and are summarized below. We used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to generate each of the antibodies in the table below. There are numerous uncertainties associated with drug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 Item 1A, "Risk Factors" for a description of these and other risks and uncertainties that may affect our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500" w:type="dxa"/>
            <w:vAlign w:val="bottom"/>
            <w:tcBorders>
              <w:bottom w:val="single" w:sz="8" w:color="auto"/>
            </w:tcBorders>
            <w:shd w:val="clear" w:color="auto" w:fill="CCEEFF"/>
          </w:tcPr>
          <w:p>
            <w:pPr>
              <w:spacing w:after="0"/>
              <w:rPr>
                <w:sz w:val="22"/>
                <w:szCs w:val="22"/>
                <w:color w:val="auto"/>
              </w:rPr>
            </w:pPr>
          </w:p>
        </w:tc>
        <w:tc>
          <w:tcPr>
            <w:tcW w:w="31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Phase 1</w:t>
            </w:r>
          </w:p>
        </w:tc>
        <w:tc>
          <w:tcPr>
            <w:tcW w:w="390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Phase 2</w:t>
            </w:r>
          </w:p>
        </w:tc>
        <w:tc>
          <w:tcPr>
            <w:tcW w:w="520" w:type="dxa"/>
            <w:vAlign w:val="bottom"/>
            <w:tcBorders>
              <w:bottom w:val="single" w:sz="8" w:color="auto"/>
            </w:tcBorders>
            <w:shd w:val="clear" w:color="auto" w:fill="CCEEFF"/>
          </w:tcPr>
          <w:p>
            <w:pPr>
              <w:spacing w:after="0"/>
              <w:rPr>
                <w:sz w:val="22"/>
                <w:szCs w:val="22"/>
                <w:color w:val="auto"/>
              </w:rPr>
            </w:pPr>
          </w:p>
        </w:tc>
        <w:tc>
          <w:tcPr>
            <w:tcW w:w="31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Phase 3</w:t>
            </w:r>
          </w:p>
        </w:tc>
        <w:tc>
          <w:tcPr>
            <w:tcW w:w="0" w:type="dxa"/>
            <w:vAlign w:val="bottom"/>
          </w:tcPr>
          <w:p>
            <w:pPr>
              <w:spacing w:after="0"/>
              <w:rPr>
                <w:sz w:val="1"/>
                <w:szCs w:val="1"/>
                <w:color w:val="auto"/>
              </w:rPr>
            </w:pPr>
          </w:p>
        </w:tc>
      </w:tr>
      <w:tr>
        <w:trPr>
          <w:trHeight w:val="283"/>
        </w:trPr>
        <w:tc>
          <w:tcPr>
            <w:tcW w:w="3600" w:type="dxa"/>
            <w:vAlign w:val="bottom"/>
            <w:gridSpan w:val="2"/>
            <w:shd w:val="clear" w:color="auto" w:fill="CCEEFF"/>
          </w:tcPr>
          <w:p>
            <w:pPr>
              <w:ind w:left="20"/>
              <w:spacing w:after="0" w:line="283" w:lineRule="exact"/>
              <w:rPr>
                <w:sz w:val="20"/>
                <w:szCs w:val="20"/>
                <w:color w:val="auto"/>
              </w:rPr>
            </w:pPr>
            <w:r>
              <w:rPr>
                <w:rFonts w:ascii="Arial" w:cs="Arial" w:eastAsia="Arial" w:hAnsi="Arial"/>
                <w:sz w:val="18"/>
                <w:szCs w:val="18"/>
                <w:b w:val="1"/>
                <w:bCs w:val="1"/>
                <w:color w:val="auto"/>
              </w:rPr>
              <w:t>Cemiplimab (REGN2810)</w:t>
            </w:r>
            <w:r>
              <w:rPr>
                <w:rFonts w:ascii="Arial" w:cs="Arial" w:eastAsia="Arial" w:hAnsi="Arial"/>
                <w:sz w:val="25"/>
                <w:szCs w:val="25"/>
                <w:b w:val="1"/>
                <w:bCs w:val="1"/>
                <w:color w:val="auto"/>
                <w:vertAlign w:val="superscript"/>
              </w:rPr>
              <w:t>(a)</w:t>
            </w:r>
          </w:p>
        </w:tc>
        <w:tc>
          <w:tcPr>
            <w:tcW w:w="3900" w:type="dxa"/>
            <w:vAlign w:val="bottom"/>
          </w:tcPr>
          <w:p>
            <w:pPr>
              <w:ind w:left="140"/>
              <w:spacing w:after="0" w:line="283" w:lineRule="exact"/>
              <w:rPr>
                <w:sz w:val="20"/>
                <w:szCs w:val="20"/>
                <w:color w:val="auto"/>
              </w:rPr>
            </w:pPr>
            <w:r>
              <w:rPr>
                <w:rFonts w:ascii="Arial" w:cs="Arial" w:eastAsia="Arial" w:hAnsi="Arial"/>
                <w:sz w:val="18"/>
                <w:szCs w:val="18"/>
                <w:b w:val="1"/>
                <w:bCs w:val="1"/>
                <w:color w:val="auto"/>
              </w:rPr>
              <w:t>Dupilumab</w:t>
            </w:r>
            <w:r>
              <w:rPr>
                <w:rFonts w:ascii="Arial" w:cs="Arial" w:eastAsia="Arial" w:hAnsi="Arial"/>
                <w:sz w:val="25"/>
                <w:szCs w:val="25"/>
                <w:b w:val="1"/>
                <w:bCs w:val="1"/>
                <w:color w:val="auto"/>
                <w:vertAlign w:val="superscript"/>
              </w:rPr>
              <w:t>(a)</w:t>
            </w:r>
          </w:p>
        </w:tc>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EYLEA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programmed cell death protein 1</w:t>
            </w:r>
          </w:p>
        </w:tc>
        <w:tc>
          <w:tcPr>
            <w:tcW w:w="3900" w:type="dxa"/>
            <w:vAlign w:val="bottom"/>
          </w:tcPr>
          <w:p>
            <w:pPr>
              <w:ind w:left="140"/>
              <w:spacing w:after="0"/>
              <w:rPr>
                <w:sz w:val="20"/>
                <w:szCs w:val="20"/>
                <w:color w:val="auto"/>
              </w:rPr>
            </w:pPr>
            <w:r>
              <w:rPr>
                <w:rFonts w:ascii="Arial" w:cs="Arial" w:eastAsia="Arial" w:hAnsi="Arial"/>
                <w:sz w:val="18"/>
                <w:szCs w:val="18"/>
                <w:i w:val="1"/>
                <w:iCs w:val="1"/>
                <w:color w:val="auto"/>
              </w:rPr>
              <w:t>Antibody to the interleukin-4 receptor (IL-4R)</w:t>
            </w:r>
          </w:p>
        </w:tc>
        <w:tc>
          <w:tcPr>
            <w:tcW w:w="3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Ÿ NPDR in patients without DME</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i w:val="1"/>
                <w:iCs w:val="1"/>
                <w:color w:val="auto"/>
              </w:rPr>
              <w:t>(PD-1)</w:t>
            </w:r>
            <w:r>
              <w:rPr>
                <w:rFonts w:ascii="Arial" w:cs="Arial" w:eastAsia="Arial" w:hAnsi="Arial"/>
                <w:sz w:val="25"/>
                <w:szCs w:val="25"/>
                <w:i w:val="1"/>
                <w:iCs w:val="1"/>
                <w:color w:val="auto"/>
                <w:vertAlign w:val="superscript"/>
              </w:rPr>
              <w:t>(h)</w:t>
            </w:r>
          </w:p>
        </w:tc>
        <w:tc>
          <w:tcPr>
            <w:tcW w:w="3900" w:type="dxa"/>
            <w:vAlign w:val="bottom"/>
          </w:tcPr>
          <w:p>
            <w:pPr>
              <w:ind w:left="140"/>
              <w:spacing w:after="0"/>
              <w:rPr>
                <w:sz w:val="20"/>
                <w:szCs w:val="20"/>
                <w:color w:val="auto"/>
              </w:rPr>
            </w:pPr>
            <w:r>
              <w:rPr>
                <w:rFonts w:ascii="Arial" w:cs="Arial" w:eastAsia="Arial" w:hAnsi="Arial"/>
                <w:sz w:val="18"/>
                <w:szCs w:val="18"/>
                <w:i w:val="1"/>
                <w:iCs w:val="1"/>
                <w:color w:val="auto"/>
              </w:rPr>
              <w:t>alpha subunit</w:t>
            </w:r>
          </w:p>
        </w:tc>
        <w:tc>
          <w:tcPr>
            <w:tcW w:w="52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Ÿ Solid tumors and advanced hematologic</w:t>
            </w:r>
          </w:p>
        </w:tc>
        <w:tc>
          <w:tcPr>
            <w:tcW w:w="3900" w:type="dxa"/>
            <w:vAlign w:val="bottom"/>
          </w:tcPr>
          <w:p>
            <w:pPr>
              <w:ind w:left="460"/>
              <w:spacing w:after="0" w:line="216" w:lineRule="exact"/>
              <w:rPr>
                <w:sz w:val="20"/>
                <w:szCs w:val="20"/>
                <w:color w:val="auto"/>
              </w:rPr>
            </w:pPr>
            <w:r>
              <w:rPr>
                <w:rFonts w:ascii="Arial" w:cs="Arial" w:eastAsia="Arial" w:hAnsi="Arial"/>
                <w:sz w:val="18"/>
                <w:szCs w:val="18"/>
                <w:color w:val="auto"/>
              </w:rPr>
              <w:t>Ÿ EoE</w:t>
            </w:r>
            <w:r>
              <w:rPr>
                <w:rFonts w:ascii="Arial" w:cs="Arial" w:eastAsia="Arial" w:hAnsi="Arial"/>
                <w:sz w:val="25"/>
                <w:szCs w:val="25"/>
                <w:color w:val="auto"/>
                <w:vertAlign w:val="superscript"/>
              </w:rPr>
              <w:t>(c)</w:t>
            </w:r>
          </w:p>
        </w:tc>
        <w:tc>
          <w:tcPr>
            <w:tcW w:w="36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Dupilumab</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57"/>
        </w:trPr>
        <w:tc>
          <w:tcPr>
            <w:tcW w:w="500" w:type="dxa"/>
            <w:vAlign w:val="bottom"/>
            <w:shd w:val="clear" w:color="auto" w:fill="CCEEFF"/>
          </w:tcPr>
          <w:p>
            <w:pPr>
              <w:spacing w:after="0"/>
              <w:rPr>
                <w:sz w:val="22"/>
                <w:szCs w:val="22"/>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malignancies</w:t>
            </w:r>
          </w:p>
        </w:tc>
        <w:tc>
          <w:tcPr>
            <w:tcW w:w="3900" w:type="dxa"/>
            <w:vAlign w:val="bottom"/>
          </w:tcPr>
          <w:p>
            <w:pPr>
              <w:spacing w:after="0"/>
              <w:rPr>
                <w:sz w:val="22"/>
                <w:szCs w:val="22"/>
                <w:color w:val="auto"/>
              </w:rPr>
            </w:pPr>
          </w:p>
        </w:tc>
        <w:tc>
          <w:tcPr>
            <w:tcW w:w="362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(a)</w:t>
            </w:r>
          </w:p>
        </w:tc>
        <w:tc>
          <w:tcPr>
            <w:tcW w:w="39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Sarilumab</w:t>
            </w:r>
            <w:r>
              <w:rPr>
                <w:rFonts w:ascii="Arial" w:cs="Arial" w:eastAsia="Arial" w:hAnsi="Arial"/>
                <w:sz w:val="25"/>
                <w:szCs w:val="25"/>
                <w:b w:val="1"/>
                <w:bCs w:val="1"/>
                <w:color w:val="auto"/>
                <w:vertAlign w:val="superscript"/>
              </w:rPr>
              <w:t>(a)</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Atopic dermatitis in adolescents and</w:t>
            </w:r>
          </w:p>
        </w:tc>
        <w:tc>
          <w:tcPr>
            <w:tcW w:w="0" w:type="dxa"/>
            <w:vAlign w:val="bottom"/>
          </w:tcPr>
          <w:p>
            <w:pPr>
              <w:spacing w:after="0"/>
              <w:rPr>
                <w:sz w:val="1"/>
                <w:szCs w:val="1"/>
                <w:color w:val="auto"/>
              </w:rPr>
            </w:pPr>
          </w:p>
        </w:tc>
      </w:tr>
      <w:tr>
        <w:trPr>
          <w:trHeight w:val="257"/>
        </w:trPr>
        <w:tc>
          <w:tcPr>
            <w:tcW w:w="3600" w:type="dxa"/>
            <w:vAlign w:val="bottom"/>
            <w:gridSpan w:val="2"/>
            <w:vMerge w:val="continue"/>
            <w:shd w:val="clear" w:color="auto" w:fill="CCEEFF"/>
          </w:tcPr>
          <w:p>
            <w:pPr>
              <w:spacing w:after="0"/>
              <w:rPr>
                <w:sz w:val="22"/>
                <w:szCs w:val="22"/>
                <w:color w:val="auto"/>
              </w:rPr>
            </w:pPr>
          </w:p>
        </w:tc>
        <w:tc>
          <w:tcPr>
            <w:tcW w:w="3900" w:type="dxa"/>
            <w:vAlign w:val="bottom"/>
            <w:vMerge w:val="continue"/>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pediatrics (6–17 years of age)</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Lymphocyte Activation Gene 3</w:t>
            </w:r>
          </w:p>
        </w:tc>
        <w:tc>
          <w:tcPr>
            <w:tcW w:w="3900" w:type="dxa"/>
            <w:vAlign w:val="bottom"/>
          </w:tcPr>
          <w:p>
            <w:pPr>
              <w:ind w:left="140"/>
              <w:spacing w:after="0"/>
              <w:rPr>
                <w:sz w:val="20"/>
                <w:szCs w:val="20"/>
                <w:color w:val="auto"/>
              </w:rPr>
            </w:pPr>
            <w:r>
              <w:rPr>
                <w:rFonts w:ascii="Arial" w:cs="Arial" w:eastAsia="Arial" w:hAnsi="Arial"/>
                <w:sz w:val="18"/>
                <w:szCs w:val="18"/>
                <w:i w:val="1"/>
                <w:iCs w:val="1"/>
                <w:color w:val="auto"/>
              </w:rPr>
              <w:t>Antibody to the interleukin-6 receptor (IL-6R)</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Atopic dermatitis in pediatrics (6</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(LAG-3) protein</w:t>
            </w:r>
          </w:p>
        </w:tc>
        <w:tc>
          <w:tcPr>
            <w:tcW w:w="39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months–5 years of age) (Phase 2/3)</w:t>
            </w:r>
          </w:p>
        </w:tc>
        <w:tc>
          <w:tcPr>
            <w:tcW w:w="0" w:type="dxa"/>
            <w:vAlign w:val="bottom"/>
          </w:tcPr>
          <w:p>
            <w:pPr>
              <w:spacing w:after="0"/>
              <w:rPr>
                <w:sz w:val="1"/>
                <w:szCs w:val="1"/>
                <w:color w:val="auto"/>
              </w:rPr>
            </w:pPr>
          </w:p>
        </w:tc>
      </w:tr>
      <w:tr>
        <w:trPr>
          <w:trHeight w:val="25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Ÿ Advanced malignancies (administered</w:t>
            </w:r>
          </w:p>
        </w:tc>
        <w:tc>
          <w:tcPr>
            <w:tcW w:w="3900" w:type="dxa"/>
            <w:vAlign w:val="bottom"/>
          </w:tcPr>
          <w:p>
            <w:pPr>
              <w:ind w:left="460"/>
              <w:spacing w:after="0"/>
              <w:rPr>
                <w:sz w:val="20"/>
                <w:szCs w:val="20"/>
                <w:color w:val="auto"/>
              </w:rPr>
            </w:pPr>
            <w:r>
              <w:rPr>
                <w:rFonts w:ascii="Arial" w:cs="Arial" w:eastAsia="Arial" w:hAnsi="Arial"/>
                <w:sz w:val="18"/>
                <w:szCs w:val="18"/>
                <w:color w:val="auto"/>
              </w:rPr>
              <w:t>Ÿ Polyarticular-course juvenile idiopathic</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Asthma in adults and adolescents</w:t>
            </w:r>
          </w:p>
        </w:tc>
        <w:tc>
          <w:tcPr>
            <w:tcW w:w="0" w:type="dxa"/>
            <w:vAlign w:val="bottom"/>
          </w:tcPr>
          <w:p>
            <w:pPr>
              <w:spacing w:after="0"/>
              <w:rPr>
                <w:sz w:val="1"/>
                <w:szCs w:val="1"/>
                <w:color w:val="auto"/>
              </w:rPr>
            </w:pPr>
          </w:p>
        </w:tc>
      </w:tr>
      <w:tr>
        <w:trPr>
          <w:trHeight w:val="284"/>
        </w:trPr>
        <w:tc>
          <w:tcPr>
            <w:tcW w:w="50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alone or in combination with cemiplimab)</w:t>
            </w:r>
          </w:p>
        </w:tc>
        <w:tc>
          <w:tcPr>
            <w:tcW w:w="3900" w:type="dxa"/>
            <w:vAlign w:val="bottom"/>
          </w:tcPr>
          <w:p>
            <w:pPr>
              <w:ind w:left="660"/>
              <w:spacing w:after="0"/>
              <w:rPr>
                <w:sz w:val="20"/>
                <w:szCs w:val="20"/>
                <w:color w:val="auto"/>
              </w:rPr>
            </w:pPr>
            <w:r>
              <w:rPr>
                <w:rFonts w:ascii="Arial" w:cs="Arial" w:eastAsia="Arial" w:hAnsi="Arial"/>
                <w:sz w:val="18"/>
                <w:szCs w:val="18"/>
                <w:color w:val="auto"/>
              </w:rPr>
              <w:t>arthritis (pcJIA)</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Asthma in pediatrics (6–11 years of age)</w:t>
            </w:r>
          </w:p>
        </w:tc>
        <w:tc>
          <w:tcPr>
            <w:tcW w:w="0" w:type="dxa"/>
            <w:vAlign w:val="bottom"/>
          </w:tcPr>
          <w:p>
            <w:pPr>
              <w:spacing w:after="0"/>
              <w:rPr>
                <w:sz w:val="1"/>
                <w:szCs w:val="1"/>
                <w:color w:val="auto"/>
              </w:rPr>
            </w:pPr>
          </w:p>
        </w:tc>
      </w:tr>
      <w:tr>
        <w:trPr>
          <w:trHeight w:val="297"/>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REGN1979</w:t>
            </w:r>
          </w:p>
        </w:tc>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Cemiplimab</w:t>
            </w:r>
            <w:r>
              <w:rPr>
                <w:rFonts w:ascii="Arial" w:cs="Arial" w:eastAsia="Arial" w:hAnsi="Arial"/>
                <w:sz w:val="25"/>
                <w:szCs w:val="25"/>
                <w:b w:val="1"/>
                <w:bCs w:val="1"/>
                <w:color w:val="auto"/>
                <w:vertAlign w:val="superscript"/>
              </w:rPr>
              <w:t>(a)</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Nasal polyps</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Bispecific antibody against CD20 and CD3</w:t>
            </w:r>
          </w:p>
        </w:tc>
        <w:tc>
          <w:tcPr>
            <w:tcW w:w="3900" w:type="dxa"/>
            <w:vAlign w:val="bottom"/>
          </w:tcPr>
          <w:p>
            <w:pPr>
              <w:ind w:left="460"/>
              <w:spacing w:after="0"/>
              <w:rPr>
                <w:sz w:val="20"/>
                <w:szCs w:val="20"/>
                <w:color w:val="auto"/>
              </w:rPr>
            </w:pPr>
            <w:r>
              <w:rPr>
                <w:rFonts w:ascii="Arial" w:cs="Arial" w:eastAsia="Arial" w:hAnsi="Arial"/>
                <w:sz w:val="18"/>
                <w:szCs w:val="18"/>
                <w:color w:val="auto"/>
              </w:rPr>
              <w:t>Ÿ Metastatic or locally advanced and</w:t>
            </w:r>
          </w:p>
        </w:tc>
        <w:tc>
          <w:tcPr>
            <w:tcW w:w="36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Praluent</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rPr>
                <w:sz w:val="23"/>
                <w:szCs w:val="23"/>
                <w:color w:val="auto"/>
              </w:rPr>
            </w:pPr>
          </w:p>
        </w:tc>
        <w:tc>
          <w:tcPr>
            <w:tcW w:w="3900" w:type="dxa"/>
            <w:vAlign w:val="bottom"/>
          </w:tcPr>
          <w:p>
            <w:pPr>
              <w:ind w:left="660"/>
              <w:spacing w:after="0" w:line="270" w:lineRule="exact"/>
              <w:rPr>
                <w:sz w:val="20"/>
                <w:szCs w:val="20"/>
                <w:color w:val="auto"/>
              </w:rPr>
            </w:pPr>
            <w:r>
              <w:rPr>
                <w:rFonts w:ascii="Arial" w:cs="Arial" w:eastAsia="Arial" w:hAnsi="Arial"/>
                <w:sz w:val="18"/>
                <w:szCs w:val="18"/>
                <w:color w:val="auto"/>
              </w:rPr>
              <w:t>unresectable CSCC (pivotal study)</w:t>
            </w:r>
            <w:r>
              <w:rPr>
                <w:rFonts w:ascii="Arial" w:cs="Arial" w:eastAsia="Arial" w:hAnsi="Arial"/>
                <w:sz w:val="25"/>
                <w:szCs w:val="25"/>
                <w:color w:val="auto"/>
                <w:vertAlign w:val="superscript"/>
              </w:rPr>
              <w:t>(d)</w:t>
            </w:r>
          </w:p>
        </w:tc>
        <w:tc>
          <w:tcPr>
            <w:tcW w:w="362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Ÿ Certain B-cell malignancies</w:t>
            </w:r>
          </w:p>
        </w:tc>
        <w:tc>
          <w:tcPr>
            <w:tcW w:w="3900" w:type="dxa"/>
            <w:vAlign w:val="bottom"/>
          </w:tcPr>
          <w:p>
            <w:pPr>
              <w:ind w:left="460"/>
              <w:spacing w:after="0"/>
              <w:rPr>
                <w:sz w:val="20"/>
                <w:szCs w:val="20"/>
                <w:color w:val="auto"/>
              </w:rPr>
            </w:pPr>
            <w:r>
              <w:rPr>
                <w:rFonts w:ascii="Arial" w:cs="Arial" w:eastAsia="Arial" w:hAnsi="Arial"/>
                <w:sz w:val="18"/>
                <w:szCs w:val="18"/>
                <w:color w:val="auto"/>
              </w:rPr>
              <w:t>Ÿ BCC (potentially pivotal study)</w:t>
            </w:r>
          </w:p>
        </w:tc>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PCSK9</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20"/>
                <w:szCs w:val="20"/>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(monotherapy and in combination</w:t>
            </w:r>
          </w:p>
        </w:tc>
        <w:tc>
          <w:tcPr>
            <w:tcW w:w="3900" w:type="dxa"/>
            <w:vAlign w:val="bottom"/>
          </w:tcPr>
          <w:p>
            <w:pPr>
              <w:spacing w:after="0"/>
              <w:rPr>
                <w:sz w:val="20"/>
                <w:szCs w:val="20"/>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LDL cholesterol reduction and prevention</w:t>
            </w:r>
          </w:p>
        </w:tc>
        <w:tc>
          <w:tcPr>
            <w:tcW w:w="0" w:type="dxa"/>
            <w:vAlign w:val="bottom"/>
          </w:tcPr>
          <w:p>
            <w:pPr>
              <w:spacing w:after="0"/>
              <w:rPr>
                <w:sz w:val="1"/>
                <w:szCs w:val="1"/>
                <w:color w:val="auto"/>
              </w:rPr>
            </w:pPr>
          </w:p>
        </w:tc>
      </w:tr>
      <w:tr>
        <w:trPr>
          <w:trHeight w:val="162"/>
        </w:trPr>
        <w:tc>
          <w:tcPr>
            <w:tcW w:w="500" w:type="dxa"/>
            <w:vAlign w:val="bottom"/>
            <w:shd w:val="clear" w:color="auto" w:fill="CCEEFF"/>
          </w:tcPr>
          <w:p>
            <w:pPr>
              <w:spacing w:after="0"/>
              <w:rPr>
                <w:sz w:val="14"/>
                <w:szCs w:val="14"/>
                <w:color w:val="auto"/>
              </w:rPr>
            </w:pPr>
          </w:p>
        </w:tc>
        <w:tc>
          <w:tcPr>
            <w:tcW w:w="3100" w:type="dxa"/>
            <w:vAlign w:val="bottom"/>
            <w:shd w:val="clear" w:color="auto" w:fill="CCEEFF"/>
          </w:tcPr>
          <w:p>
            <w:pPr>
              <w:ind w:left="40"/>
              <w:spacing w:after="0" w:line="162" w:lineRule="exact"/>
              <w:rPr>
                <w:sz w:val="20"/>
                <w:szCs w:val="20"/>
                <w:color w:val="auto"/>
              </w:rPr>
            </w:pPr>
            <w:r>
              <w:rPr>
                <w:rFonts w:ascii="Arial" w:cs="Arial" w:eastAsia="Arial" w:hAnsi="Arial"/>
                <w:sz w:val="13"/>
                <w:szCs w:val="13"/>
                <w:color w:val="auto"/>
              </w:rPr>
              <w:t>cemiplimab)</w:t>
            </w:r>
            <w:r>
              <w:rPr>
                <w:rFonts w:ascii="Arial" w:cs="Arial" w:eastAsia="Arial" w:hAnsi="Arial"/>
                <w:sz w:val="18"/>
                <w:szCs w:val="18"/>
                <w:color w:val="auto"/>
                <w:vertAlign w:val="superscript"/>
              </w:rPr>
              <w:t>(c)</w:t>
            </w:r>
          </w:p>
        </w:tc>
        <w:tc>
          <w:tcPr>
            <w:tcW w:w="3900" w:type="dxa"/>
            <w:vAlign w:val="bottom"/>
          </w:tcPr>
          <w:p>
            <w:pPr>
              <w:ind w:left="2160"/>
              <w:spacing w:after="0"/>
              <w:rPr>
                <w:sz w:val="20"/>
                <w:szCs w:val="20"/>
                <w:color w:val="auto"/>
              </w:rPr>
            </w:pPr>
            <w:r>
              <w:rPr>
                <w:rFonts w:ascii="Arial" w:cs="Arial" w:eastAsia="Arial" w:hAnsi="Arial"/>
                <w:sz w:val="13"/>
                <w:szCs w:val="13"/>
                <w:b w:val="1"/>
                <w:bCs w:val="1"/>
                <w:color w:val="auto"/>
              </w:rPr>
              <w:t>(f)</w:t>
            </w:r>
          </w:p>
        </w:tc>
        <w:tc>
          <w:tcPr>
            <w:tcW w:w="520" w:type="dxa"/>
            <w:vAlign w:val="bottom"/>
            <w:shd w:val="clear" w:color="auto" w:fill="CCEEFF"/>
          </w:tcPr>
          <w:p>
            <w:pPr>
              <w:spacing w:after="0"/>
              <w:rPr>
                <w:sz w:val="14"/>
                <w:szCs w:val="14"/>
                <w:color w:val="auto"/>
              </w:rPr>
            </w:pP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of cardiovascular events</w:t>
            </w:r>
          </w:p>
        </w:tc>
        <w:tc>
          <w:tcPr>
            <w:tcW w:w="0" w:type="dxa"/>
            <w:vAlign w:val="bottom"/>
          </w:tcPr>
          <w:p>
            <w:pPr>
              <w:spacing w:after="0"/>
              <w:rPr>
                <w:sz w:val="1"/>
                <w:szCs w:val="1"/>
                <w:color w:val="auto"/>
              </w:rPr>
            </w:pPr>
          </w:p>
        </w:tc>
      </w:tr>
      <w:tr>
        <w:trPr>
          <w:trHeight w:val="135"/>
        </w:trPr>
        <w:tc>
          <w:tcPr>
            <w:tcW w:w="50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3900" w:type="dxa"/>
            <w:vAlign w:val="bottom"/>
          </w:tcPr>
          <w:p>
            <w:pPr>
              <w:ind w:left="140"/>
              <w:spacing w:after="0" w:line="135" w:lineRule="exact"/>
              <w:rPr>
                <w:sz w:val="20"/>
                <w:szCs w:val="20"/>
                <w:color w:val="auto"/>
              </w:rPr>
            </w:pPr>
            <w:r>
              <w:rPr>
                <w:rFonts w:ascii="Arial" w:cs="Arial" w:eastAsia="Arial" w:hAnsi="Arial"/>
                <w:sz w:val="15"/>
                <w:szCs w:val="15"/>
                <w:b w:val="1"/>
                <w:bCs w:val="1"/>
                <w:color w:val="auto"/>
              </w:rPr>
              <w:t>Evinacumab (REGN1500)</w:t>
            </w:r>
          </w:p>
        </w:tc>
        <w:tc>
          <w:tcPr>
            <w:tcW w:w="520" w:type="dxa"/>
            <w:vAlign w:val="bottom"/>
            <w:shd w:val="clear" w:color="auto" w:fill="CCEEFF"/>
          </w:tcPr>
          <w:p>
            <w:pPr>
              <w:spacing w:after="0"/>
              <w:rPr>
                <w:sz w:val="11"/>
                <w:szCs w:val="11"/>
                <w:color w:val="auto"/>
              </w:rPr>
            </w:pPr>
          </w:p>
        </w:tc>
        <w:tc>
          <w:tcPr>
            <w:tcW w:w="3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REGN3470-3471-3479</w:t>
            </w:r>
            <w:r>
              <w:rPr>
                <w:rFonts w:ascii="Arial" w:cs="Arial" w:eastAsia="Arial" w:hAnsi="Arial"/>
                <w:sz w:val="25"/>
                <w:szCs w:val="25"/>
                <w:b w:val="1"/>
                <w:bCs w:val="1"/>
                <w:color w:val="auto"/>
                <w:vertAlign w:val="superscript"/>
              </w:rPr>
              <w:t>(g)</w:t>
            </w:r>
          </w:p>
        </w:tc>
        <w:tc>
          <w:tcPr>
            <w:tcW w:w="3900" w:type="dxa"/>
            <w:vAlign w:val="bottom"/>
          </w:tcPr>
          <w:p>
            <w:pPr>
              <w:ind w:left="140"/>
              <w:spacing w:after="0"/>
              <w:rPr>
                <w:sz w:val="20"/>
                <w:szCs w:val="20"/>
                <w:color w:val="auto"/>
              </w:rPr>
            </w:pPr>
            <w:r>
              <w:rPr>
                <w:rFonts w:ascii="Arial" w:cs="Arial" w:eastAsia="Arial" w:hAnsi="Arial"/>
                <w:sz w:val="18"/>
                <w:szCs w:val="18"/>
                <w:i w:val="1"/>
                <w:iCs w:val="1"/>
                <w:color w:val="auto"/>
              </w:rPr>
              <w:t>Antibody to angiopoietin-like protein 3</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HoFH</w:t>
            </w:r>
            <w:r>
              <w:rPr>
                <w:rFonts w:ascii="Arial" w:cs="Arial" w:eastAsia="Arial" w:hAnsi="Arial"/>
                <w:sz w:val="25"/>
                <w:szCs w:val="25"/>
                <w:color w:val="auto"/>
                <w:vertAlign w:val="superscript"/>
              </w:rPr>
              <w:t>(c)</w:t>
            </w:r>
          </w:p>
        </w:tc>
        <w:tc>
          <w:tcPr>
            <w:tcW w:w="0" w:type="dxa"/>
            <w:vAlign w:val="bottom"/>
          </w:tcPr>
          <w:p>
            <w:pPr>
              <w:spacing w:after="0"/>
              <w:rPr>
                <w:sz w:val="1"/>
                <w:szCs w:val="1"/>
                <w:color w:val="auto"/>
              </w:rPr>
            </w:pPr>
          </w:p>
        </w:tc>
      </w:tr>
      <w:tr>
        <w:trPr>
          <w:trHeight w:val="257"/>
        </w:trPr>
        <w:tc>
          <w:tcPr>
            <w:tcW w:w="3600" w:type="dxa"/>
            <w:vAlign w:val="bottom"/>
            <w:gridSpan w:val="2"/>
            <w:vMerge w:val="continue"/>
            <w:shd w:val="clear" w:color="auto" w:fill="CCEEFF"/>
          </w:tcPr>
          <w:p>
            <w:pPr>
              <w:spacing w:after="0"/>
              <w:rPr>
                <w:sz w:val="22"/>
                <w:szCs w:val="22"/>
                <w:color w:val="auto"/>
              </w:rPr>
            </w:pPr>
          </w:p>
        </w:tc>
        <w:tc>
          <w:tcPr>
            <w:tcW w:w="3900" w:type="dxa"/>
            <w:vAlign w:val="bottom"/>
          </w:tcPr>
          <w:p>
            <w:pPr>
              <w:ind w:left="140"/>
              <w:spacing w:after="0"/>
              <w:rPr>
                <w:sz w:val="20"/>
                <w:szCs w:val="20"/>
                <w:color w:val="auto"/>
              </w:rPr>
            </w:pPr>
            <w:r>
              <w:rPr>
                <w:rFonts w:ascii="Arial" w:cs="Arial" w:eastAsia="Arial" w:hAnsi="Arial"/>
                <w:sz w:val="18"/>
                <w:szCs w:val="18"/>
                <w:i w:val="1"/>
                <w:iCs w:val="1"/>
                <w:color w:val="auto"/>
              </w:rPr>
              <w:t>(ANGPTL3)</w:t>
            </w:r>
          </w:p>
        </w:tc>
        <w:tc>
          <w:tcPr>
            <w:tcW w:w="5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Multi-antibody therapy to Ebola virus</w:t>
            </w:r>
          </w:p>
        </w:tc>
        <w:tc>
          <w:tcPr>
            <w:tcW w:w="3900" w:type="dxa"/>
            <w:vAlign w:val="bottom"/>
          </w:tcPr>
          <w:p>
            <w:pPr>
              <w:ind w:left="460"/>
              <w:spacing w:after="0" w:line="269" w:lineRule="exact"/>
              <w:rPr>
                <w:sz w:val="20"/>
                <w:szCs w:val="20"/>
                <w:color w:val="auto"/>
              </w:rPr>
            </w:pPr>
            <w:r>
              <w:rPr>
                <w:rFonts w:ascii="Arial" w:cs="Arial" w:eastAsia="Arial" w:hAnsi="Arial"/>
                <w:sz w:val="31"/>
                <w:szCs w:val="31"/>
                <w:color w:val="auto"/>
                <w:vertAlign w:val="subscript"/>
              </w:rPr>
              <w:t>Ÿ HoFH</w:t>
            </w:r>
            <w:r>
              <w:rPr>
                <w:rFonts w:ascii="Arial" w:cs="Arial" w:eastAsia="Arial" w:hAnsi="Arial"/>
                <w:sz w:val="12"/>
                <w:szCs w:val="12"/>
                <w:color w:val="auto"/>
              </w:rPr>
              <w:t>(c)(d)</w:t>
            </w:r>
          </w:p>
        </w:tc>
        <w:tc>
          <w:tcPr>
            <w:tcW w:w="3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Cemiplimab</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360"/>
              <w:spacing w:after="0" w:line="228" w:lineRule="exact"/>
              <w:rPr>
                <w:sz w:val="20"/>
                <w:szCs w:val="20"/>
                <w:color w:val="auto"/>
              </w:rPr>
            </w:pPr>
            <w:r>
              <w:rPr>
                <w:rFonts w:ascii="Arial" w:cs="Arial" w:eastAsia="Arial" w:hAnsi="Arial"/>
                <w:sz w:val="18"/>
                <w:szCs w:val="18"/>
                <w:color w:val="auto"/>
              </w:rPr>
              <w:t>Ÿ Ebola virus infection</w:t>
            </w:r>
            <w:r>
              <w:rPr>
                <w:rFonts w:ascii="Arial" w:cs="Arial" w:eastAsia="Arial" w:hAnsi="Arial"/>
                <w:sz w:val="25"/>
                <w:szCs w:val="25"/>
                <w:color w:val="auto"/>
                <w:vertAlign w:val="superscript"/>
              </w:rPr>
              <w:t>(c)</w:t>
            </w:r>
          </w:p>
        </w:tc>
        <w:tc>
          <w:tcPr>
            <w:tcW w:w="3900" w:type="dxa"/>
            <w:vAlign w:val="bottom"/>
          </w:tcPr>
          <w:p>
            <w:pPr>
              <w:ind w:left="460"/>
              <w:spacing w:after="0"/>
              <w:rPr>
                <w:sz w:val="20"/>
                <w:szCs w:val="20"/>
                <w:color w:val="auto"/>
              </w:rPr>
            </w:pPr>
            <w:r>
              <w:rPr>
                <w:rFonts w:ascii="Arial" w:cs="Arial" w:eastAsia="Arial" w:hAnsi="Arial"/>
                <w:sz w:val="18"/>
                <w:szCs w:val="18"/>
                <w:color w:val="auto"/>
              </w:rPr>
              <w:t>Ÿ Refractory hypercholesterolemia (both</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First-line treatment for NSCLC</w:t>
            </w:r>
          </w:p>
        </w:tc>
        <w:tc>
          <w:tcPr>
            <w:tcW w:w="0" w:type="dxa"/>
            <w:vAlign w:val="bottom"/>
          </w:tcPr>
          <w:p>
            <w:pPr>
              <w:spacing w:after="0"/>
              <w:rPr>
                <w:sz w:val="1"/>
                <w:szCs w:val="1"/>
                <w:color w:val="auto"/>
              </w:rPr>
            </w:pPr>
          </w:p>
        </w:tc>
      </w:tr>
      <w:tr>
        <w:trPr>
          <w:trHeight w:val="311"/>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REGN1908-1909</w:t>
            </w:r>
            <w:r>
              <w:rPr>
                <w:rFonts w:ascii="Arial" w:cs="Arial" w:eastAsia="Arial" w:hAnsi="Arial"/>
                <w:sz w:val="25"/>
                <w:szCs w:val="25"/>
                <w:b w:val="1"/>
                <w:bCs w:val="1"/>
                <w:color w:val="auto"/>
                <w:vertAlign w:val="superscript"/>
              </w:rPr>
              <w:t>(f)</w:t>
            </w:r>
          </w:p>
        </w:tc>
        <w:tc>
          <w:tcPr>
            <w:tcW w:w="3900" w:type="dxa"/>
            <w:vAlign w:val="bottom"/>
          </w:tcPr>
          <w:p>
            <w:pPr>
              <w:ind w:left="660"/>
              <w:spacing w:after="0"/>
              <w:rPr>
                <w:sz w:val="20"/>
                <w:szCs w:val="20"/>
                <w:color w:val="auto"/>
              </w:rPr>
            </w:pPr>
            <w:r>
              <w:rPr>
                <w:rFonts w:ascii="Arial" w:cs="Arial" w:eastAsia="Arial" w:hAnsi="Arial"/>
                <w:sz w:val="18"/>
                <w:szCs w:val="18"/>
                <w:color w:val="auto"/>
              </w:rPr>
              <w:t>HeFH and non-FH)</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Cervical cancer</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Multi-antibody therapy to Feld1</w:t>
            </w:r>
          </w:p>
        </w:tc>
        <w:tc>
          <w:tcPr>
            <w:tcW w:w="3900" w:type="dxa"/>
            <w:vAlign w:val="bottom"/>
          </w:tcPr>
          <w:p>
            <w:pPr>
              <w:spacing w:after="0"/>
              <w:rPr>
                <w:sz w:val="23"/>
                <w:szCs w:val="23"/>
                <w:color w:val="auto"/>
              </w:rPr>
            </w:pPr>
          </w:p>
        </w:tc>
        <w:tc>
          <w:tcPr>
            <w:tcW w:w="3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Fasinumab (REGN475)</w:t>
            </w:r>
            <w:r>
              <w:rPr>
                <w:rFonts w:ascii="Arial" w:cs="Arial" w:eastAsia="Arial" w:hAnsi="Arial"/>
                <w:sz w:val="25"/>
                <w:szCs w:val="25"/>
                <w:b w:val="1"/>
                <w:bCs w:val="1"/>
                <w:color w:val="auto"/>
                <w:vertAlign w:val="superscript"/>
              </w:rPr>
              <w:t>(b)(f)</w:t>
            </w: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Ÿ Allergic disease</w:t>
            </w:r>
          </w:p>
        </w:tc>
        <w:tc>
          <w:tcPr>
            <w:tcW w:w="3900" w:type="dxa"/>
            <w:vAlign w:val="bottom"/>
          </w:tcPr>
          <w:p>
            <w:pPr>
              <w:spacing w:after="0"/>
              <w:rPr>
                <w:sz w:val="21"/>
                <w:szCs w:val="21"/>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Osteoarthritis of knee and hip</w:t>
            </w:r>
          </w:p>
        </w:tc>
        <w:tc>
          <w:tcPr>
            <w:tcW w:w="0" w:type="dxa"/>
            <w:vAlign w:val="bottom"/>
          </w:tcPr>
          <w:p>
            <w:pPr>
              <w:spacing w:after="0"/>
              <w:rPr>
                <w:sz w:val="1"/>
                <w:szCs w:val="1"/>
                <w:color w:val="auto"/>
              </w:rPr>
            </w:pPr>
          </w:p>
        </w:tc>
      </w:tr>
      <w:tr>
        <w:trPr>
          <w:trHeight w:val="297"/>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tc>
        <w:tc>
          <w:tcPr>
            <w:tcW w:w="3900" w:type="dxa"/>
            <w:vAlign w:val="bottom"/>
          </w:tcPr>
          <w:p>
            <w:pPr>
              <w:spacing w:after="0"/>
              <w:rPr>
                <w:sz w:val="24"/>
                <w:szCs w:val="24"/>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Chronic low back pain in patients with</w:t>
            </w:r>
          </w:p>
        </w:tc>
        <w:tc>
          <w:tcPr>
            <w:tcW w:w="0" w:type="dxa"/>
            <w:vAlign w:val="bottom"/>
          </w:tcPr>
          <w:p>
            <w:pPr>
              <w:spacing w:after="0"/>
              <w:rPr>
                <w:sz w:val="1"/>
                <w:szCs w:val="1"/>
                <w:color w:val="auto"/>
              </w:rPr>
            </w:pPr>
          </w:p>
        </w:tc>
      </w:tr>
      <w:tr>
        <w:trPr>
          <w:trHeight w:val="175"/>
        </w:trPr>
        <w:tc>
          <w:tcPr>
            <w:tcW w:w="3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w w:val="99"/>
              </w:rPr>
              <w:t>Antibody to interleukin-33 (IL-33). Studied as</w:t>
            </w:r>
          </w:p>
        </w:tc>
        <w:tc>
          <w:tcPr>
            <w:tcW w:w="390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1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1"/>
              </w:rPr>
              <w:t>concomitant osteoarthritis of the knee and</w:t>
            </w:r>
          </w:p>
        </w:tc>
        <w:tc>
          <w:tcPr>
            <w:tcW w:w="0" w:type="dxa"/>
            <w:vAlign w:val="bottom"/>
          </w:tcPr>
          <w:p>
            <w:pPr>
              <w:spacing w:after="0"/>
              <w:rPr>
                <w:sz w:val="1"/>
                <w:szCs w:val="1"/>
                <w:color w:val="auto"/>
              </w:rPr>
            </w:pPr>
          </w:p>
        </w:tc>
      </w:tr>
      <w:tr>
        <w:trPr>
          <w:trHeight w:val="135"/>
        </w:trPr>
        <w:tc>
          <w:tcPr>
            <w:tcW w:w="3600" w:type="dxa"/>
            <w:vAlign w:val="bottom"/>
            <w:gridSpan w:val="2"/>
            <w:vMerge w:val="continue"/>
            <w:shd w:val="clear" w:color="auto" w:fill="CCEEFF"/>
          </w:tcPr>
          <w:p>
            <w:pPr>
              <w:spacing w:after="0"/>
              <w:rPr>
                <w:sz w:val="11"/>
                <w:szCs w:val="11"/>
                <w:color w:val="auto"/>
              </w:rPr>
            </w:pPr>
          </w:p>
        </w:tc>
        <w:tc>
          <w:tcPr>
            <w:tcW w:w="3900" w:type="dxa"/>
            <w:vAlign w:val="bottom"/>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hip</w:t>
            </w:r>
          </w:p>
        </w:tc>
        <w:tc>
          <w:tcPr>
            <w:tcW w:w="0" w:type="dxa"/>
            <w:vAlign w:val="bottom"/>
          </w:tcPr>
          <w:p>
            <w:pPr>
              <w:spacing w:after="0"/>
              <w:rPr>
                <w:sz w:val="1"/>
                <w:szCs w:val="1"/>
                <w:color w:val="auto"/>
              </w:rPr>
            </w:pPr>
          </w:p>
        </w:tc>
      </w:tr>
      <w:tr>
        <w:trPr>
          <w:trHeight w:val="95"/>
        </w:trPr>
        <w:tc>
          <w:tcPr>
            <w:tcW w:w="3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monotherapy and in combination with</w:t>
            </w:r>
          </w:p>
        </w:tc>
        <w:tc>
          <w:tcPr>
            <w:tcW w:w="3900" w:type="dxa"/>
            <w:vAlign w:val="bottom"/>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600" w:type="dxa"/>
            <w:vAlign w:val="bottom"/>
            <w:gridSpan w:val="2"/>
            <w:vMerge w:val="continue"/>
            <w:shd w:val="clear" w:color="auto" w:fill="CCEEFF"/>
          </w:tcPr>
          <w:p>
            <w:pPr>
              <w:spacing w:after="0"/>
              <w:rPr>
                <w:sz w:val="10"/>
                <w:szCs w:val="10"/>
                <w:color w:val="auto"/>
              </w:rPr>
            </w:pPr>
          </w:p>
        </w:tc>
        <w:tc>
          <w:tcPr>
            <w:tcW w:w="3900" w:type="dxa"/>
            <w:vAlign w:val="bottom"/>
          </w:tcPr>
          <w:p>
            <w:pPr>
              <w:spacing w:after="0"/>
              <w:rPr>
                <w:sz w:val="10"/>
                <w:szCs w:val="10"/>
                <w:color w:val="auto"/>
              </w:rPr>
            </w:pPr>
          </w:p>
        </w:tc>
        <w:tc>
          <w:tcPr>
            <w:tcW w:w="36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Evinacumab (REGN1500)</w:t>
            </w:r>
            <w:r>
              <w:rPr>
                <w:rFonts w:ascii="Arial" w:cs="Arial" w:eastAsia="Arial" w:hAnsi="Arial"/>
                <w:sz w:val="25"/>
                <w:szCs w:val="25"/>
                <w:b w:val="1"/>
                <w:bCs w:val="1"/>
                <w:color w:val="auto"/>
                <w:vertAlign w:val="superscript"/>
              </w:rPr>
              <w:t>(f)</w:t>
            </w:r>
          </w:p>
        </w:tc>
        <w:tc>
          <w:tcPr>
            <w:tcW w:w="0" w:type="dxa"/>
            <w:vAlign w:val="bottom"/>
          </w:tcPr>
          <w:p>
            <w:pPr>
              <w:spacing w:after="0"/>
              <w:rPr>
                <w:sz w:val="1"/>
                <w:szCs w:val="1"/>
                <w:color w:val="auto"/>
              </w:rPr>
            </w:pPr>
          </w:p>
        </w:tc>
      </w:tr>
      <w:tr>
        <w:trPr>
          <w:trHeight w:val="257"/>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dupilumab.</w:t>
            </w:r>
          </w:p>
        </w:tc>
        <w:tc>
          <w:tcPr>
            <w:tcW w:w="3900" w:type="dxa"/>
            <w:vAlign w:val="bottom"/>
          </w:tcPr>
          <w:p>
            <w:pPr>
              <w:spacing w:after="0"/>
              <w:rPr>
                <w:sz w:val="22"/>
                <w:szCs w:val="22"/>
                <w:color w:val="auto"/>
              </w:rPr>
            </w:pPr>
          </w:p>
        </w:tc>
        <w:tc>
          <w:tcPr>
            <w:tcW w:w="362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Ÿ Asthma</w:t>
            </w:r>
          </w:p>
        </w:tc>
        <w:tc>
          <w:tcPr>
            <w:tcW w:w="3900" w:type="dxa"/>
            <w:vAlign w:val="bottom"/>
          </w:tcPr>
          <w:p>
            <w:pPr>
              <w:spacing w:after="0"/>
              <w:rPr>
                <w:sz w:val="23"/>
                <w:szCs w:val="23"/>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Ÿ</w:t>
            </w:r>
          </w:p>
        </w:tc>
        <w:tc>
          <w:tcPr>
            <w:tcW w:w="3100" w:type="dxa"/>
            <w:vAlign w:val="bottom"/>
            <w:shd w:val="clear" w:color="auto" w:fill="CCEEFF"/>
          </w:tcPr>
          <w:p>
            <w:pPr>
              <w:ind w:left="20"/>
              <w:spacing w:after="0" w:line="269" w:lineRule="exact"/>
              <w:rPr>
                <w:sz w:val="20"/>
                <w:szCs w:val="20"/>
                <w:color w:val="auto"/>
              </w:rPr>
            </w:pPr>
            <w:r>
              <w:rPr>
                <w:rFonts w:ascii="Arial" w:cs="Arial" w:eastAsia="Arial" w:hAnsi="Arial"/>
                <w:sz w:val="31"/>
                <w:szCs w:val="31"/>
                <w:color w:val="auto"/>
                <w:vertAlign w:val="subscript"/>
              </w:rPr>
              <w:t>HoFH</w:t>
            </w:r>
            <w:r>
              <w:rPr>
                <w:rFonts w:ascii="Arial" w:cs="Arial" w:eastAsia="Arial" w:hAnsi="Arial"/>
                <w:sz w:val="12"/>
                <w:szCs w:val="12"/>
                <w:color w:val="auto"/>
              </w:rPr>
              <w:t>(c)(d)</w:t>
            </w:r>
          </w:p>
        </w:tc>
        <w:tc>
          <w:tcPr>
            <w:tcW w:w="0" w:type="dxa"/>
            <w:vAlign w:val="bottom"/>
          </w:tcPr>
          <w:p>
            <w:pPr>
              <w:spacing w:after="0"/>
              <w:rPr>
                <w:sz w:val="1"/>
                <w:szCs w:val="1"/>
                <w:color w:val="auto"/>
              </w:rPr>
            </w:pPr>
          </w:p>
        </w:tc>
      </w:tr>
      <w:tr>
        <w:trPr>
          <w:trHeight w:val="283"/>
        </w:trPr>
        <w:tc>
          <w:tcPr>
            <w:tcW w:w="3600" w:type="dxa"/>
            <w:vAlign w:val="bottom"/>
            <w:gridSpan w:val="2"/>
            <w:shd w:val="clear" w:color="auto" w:fill="CCEEFF"/>
          </w:tcPr>
          <w:p>
            <w:pPr>
              <w:ind w:left="20"/>
              <w:spacing w:after="0" w:line="283" w:lineRule="exact"/>
              <w:rPr>
                <w:sz w:val="20"/>
                <w:szCs w:val="20"/>
                <w:color w:val="auto"/>
              </w:rPr>
            </w:pPr>
            <w:r>
              <w:rPr>
                <w:rFonts w:ascii="Arial" w:cs="Arial" w:eastAsia="Arial" w:hAnsi="Arial"/>
                <w:sz w:val="18"/>
                <w:szCs w:val="18"/>
                <w:b w:val="1"/>
                <w:bCs w:val="1"/>
                <w:color w:val="auto"/>
              </w:rPr>
              <w:t>Trevogrumab (REGN1033)</w:t>
            </w:r>
            <w:r>
              <w:rPr>
                <w:rFonts w:ascii="Arial" w:cs="Arial" w:eastAsia="Arial" w:hAnsi="Arial"/>
                <w:sz w:val="25"/>
                <w:szCs w:val="25"/>
                <w:b w:val="1"/>
                <w:bCs w:val="1"/>
                <w:color w:val="auto"/>
                <w:vertAlign w:val="superscript"/>
              </w:rPr>
              <w:t>(f)</w:t>
            </w:r>
          </w:p>
        </w:tc>
        <w:tc>
          <w:tcPr>
            <w:tcW w:w="3900" w:type="dxa"/>
            <w:vAlign w:val="bottom"/>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myostatin (GDF8)</w:t>
            </w:r>
          </w:p>
        </w:tc>
        <w:tc>
          <w:tcPr>
            <w:tcW w:w="39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Ÿ Muscle wasting diseases (in combination</w:t>
            </w:r>
          </w:p>
        </w:tc>
        <w:tc>
          <w:tcPr>
            <w:tcW w:w="3900" w:type="dxa"/>
            <w:vAlign w:val="bottom"/>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20"/>
                <w:szCs w:val="20"/>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 REGN2477)</w:t>
            </w:r>
          </w:p>
        </w:tc>
        <w:tc>
          <w:tcPr>
            <w:tcW w:w="39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REGN2477</w:t>
            </w:r>
            <w:r>
              <w:rPr>
                <w:rFonts w:ascii="Arial" w:cs="Arial" w:eastAsia="Arial" w:hAnsi="Arial"/>
                <w:sz w:val="25"/>
                <w:szCs w:val="25"/>
                <w:b w:val="1"/>
                <w:bCs w:val="1"/>
                <w:color w:val="auto"/>
                <w:vertAlign w:val="superscript"/>
              </w:rPr>
              <w:t>(f)</w:t>
            </w:r>
          </w:p>
        </w:tc>
        <w:tc>
          <w:tcPr>
            <w:tcW w:w="3900" w:type="dxa"/>
            <w:vAlign w:val="bottom"/>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Activin A</w:t>
            </w:r>
          </w:p>
        </w:tc>
        <w:tc>
          <w:tcPr>
            <w:tcW w:w="39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Ÿ</w:t>
            </w: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Fibrodysplasia ossificans progressiva</w:t>
            </w:r>
          </w:p>
        </w:tc>
        <w:tc>
          <w:tcPr>
            <w:tcW w:w="3900" w:type="dxa"/>
            <w:vAlign w:val="bottom"/>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 w:type="dxa"/>
            <w:vAlign w:val="bottom"/>
            <w:shd w:val="clear" w:color="auto" w:fill="CCEEFF"/>
          </w:tcPr>
          <w:p>
            <w:pPr>
              <w:spacing w:after="0"/>
              <w:rPr>
                <w:sz w:val="22"/>
                <w:szCs w:val="22"/>
                <w:color w:val="auto"/>
              </w:rPr>
            </w:pPr>
          </w:p>
        </w:tc>
        <w:tc>
          <w:tcPr>
            <w:tcW w:w="3100" w:type="dxa"/>
            <w:vAlign w:val="bottom"/>
            <w:shd w:val="clear" w:color="auto" w:fill="CCEEFF"/>
          </w:tcPr>
          <w:p>
            <w:pPr>
              <w:ind w:left="40"/>
              <w:spacing w:after="0" w:line="258" w:lineRule="exact"/>
              <w:rPr>
                <w:sz w:val="20"/>
                <w:szCs w:val="20"/>
                <w:color w:val="auto"/>
              </w:rPr>
            </w:pPr>
            <w:r>
              <w:rPr>
                <w:rFonts w:ascii="Arial" w:cs="Arial" w:eastAsia="Arial" w:hAnsi="Arial"/>
                <w:sz w:val="29"/>
                <w:szCs w:val="29"/>
                <w:color w:val="auto"/>
                <w:vertAlign w:val="subscript"/>
              </w:rPr>
              <w:t>(FOP)</w:t>
            </w:r>
            <w:r>
              <w:rPr>
                <w:rFonts w:ascii="Arial" w:cs="Arial" w:eastAsia="Arial" w:hAnsi="Arial"/>
                <w:sz w:val="11"/>
                <w:szCs w:val="11"/>
                <w:color w:val="auto"/>
              </w:rPr>
              <w:t>(c)(e)</w:t>
            </w:r>
          </w:p>
        </w:tc>
        <w:tc>
          <w:tcPr>
            <w:tcW w:w="3900" w:type="dxa"/>
            <w:vAlign w:val="bottom"/>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Ÿ</w:t>
            </w: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Muscle-wasting diseases (in combination</w:t>
            </w:r>
          </w:p>
        </w:tc>
        <w:tc>
          <w:tcPr>
            <w:tcW w:w="390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20"/>
                <w:szCs w:val="20"/>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 trevogrumab)</w:t>
            </w:r>
          </w:p>
        </w:tc>
        <w:tc>
          <w:tcPr>
            <w:tcW w:w="39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REGN3918</w:t>
            </w:r>
            <w:r>
              <w:rPr>
                <w:rFonts w:ascii="Arial" w:cs="Arial" w:eastAsia="Arial" w:hAnsi="Arial"/>
                <w:sz w:val="25"/>
                <w:szCs w:val="25"/>
                <w:b w:val="1"/>
                <w:bCs w:val="1"/>
                <w:color w:val="auto"/>
                <w:vertAlign w:val="superscript"/>
              </w:rPr>
              <w:t>(f)</w:t>
            </w:r>
          </w:p>
        </w:tc>
        <w:tc>
          <w:tcPr>
            <w:tcW w:w="3900" w:type="dxa"/>
            <w:vAlign w:val="bottom"/>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complement 5 (C5)</w:t>
            </w:r>
          </w:p>
        </w:tc>
        <w:tc>
          <w:tcPr>
            <w:tcW w:w="39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Ÿ Paroxysmal nocturnal hemoglobinuria</w:t>
            </w:r>
          </w:p>
        </w:tc>
        <w:tc>
          <w:tcPr>
            <w:tcW w:w="3900" w:type="dxa"/>
            <w:vAlign w:val="bottom"/>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20"/>
                <w:szCs w:val="20"/>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(PNH)</w:t>
            </w:r>
          </w:p>
        </w:tc>
        <w:tc>
          <w:tcPr>
            <w:tcW w:w="390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3900" w:type="dxa"/>
            <w:vAlign w:val="bottom"/>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130" w:right="3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60" w:hanging="114"/>
        <w:spacing w:after="0"/>
        <w:tabs>
          <w:tab w:leader="none" w:pos="460" w:val="left"/>
        </w:tabs>
        <w:numPr>
          <w:ilvl w:val="0"/>
          <w:numId w:val="8"/>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orphan drug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40" w:right="300" w:firstLine="6"/>
        <w:spacing w:after="0" w:line="253" w:lineRule="auto"/>
        <w:tabs>
          <w:tab w:leader="none" w:pos="466"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1" w:lineRule="exact"/>
        <w:rPr>
          <w:rFonts w:ascii="Arial" w:cs="Arial" w:eastAsia="Arial" w:hAnsi="Arial"/>
          <w:sz w:val="9"/>
          <w:szCs w:val="9"/>
          <w:color w:val="auto"/>
        </w:rPr>
      </w:pPr>
    </w:p>
    <w:p>
      <w:pPr>
        <w:jc w:val="both"/>
        <w:ind w:left="340" w:right="380" w:firstLine="6"/>
        <w:spacing w:after="0" w:line="238" w:lineRule="auto"/>
        <w:tabs>
          <w:tab w:leader="none" w:pos="481"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We and BARDA of the HHS are parties to agreements (including an agreement executed in September 2017 - see "Other Programs" below for further information) whereby HHS provides certain funding to support research, development, and manufacturing of an antibody therapy for the treatment of Ebola virus infection.</w:t>
      </w:r>
    </w:p>
    <w:p>
      <w:pPr>
        <w:spacing w:after="0" w:line="20" w:lineRule="exact"/>
        <w:rPr>
          <w:rFonts w:ascii="Arial" w:cs="Arial" w:eastAsia="Arial" w:hAnsi="Arial"/>
          <w:sz w:val="9"/>
          <w:szCs w:val="9"/>
          <w:color w:val="auto"/>
        </w:rPr>
      </w:pPr>
    </w:p>
    <w:p>
      <w:pPr>
        <w:ind w:left="480" w:hanging="134"/>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2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third quarter of 2017, we reported that a Phase 3 study evaluating suptavumab (REGN2222), an antibody to the Respiratory Syncytial Virus-F (RSV-F) protein, did not meet its primary endpoint of preventing medically-attended RSV infections in infants. Suptavumab did show signs of efficacy in a subgroup of patients. Adverse events were generally balanced between suptavumab and placebo. We have discontinued further clinical development of suptavumab.</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fourth quarter of 2017, we reported that results from two Phase 2 studies that added the angiopoietin2 (Ang2) antibody nesvacumab to EYLEA did not provide sufficient differentiation to warrant Phase 3 development. The RUBY study evaluated patients with DME and the ONYX study evaluated patients with wet AMD. EYLEA results were consistent with findings in previous clinical studies, and there were no new safety signals in these studies. Results from RUBY and ONYX will be further analyzed and will be submitted for presentation at a future medical congress.</w:t>
      </w:r>
    </w:p>
    <w:p>
      <w:pPr>
        <w:spacing w:after="0" w:line="22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biopharmaceutical company that provides patients and medical professionals with important options for preventing and treating human diseases.</w:t>
      </w:r>
    </w:p>
    <w:p>
      <w:pPr>
        <w:spacing w:after="0" w:line="220" w:lineRule="exact"/>
        <w:rPr>
          <w:sz w:val="20"/>
          <w:szCs w:val="20"/>
          <w:color w:val="auto"/>
        </w:rPr>
      </w:pPr>
    </w:p>
    <w:p>
      <w:pPr>
        <w:jc w:val="both"/>
        <w:ind w:firstLine="230"/>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 - Ophthalmologic Diseases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which optimizes it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Diabetic Retinopathy</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(NVG).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loss of peripheral vision.</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Phase 3 study (PANORAMA) to assess the efficacy and safety of intravitreal aflibercept in patients with moderately severe to severe NPDR without DME has completed enrollment.</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 (dupilumab;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Type 2 inflammation, which drives the formation of Immunoglobulin E (IgE) antibodies and allergic diseases like atopic dermatitis (eczema), asthma, nasal polyps, and eosinophilic esophagitis.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and is designed to bind to IL-4R alpha subunit to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3 Studies in Adolescent and Pediatric Patients. </w:t>
      </w:r>
      <w:r>
        <w:rPr>
          <w:rFonts w:ascii="Arial" w:cs="Arial" w:eastAsia="Arial" w:hAnsi="Arial"/>
          <w:sz w:val="18"/>
          <w:szCs w:val="18"/>
          <w:color w:val="auto"/>
        </w:rPr>
        <w:t>In the first quarter of 2017, a Phase 3 study in adolescent patients (12–17 years of age) with</w:t>
      </w:r>
      <w:r>
        <w:rPr>
          <w:rFonts w:ascii="Arial" w:cs="Arial" w:eastAsia="Arial" w:hAnsi="Arial"/>
          <w:sz w:val="18"/>
          <w:szCs w:val="18"/>
          <w:i w:val="1"/>
          <w:iCs w:val="1"/>
          <w:color w:val="auto"/>
        </w:rPr>
        <w:t xml:space="preserve"> </w:t>
      </w:r>
      <w:r>
        <w:rPr>
          <w:rFonts w:ascii="Arial" w:cs="Arial" w:eastAsia="Arial" w:hAnsi="Arial"/>
          <w:sz w:val="18"/>
          <w:szCs w:val="18"/>
          <w:color w:val="auto"/>
        </w:rPr>
        <w:t>moderate-to-severe atopic dermatitis was initiated, and in the fourth quarter of 2017, a Phase 3 study in pediatric patients (from six years to 11 years of age) with severe atopic dermatitis was also initiated. Additionally, in the first quarter of 2018, we initiated a Phase 2/3 study in younger pediatric patients (from six months to five years of age) with severe atopic dermatitis.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2016, the FDA granted Breakthrough Therapy designation for dupilumab for the treatment of moderate-to-severe (12 to less than 18 years of age) and severe (6 months to less than 12 years of age) atopic dermatitis in patients who are not adequately controlled with, or who are intolerant to, topical medication.</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Other Phase 3 Studies</w:t>
      </w:r>
      <w:r>
        <w:rPr>
          <w:rFonts w:ascii="Arial" w:cs="Arial" w:eastAsia="Arial" w:hAnsi="Arial"/>
          <w:sz w:val="18"/>
          <w:szCs w:val="18"/>
          <w:color w:val="auto"/>
        </w:rPr>
        <w:t>. The Phase 3 LIBERTY AD CAFÉ study of Dupixent investigated two dose regimens of Dupixent (300 mg weekly and 300 mg</w:t>
      </w:r>
      <w:r>
        <w:rPr>
          <w:rFonts w:ascii="Arial" w:cs="Arial" w:eastAsia="Arial" w:hAnsi="Arial"/>
          <w:sz w:val="18"/>
          <w:szCs w:val="18"/>
          <w:i w:val="1"/>
          <w:iCs w:val="1"/>
          <w:color w:val="auto"/>
        </w:rPr>
        <w:t xml:space="preserve"> </w:t>
      </w:r>
      <w:r>
        <w:rPr>
          <w:rFonts w:ascii="Arial" w:cs="Arial" w:eastAsia="Arial" w:hAnsi="Arial"/>
          <w:sz w:val="18"/>
          <w:szCs w:val="18"/>
          <w:color w:val="auto"/>
        </w:rPr>
        <w:t>every two weeks) with concomitant topical corticosteroids in adult patients with moderate-to-severe atopic dermatitis who are inadequately controlled with or intolerant to the broad immunosuppressant drug cyclosporine A (CSA), or when this treatment is medically inadvisable. The primary endpoint of this study was the proportion of patients with a 75% or greater improvement from baseline in their Eczema Area and Severity Index (EASI-75) score at 16 weeks. In April 2017, we and Sanofi announced that the results of the LIBERTY AD CAFÉ study were positive and demonstrated an acceptable safety profile. These results were submitted to the EMA and in September 2017, we and Sanofi presented the results at the European Academy of Dermatology and Venereology (EADV) Congress.</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2017, at the Annual Meeting of the American Academy of Dermatology, we and Sanofi presented additional detailed results from the Phase 3 LIBERTY AD CHRONOS study. This study met its primary and secondary endpoints, with patients receiving Dupixent along with topical corticosteroids (TCS) achieving significantly improved measures of overall disease severity at 16 and 52 weeks, compared to TCS alone in adults with uncontrolled moderate-to-severe atopic dermatitis.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i w:val="1"/>
          <w:iCs w:val="1"/>
          <w:color w:val="auto"/>
        </w:rPr>
        <w:t>Phase 3 Program</w:t>
      </w:r>
      <w:r>
        <w:rPr>
          <w:rFonts w:ascii="Arial" w:cs="Arial" w:eastAsia="Arial" w:hAnsi="Arial"/>
          <w:sz w:val="17"/>
          <w:szCs w:val="17"/>
          <w:color w:val="auto"/>
        </w:rPr>
        <w:t>. LIBERTY ASTHMA QUEST is a Phase 3 study that evaluated dupilumab in adult and adolescent patients with uncontrolled persistent</w:t>
      </w:r>
      <w:r>
        <w:rPr>
          <w:rFonts w:ascii="Arial" w:cs="Arial" w:eastAsia="Arial" w:hAnsi="Arial"/>
          <w:sz w:val="17"/>
          <w:szCs w:val="17"/>
          <w:i w:val="1"/>
          <w:iCs w:val="1"/>
          <w:color w:val="auto"/>
        </w:rPr>
        <w:t xml:space="preserve"> </w:t>
      </w:r>
      <w:r>
        <w:rPr>
          <w:rFonts w:ascii="Arial" w:cs="Arial" w:eastAsia="Arial" w:hAnsi="Arial"/>
          <w:sz w:val="17"/>
          <w:szCs w:val="17"/>
          <w:color w:val="auto"/>
        </w:rPr>
        <w:t>asthma. It is a global, placebo-controlled Phase 3 study that enrolled more than 1,900 patients. Patients were randomized into four groups: dupilumab 200 mg every other week with a loading dose of 400 mg, dupilumab 300 mg every other week with a loading dose of 600 mg, and two separate placebo groups. Patients were randomized in a 2:1 fashion to active drug versus placebo. The two primary endpoints of the study were the annualized rate of severe exacerbation events at 52 weeks and the absolute change from baseline in a standard measure of lung function known as pre-bronchodilator forced expiratory volume over one second (FEV</w:t>
      </w:r>
      <w:r>
        <w:rPr>
          <w:rFonts w:ascii="Arial" w:cs="Arial" w:eastAsia="Arial" w:hAnsi="Arial"/>
          <w:sz w:val="11"/>
          <w:szCs w:val="11"/>
          <w:color w:val="auto"/>
        </w:rPr>
        <w:t>1</w:t>
      </w:r>
      <w:r>
        <w:rPr>
          <w:rFonts w:ascii="Arial" w:cs="Arial" w:eastAsia="Arial" w:hAnsi="Arial"/>
          <w:sz w:val="17"/>
          <w:szCs w:val="17"/>
          <w:color w:val="auto"/>
        </w:rPr>
        <w:t>) at 12 weeks. The pre-specified primary analysis included hierarchical evaluation of these endpoints in the overall population, in patients with 150 eosinophilic cells/microliter or greater, and in patients with 300 eosinophilic cells/microliter or greater. In the study, approximately 50% of patients had 300 eosinophilic cells/microliter or greater and approximately 70% of patients had 150 eosinophilic cells/microliter or greater. Higher eosinophil counts are generally thought to be associated with poorer asthma control and higher rates of exacerbations, as was observed in the placebo patients in this study.</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third quarter of 2017, we and Sanofi announced that the LIBERTY ASTHMA QUEST study met its two primary endpoints. Dupilumab, when added to standard therapies, reduced severe asthma attacks (exacerbations) and improved lung function. At 52 weeks, in the 300 mg dose group, dupilumab reduced severe asthma attacks by 46% in the overall population, 60% in patients with 150 eosinophilic cells/microliter or greater, and 67% in patients with 300 eosinophilic cells/microliter or greater (p&lt;0.001 for all groups). At 12 weeks, in the 300 mg dupilumab dose group, mean improvement in lung function over placebo as assessed by FEV</w:t>
      </w:r>
      <w:r>
        <w:rPr>
          <w:rFonts w:ascii="Arial" w:cs="Arial" w:eastAsia="Arial" w:hAnsi="Arial"/>
          <w:sz w:val="12"/>
          <w:szCs w:val="12"/>
          <w:color w:val="auto"/>
        </w:rPr>
        <w:t>1</w:t>
      </w:r>
      <w:r>
        <w:rPr>
          <w:rFonts w:ascii="Arial" w:cs="Arial" w:eastAsia="Arial" w:hAnsi="Arial"/>
          <w:sz w:val="18"/>
          <w:szCs w:val="18"/>
          <w:color w:val="auto"/>
        </w:rPr>
        <w:t xml:space="preserve"> was 130 mL (9%) in the overall population, 150 mL (11%) in patients with 150 eosinophilic cells/microliter or greater, and 240 mL (18%) in patients with 300 eosinophilic cells/microliter or greater (p&lt;0.001 for all groups). Changes in FEV</w:t>
      </w:r>
      <w:r>
        <w:rPr>
          <w:rFonts w:ascii="Arial" w:cs="Arial" w:eastAsia="Arial" w:hAnsi="Arial"/>
          <w:sz w:val="12"/>
          <w:szCs w:val="12"/>
          <w:color w:val="auto"/>
        </w:rPr>
        <w:t>1</w:t>
      </w:r>
      <w:r>
        <w:rPr>
          <w:rFonts w:ascii="Arial" w:cs="Arial" w:eastAsia="Arial" w:hAnsi="Arial"/>
          <w:sz w:val="18"/>
          <w:szCs w:val="18"/>
          <w:color w:val="auto"/>
        </w:rPr>
        <w:t xml:space="preserve"> of 100 to 200 mL are considered clinically relevant.</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LIBERTY ASTHMA QUEST study, the exacerbations and FEV</w:t>
      </w:r>
      <w:r>
        <w:rPr>
          <w:rFonts w:ascii="Arial" w:cs="Arial" w:eastAsia="Arial" w:hAnsi="Arial"/>
          <w:sz w:val="12"/>
          <w:szCs w:val="12"/>
          <w:color w:val="auto"/>
        </w:rPr>
        <w:t>1</w:t>
      </w:r>
      <w:r>
        <w:rPr>
          <w:rFonts w:ascii="Arial" w:cs="Arial" w:eastAsia="Arial" w:hAnsi="Arial"/>
          <w:sz w:val="18"/>
          <w:szCs w:val="18"/>
          <w:color w:val="auto"/>
        </w:rPr>
        <w:t xml:space="preserve"> results for the 200 mg and 300 mg dupilumab dose groups were generally comparable. The extent of patient response correlated with allergic or atopic status as reflected by blood eosinophils and other markers. Less activity was observed in patients with less than 150 eosinophilic cells/microliter. The overall</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rates of adverse events, deaths, infections, conjunctivitis, herpes, and discontinuations were comparable between the dupilumab and placebo groups. Injection site reactions were more common in the dupilumab groups (17%) compared to placebo (8%). All patients continued throughout the study on a medium or high dose inhaled corticosteroid (ICS) and up to two additional controller medicines. Eosinophil subgroups were classified based on baseline levels. Detailed results from this study will be submitted for presentation at a future medical congress.</w:t>
      </w:r>
    </w:p>
    <w:p>
      <w:pPr>
        <w:spacing w:after="0" w:line="24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fourth quarter of 2017, we and Sanofi announced that LIBERTY ASTHMA VENTURE, a randomized Phase 3 study examining the ability of dupilumab to reduce oral corticosteroid use in adults and adolescents with severe steroid-dependent asthma, met its primary endpoint and key secondary endpoints. Patients with severe chronic asthma have compromised lung function. In VENTURE, baseline FEV</w:t>
      </w:r>
      <w:r>
        <w:rPr>
          <w:rFonts w:ascii="Arial" w:cs="Arial" w:eastAsia="Arial" w:hAnsi="Arial"/>
          <w:sz w:val="11"/>
          <w:szCs w:val="11"/>
          <w:color w:val="auto"/>
        </w:rPr>
        <w:t>1</w:t>
      </w:r>
      <w:r>
        <w:rPr>
          <w:rFonts w:ascii="Arial" w:cs="Arial" w:eastAsia="Arial" w:hAnsi="Arial"/>
          <w:sz w:val="17"/>
          <w:szCs w:val="17"/>
          <w:color w:val="auto"/>
        </w:rPr>
        <w:t xml:space="preserve"> was approximately 52% of predicted normal. Oral corticosteriods (OCS) are typically prescribed to improve lung function and reduce asthma attacks in these severe patients. The VENTURE study enrolled 210 patients (103 in the dupilumab group and 107 in the placebo group) with severe asthma and regular use of OCS in the six months prior to enrollment. This Phase 3 trial enrolled severe steroid-dependent asthma patients without regard to baseline eosinophil levels or other biomarkers. The results showed improvements compared to placebo on lung function and exacerbations across patient subgroups - those with baseline eosinophil counts above 300 cells/microliter, above 150 cells/microliter, and below 150 cells/microliter.</w:t>
      </w:r>
    </w:p>
    <w:p>
      <w:pPr>
        <w:spacing w:after="0" w:line="23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For the primary endpoint, at 24 weeks in the overall population, dupilumab added to standard therapies significantly reduced the use of maintenance OCS by 70% on average (median reduction of 100%) compared to 42% with placebo (median reduction of 50%) (p&lt;0.0001). In prespecified analyses of patients with baseline eosinophil counts greater than or equal to 300 cells/microliter, adding dupilumab significantly reduced OCS use by 80% on average (median reduction of 100%) compared to 43% for placebo (median reduction of 50%) (nominal p=0.0001). At 24 weeks, despite the reduced use of OCS, patients treated with dupilumab had 59% fewer attacks (exacerbations) in the overall population (p&lt;0.0001) and 71% fewer attacks in patients with eosinophil counts greater than or equal to 300 cells/microliter. In addition to reducing exacerbations while reducing oral steroid dependence, dupilumab also improved lung function. At 24 weeks, the placebo-adjusted improvement in FEV</w:t>
      </w:r>
      <w:r>
        <w:rPr>
          <w:rFonts w:ascii="Arial" w:cs="Arial" w:eastAsia="Arial" w:hAnsi="Arial"/>
          <w:sz w:val="11"/>
          <w:szCs w:val="11"/>
          <w:color w:val="auto"/>
        </w:rPr>
        <w:t>1</w:t>
      </w:r>
      <w:r>
        <w:rPr>
          <w:rFonts w:ascii="Arial" w:cs="Arial" w:eastAsia="Arial" w:hAnsi="Arial"/>
          <w:sz w:val="17"/>
          <w:szCs w:val="17"/>
          <w:color w:val="auto"/>
        </w:rPr>
        <w:t xml:space="preserve"> on dupilumab was 220 mL (15%) in the overall population (p=0.0007) and 320 mL (25%) in patients with eosinophil counts greater than or equal to 300 cells/microliter (nominal p=0.0049).</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safety and tolerability profile of dupilumab in the LIBERTY ASTHMA VENTURE study was consistent with previous studies. There were more injection-site reactions reported with dupilumab (9%) vs. placebo (4%). There were more dupilumab-treated patients with an increase in eosinophil counts (14% dupilumab vs. 1% placebo), most of which were mild and the vast majority of which resolved. Overall rates of adverse events, including infections, conjunctivitis, and herpes, were comparable between the dupilumab and placebo groups.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Based on discussions with the FDA, our previously reported and published Phase 2b LIBERTY ASTHMA QUEST study served as the second required pivotal efficacy study for the sBLA for asthma. The results from the LIBERTY ASTHMA VENTURE study were also included in the sBLA for asthma, which was submitted with the FDA in the fourth quarter of 2017.</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TRAVERSE study, a long-term safety extension study, is also included in the LIBERTY ASTHMA clinical development program.</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3 Study in Pediatric Patients. </w:t>
      </w:r>
      <w:r>
        <w:rPr>
          <w:rFonts w:ascii="Arial" w:cs="Arial" w:eastAsia="Arial" w:hAnsi="Arial"/>
          <w:sz w:val="18"/>
          <w:szCs w:val="18"/>
          <w:color w:val="auto"/>
        </w:rPr>
        <w:t>In the second quarter of 2017, a Phase 3 study in pediatric patients (from six to 11 years of age) with uncontrolled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persistent asthma was initiated.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In 2017, we completed enrollment in two Phase 3 studies, as part of the LIBERTY NP SINUS program, in adult patients with bilateral</w:t>
      </w:r>
      <w:r>
        <w:rPr>
          <w:rFonts w:ascii="Arial" w:cs="Arial" w:eastAsia="Arial" w:hAnsi="Arial"/>
          <w:sz w:val="18"/>
          <w:szCs w:val="18"/>
          <w:i w:val="1"/>
          <w:iCs w:val="1"/>
          <w:color w:val="auto"/>
        </w:rPr>
        <w:t xml:space="preserve"> </w:t>
      </w:r>
      <w:r>
        <w:rPr>
          <w:rFonts w:ascii="Arial" w:cs="Arial" w:eastAsia="Arial" w:hAnsi="Arial"/>
          <w:sz w:val="18"/>
          <w:szCs w:val="18"/>
          <w:color w:val="auto"/>
        </w:rPr>
        <w:t>nasal polyps on a background therapy with intranasal corticosteroids.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EoE is a chronic allergic inflammatory disease manifested by tissue injury and pain and difficulty swallowing. People with EoE may also</w:t>
      </w:r>
      <w:r>
        <w:rPr>
          <w:rFonts w:ascii="Arial" w:cs="Arial" w:eastAsia="Arial" w:hAnsi="Arial"/>
          <w:sz w:val="18"/>
          <w:szCs w:val="18"/>
          <w:i w:val="1"/>
          <w:iCs w:val="1"/>
          <w:color w:val="auto"/>
        </w:rPr>
        <w:t xml:space="preserve"> </w:t>
      </w:r>
      <w:r>
        <w:rPr>
          <w:rFonts w:ascii="Arial" w:cs="Arial" w:eastAsia="Arial" w:hAnsi="Arial"/>
          <w:sz w:val="18"/>
          <w:szCs w:val="18"/>
          <w:color w:val="auto"/>
        </w:rPr>
        <w:t>have allergies, asthma, atopic dermatitis, and chronic respiratory disease.</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second quarter of 2017, we and Sanofi announced positive results from a 12-week Phase 2 proof-of-concept study of dupilumab in patients with active, moderate-to-severe EoE. In the fourth quarter of 2017, we and Sanofi presented these results at the World Congress of Gastroenterology. The study showed that compared to placebo, patients who received dupilumab weekly reported a significant improvement in the ability to swallow. The primary endpoint of the study was the change from baseline to week 10 in the Straumann Dysphagia Instrument (SDI) score, a 0–9 point patient-reported measure of swallowing difficulty, with 9 indicating more severe symptoms. A total of 47 patients were randomized to dupilumab 300 mg weekly following a 600 mg loading dose or placebo. Mean baseline SDI score was 6.4 in each group. At week 10, patients who received dupilumab reported a significant improvement in the ability to swallow with a three point reduction in their SDI score (45% improvement) compared to 1.3 points (19% improvement) for those patients who received placebo (p=0.0304).</w:t>
      </w:r>
    </w:p>
    <w:p>
      <w:pPr>
        <w:sectPr>
          <w:pgSz w:w="11900" w:h="16838" w:orient="portrait"/>
          <w:cols w:equalWidth="0" w:num="1">
            <w:col w:w="11420"/>
          </w:cols>
          <w:pgMar w:left="240" w:top="130"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Secondary endpoints of the study included endoscopic and histopathologic measures of disease severity, as well as other symptoms. The results include:</w:t>
      </w:r>
    </w:p>
    <w:p>
      <w:pPr>
        <w:spacing w:after="0" w:line="167" w:lineRule="exact"/>
        <w:rPr>
          <w:sz w:val="20"/>
          <w:szCs w:val="20"/>
          <w:color w:val="auto"/>
        </w:rPr>
      </w:pPr>
    </w:p>
    <w:p>
      <w:pPr>
        <w:jc w:val="both"/>
        <w:ind w:left="660" w:hanging="328"/>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mean change in the Eosinophilic Esophagitis Endoscopic Reference Score (EoE-EREFS) at 12 weeks was significantly reduced by 1.9 points from baseline (48% improvement) in patients who received dupilumab compared to 0.3 points (7% improvement) for those who received placebo (p=0.0006). EoE-EREFS is a visual measure of disease severity (inflammation and fibrosis in the esophagus) on a 0–8 point scale, with 8 indicating more severe disease. The mean baseline score was 3.9 for dupilumab and 4.3 for placebo.</w:t>
      </w:r>
    </w:p>
    <w:p>
      <w:pPr>
        <w:spacing w:after="0" w:line="2"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mean percent change in overall peak intraepithelial eosinophil count from baseline to 12 weeks was significantly reduced by 93% in patients who received dupilumab compared to an increase of 14% in those who received placebo (p&lt;0.0001).</w:t>
      </w: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mean percent change in a composite measure of symptoms and quality of life, as measured by Eosinophilic Esophagitis Symptom Activity Index (EEsAI), was numerically improved at 10 weeks (although not statistically significant) by 35% in patients who received dupilumab compared to an 11% improvement for those who received placebo (p=0.085).</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There were no new significant safety concerns in this study. Compared to placebo, higher rates of injection site reactions were observed on dupilumab.</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third quarter of 2017, the FDA granted orphan drug designation to dupilumab for the treatment of EoE.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which lowers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potential of Praluent to reduce cardiovascular events is being prospectively assessed in the 18,000-patient ODYSSEY OUTCOMES study (with data expected in the first quarter of 2018). To be entered into the ODYSSEY OUTCOMES study, patients had to have had a heart attack or unstable angina requiring hospitalization within the previous year, and inadequately controlled LDL cholesterol despite receiving maximally-tolerated statins and potentially other lipid-lowering therapies.</w:t>
      </w:r>
    </w:p>
    <w:p>
      <w:pPr>
        <w:spacing w:after="0" w:line="241"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A Phase 4 randomized, placebo-controlled, long-term study that prospectively evaluates the effect of Praluent on neurocognitive function remains ongoing. This is a post-marketing commitment we made to the FDA.</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second quarter of 2017, we and Sanofi presented positive results from two Phase 3b/4 studies (ODYSSEY-INSULIN and ODYSSEY-DYSLIPIDEMIA) that evaluated Praluent in patients with diabetes. A majority of patients in both trials reached their lipid goals on Praluent 75 mg administered every two weeks. The overall safety profile was consistent with observations in the ODYSSEY Phase 3 program.</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sBLA for use of Praluent with apheresis has been filed with the FDA, with a target action date of August 24, 2018.</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fourth quarter of 2017, a Phase 3 study in HoFH was initiated.</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Kevzara (sarilumab; IL-6R Antibody) for inflammatory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IL-6 is a key cytokine driving inflammation and joint destruction in RA. Sarilumab,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is a fully human monoclonal antibody to IL-6R.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Polyarticular-course Juvenile Idiopathic Arthritis (pcJIA)</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Phase 2 study of sarilumab in pcJIA was initiated in 2016.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Cemiplimab (REGN2810; PD-1 Antibody) for cancer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14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PD-1 immune checkpoint pathway has emerged as a major mechanism by which cancers evade immune destruction. Several drugs blocking either PD-1 or PD-L1 (one of the two ligands bound by PD-1) have been approved. Cemiplimab is a fully-human high-affinity anti-PD-1 antibody that was generated using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platform. We are developing cemiplimab as a foundation for a diverse and comprehensive immuno-oncology portfolio. Our initial approval strategy is focused on monotherapy in selected indications. Subsequent development activities are expected to include combinations with other anti-cancer agents.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Cemiplimab is in Phase 1 clinical development in a variety of malignancies, both as monotherapy and in combination with other antibodies or treatments. In 2016, we initiated a pivotal Phase 2 study for the treatment of metastatic or locally advanced and unresectable CSCC. In the second quarter of 2017, we initiated a Phase 3 study in first-line treatment for NSCLC and a potentially pivotal Phase 2 study in BCC. In the third quarter of 2017, we also initiated a Phase 3 study in cervical cancer.</w:t>
      </w:r>
    </w:p>
    <w:p>
      <w:pPr>
        <w:spacing w:after="0" w:line="24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June 2017, we and Sanofi announced positive preliminary results in patients with advanced CSCC. We presented data at the 2017 American Society of Clinical Oncology (ASCO) Annual Meeting from 26 patients pooled from two expansion cohorts of the cemiplimab Phase 1 study. Ten patients with distantly metastatic CSCC were enrolled in one expansion cohort and 16 patients with inoperable (unresectable) locally or regionally advanced CSCC were enrolled in a second expansion cohort. Treatment with cemiplimab led to an investigator-assessed overall response rate (ORR) of 46.2% and a disease control rate (DCR) of 69.2%. The median progression-free survival and overall survival were not reached at the data cutoff date with a median follow up of 6.9 months (range: 1.1 to 13.8 months; ongoing). One patient experienced progressive disease following an initial response to cemiplimab, and two patients were not evaluable for response due to death, which was considered unrelated to cemiplimab. The most common treatment-related adverse event of any grade was fatigue (23.1%). Grade 3 or higher adverse events included arthralgia (3.8%), maculopapular rash (3.8%), asthenia (3.8%), aspartate aminotransferase (AST) elevation (3.8%), and alanine aminotransferase (ALT) elevation (3.8%). We found no apparent association between the treatment response and level of PD-L1 (programmed death ligand 1) expression.</w:t>
      </w:r>
    </w:p>
    <w:p>
      <w:pPr>
        <w:spacing w:after="0" w:line="232"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In the third quarter of 2017, the FDA granted cemiplimab Breakthrough Therapy designation for the treatment of adults with metastatic CSCC and adults with locally advanced and unresectable CSCC.</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December 2017, we and Sanofi announced positive top-line results from the pivotal Phase 2 EMPOWER-CSCC 1 study of cemiplimab in 82 patients with advanced CSCC. Cemiplimab demonstrated an ORR of 46.3%, determined by independent review. The median duration of response (DOR) had not yet been reached at the data cut-off point (32 of 38 responses were ongoing). At the time of this analysis, all patients had a minimum follow up of 6 months. The safety profile in the study was generally consistent with approved anti-PD-1 agents. These pivotal data will form the basis of a rolling BLA submission to the FDA, which we have initiated.</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Cemiplimab is also being studied by other companies in combination with their proprietary assets. For example, in the second quarter of 2017, we and Inovio Pharmaceuticals, Inc. entered into a clinical and supply agreement for a Phase 1b/2a immuno-oncology study that will be conducted by Inovio in patients with newly-diagnosed glioblastoma multiforme (GBM) and will evaluate cemiplimab in combination with Inovio's INO-5401 T cell activating immunotherapy encoding multiple antigens and INO-9012, an immune activator encoding IL-12. Also in the second quarter of 2017, we and SillaJen, Inc. entered into a clinical and supply agreement for a Phase 1b dose-escalation study in renal cell carcinoma (RCC), or kidney cancer. The study will evaluate cemiplimab in combination with SillaJen's oncolytic vaccinia virus, Pexa-Vec, in patients with previously treated metastatic or unresectable renal cell carcinoma.</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fourth quarter of 2017, we and ISA Pharmaceuticals entered into a collaboration agreement to develop ISA101, an immunotherapy targeting HPV16-induced cancer, in combination with cemiplimab. We and ISA will jointly fund and conduct clinical trials of the combination treatment in cervical cancer and head-and-neck cancer.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 and chronic low back pain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Pain is among the most common reasons people see the doctor and why analgesics, including opioids, are among the most commonly prescribed drugs. Pain is a major cause of work disability and impaired quality of life. Targeting NGF is a potential new way to manage pain without resorting to opiods. NGF expression is elevated in many acute and chronic painful conditions and NGF blockade has demonstrated efficacy in clinical trials. 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fasinumab clinical development program is expected to comprise approximately 10,000 patients treated with fasinumab.</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Osteoarthritis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initiated a Phase 3 long-term safety study in patients with pain due to osteoarthritis of the knee or hip in 2016 and a Phase 3 efficacy study in patients with pain due to osteoarthritis of the knee or hip in the second quarter of 2017. In the third quarter of 2017, we initiated a Phase 3 efficacy study of fasinumab compared to placebo or naproxen in patients with pain due to osteoarthritis of the knee or hip and in the fourth quarter of 2017 we initiated a Phase 3 efficacy study with multiple nonsteroidal anti-inflammatory drugs (NSAIDs) in patients with pain due to osteoarthritis.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As previously reported, in our Phase 2/3 clinical study in osteoarthritis, the incidence of adjudicated arthropathies in patients on fasinumab was found to be potentially dose-dependent. The ongoing fasinumab osteoarthritis pain pivotal Phase 3 program excludes higher doses associated with a higher incidence of arthropathy.</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Chronic Low Back Pain</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Phase 3 study in chronic low back pain in patients with concomitant osteoarthritis was initiated in the fourth quarter of 2017.</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Evinacumab (REGN1500; Antibody to ANGPTL3) for cardiovascular and metabolic disease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ANGPTL3 is a protein secreted by the liver. ANGPTL3 inhibition lowers plasma levels of triglycerides, LDL-C, and high-density lipoprotein cholesterol (HDL-C). Evinacumab is a fully human monoclonal antibody and a specific inhibitor of ANGPTL3. We are investigating the use of evinacumab in patients with dyslipidemias.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HoFH</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Phase 2 study for the treatment of HoFH is fully enrolled and ongoing. A Phase 3 study in HoFH was initiated in the first quarter of 2018.</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Refractory Hypercholesterolemia</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Phase 2 study in refractory hypercholesterolemia (both HeFH and non-FH) was initiated in the fourth quarter of 2017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preclinical research programs include the areas of oncology and immuno-oncology, angiogenesis, ophthalmology, metabolic and related diseases, muscle diseases and disorders, inflammation and immune diseases, bone and cartilage, pain and neurobiology, cardiovascular diseases, and infectious diseases.</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2015, we and BARDA of the HHS entered into an agreement to develop, test, and manufacture an antibody therapy (REGN3470-3471-3479) for the treatment of Ebola virus infection. Under the terms of the agreement, HHS provides funding to support our preclinical development, antibody manufacturing, and for a Phase 1 study in healthy volunteers, and has the option to provide additional funding for further manufacturing and development studies. In September 2017, we and BARDA entered into an additional agreement whereby HHS provides additional funding for the continued development of REGN3470-3471-3479, a potential BLA filing, and initial procurement of the therapy for national security preparedness. In addition, in 2016, we and BARDA entered into an agreement whereby HHS will provide certain funding to manufacture and study two antibody therapies for the potential treatment of Middle East Respiratory Syndrome (MERS).</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2017, we and BARDA also entered into an agreement to discover, research, develop, and manufacture a portfolio of antibodies targeting up to 10 pathogens, starting with Influenza virus, that pose significant risk to public health. The emerging pathogens treatment portfolio will be pursued using an Other Transaction Agreement (OTA), which provides a funding and collaboration vehicle for HHS to promote innovation in technology for advanced research and development. Under the OTA,</w:t>
      </w:r>
    </w:p>
    <w:p>
      <w:pPr>
        <w:sectPr>
          <w:pgSz w:w="11900" w:h="16838" w:orient="portrait"/>
          <w:cols w:equalWidth="0" w:num="1">
            <w:col w:w="11420"/>
          </w:cols>
          <w:pgMar w:left="240" w:top="130" w:right="239" w:bottom="1027"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027"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has a term of 10 years, HHS will fund 80% of our costs for research, development, and manufacturing activities for antibodies that are selected to move forward.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ZALTRAP, and ARCALYST are drugs generated using our Trap technology. </w:t>
      </w:r>
      <w:r>
        <w:rPr>
          <w:rFonts w:ascii="Arial" w:cs="Arial" w:eastAsia="Arial" w:hAnsi="Arial"/>
          <w:sz w:val="18"/>
          <w:szCs w:val="18"/>
          <w:i w:val="1"/>
          <w:iCs w:val="1"/>
          <w:color w:val="auto"/>
        </w:rPr>
        <w:t xml:space="preserve">VelociSuite </w:t>
      </w:r>
      <w:r>
        <w:rPr>
          <w:rFonts w:ascii="Arial" w:cs="Arial" w:eastAsia="Arial" w:hAnsi="Arial"/>
          <w:sz w:val="18"/>
          <w:szCs w:val="18"/>
          <w:color w:val="auto"/>
        </w:rPr>
        <w:t>is our second technology platform. It is used for discovering, developing, and producing fully human antibodies that can address both secreted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cell-surface targets.</w:t>
      </w:r>
    </w:p>
    <w:p>
      <w:pPr>
        <w:spacing w:after="0" w:line="247"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VelociGene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VelociMab</w:t>
      </w:r>
      <w:r>
        <w:rPr>
          <w:rFonts w:ascii="Arial" w:cs="Arial" w:eastAsia="Arial" w:hAnsi="Arial"/>
          <w:sz w:val="18"/>
          <w:szCs w:val="18"/>
          <w:color w:val="auto"/>
        </w:rPr>
        <w:t>, and other related technologies.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platform is utilized to produce fully human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efficiently to generate fully human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antibodies.</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REGN1979, targets CD20 and CD3. We are exploring additional indications and applications for our bi-specific technologies, such as bi-specific antibodies to mucin 16 (MUC16) and B-cell maturation antigen (BCMA).</w:t>
      </w:r>
    </w:p>
    <w:p>
      <w:pPr>
        <w:spacing w:after="0" w:line="2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b w:val="1"/>
          <w:bCs w:val="1"/>
          <w:i w:val="1"/>
          <w:iCs w:val="1"/>
          <w:color w:val="auto"/>
        </w:rPr>
        <w:t>Regeneron Genetics Center</w:t>
      </w:r>
      <w:r>
        <w:rPr>
          <w:rFonts w:ascii="Arial" w:cs="Arial" w:eastAsia="Arial" w:hAnsi="Arial"/>
          <w:sz w:val="24"/>
          <w:szCs w:val="24"/>
          <w:b w:val="1"/>
          <w:bCs w:val="1"/>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2014, we launched a new human genetics initiative via a wholly owned subsidiary, Regeneron Genetics Center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(RGC). RGC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2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Central to the work of RGC is a collaboration with the Geisinger Health System of Pennsylvania. Geisinger collects samples from consented patient volunteers, while RGC performs sequencing and genotyping to generate de-identified genomic data. In addition, RGC has expanded on its foundational population-based collaboration with Geisinger with a growing number of other organizations worldwide.</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January 2018, we, along with AbbVie Inc., Alnylam Pharmaceuticals Inc., AstraZeneca PLC, Biogen Inc., and Pfizer Inc., announced the formation of a consortium to fund the generation of genetic exome sequence data from 500,000 volunteer participants who make up the UK Biobank health resource. The other companies will each commit up to $10.0 million in funding for Regeneron to sequence the UK Biobank's samples, which will be performed at the RGC facility. Consortium members will have a limited period of exclusive access to the sequencing data, before the data will be made available to other health researchers by UK Biobank.</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September 2017, we entered into a license agreement with a third party, which grants the third party the right to develop and commercialize new indications for ARCALYST in certain jurisdictions, including the United States. We currently maintain exclusive rights to ARCALYST in the United States for existing indications, and are entitled to all profits from such sales. Commencing with the receipt of marketing approval by the third party for the first new indication in the United States, we will grant commercial rights to ARCALYST for our existing indications to the third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Discovery and Preclinical Development Agreement (Antibody Discovery Agreement) with Sanofi ended on December 31, 2017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extension. Praluent, Dupixent, Kevzara, cemiplimab, REGN3500, and REGN3767 were discovered and initially developed under the Antibody Discovery Agreement. Praluent, Dupixent, Kevzara, and REGN3500 will continue to be developed, and commercialized as applicable, with Sanofi under the Antibody License and Collaboration Agreement (LCA). Cemiplimab and REGN3767 will continue to be developed with Sanofi under the immuno-oncology collaboration. We have the right to develop or continue to develop other product candidates discovered under the Antibody Discovery Agreement independently or with other collaborators.</w:t>
      </w:r>
    </w:p>
    <w:p>
      <w:pPr>
        <w:spacing w:after="0" w:line="24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terms of the LCA,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We are obligated to use commercially reasonable efforts to supply clinical requirements of each drug candidate under the collaboration until commercial supplies of that drug candidate are being manufactured.</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Effective January 7, 2018, we and Sanofi entered into a letter agreement (Letter Agreement) amending the LCA in connection with, among other matters, the allocation of additional funds to certain proposed activities relating to the development of dupilumab and REGN3500 and non-approval trials of dupilumab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600,000 shares of our Common Stock directly or indirectly owned by Sanofi. Refer to the </w:t>
      </w:r>
      <w:r>
        <w:rPr>
          <w:rFonts w:ascii="Arial" w:cs="Arial" w:eastAsia="Arial" w:hAnsi="Arial"/>
          <w:sz w:val="18"/>
          <w:szCs w:val="18"/>
          <w:i w:val="1"/>
          <w:iCs w:val="1"/>
          <w:color w:val="auto"/>
        </w:rPr>
        <w:t xml:space="preserve">"Immuno-Oncology" </w:t>
      </w:r>
      <w:r>
        <w:rPr>
          <w:rFonts w:ascii="Arial" w:cs="Arial" w:eastAsia="Arial" w:hAnsi="Arial"/>
          <w:sz w:val="18"/>
          <w:szCs w:val="18"/>
          <w:color w:val="auto"/>
        </w:rPr>
        <w:t>section below for further details regarding the Letter Agreement.</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not exercised any of our options to co-promote these antibodies outside the United States; however, we retain the right to do so at a future date subject to the terms of the collaboration agreement. We and Sanofi will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b w:val="1"/>
          <w:bCs w:val="1"/>
          <w:i w:val="1"/>
          <w:iCs w:val="1"/>
          <w:color w:val="auto"/>
        </w:rPr>
        <w:t xml:space="preserve">Immuno-Oncology. </w:t>
      </w:r>
      <w:r>
        <w:rPr>
          <w:rFonts w:ascii="Arial" w:cs="Arial" w:eastAsia="Arial" w:hAnsi="Arial"/>
          <w:sz w:val="17"/>
          <w:szCs w:val="17"/>
          <w:color w:val="auto"/>
        </w:rPr>
        <w:t>In July 2015, we and Sanofi entered into a global strategic collaboration to discover, develop, and commercialize antibody-based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Investigational New Drug Applications (INDs),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17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 Agreement until commercial supplies of that IO drug candidate are being manufactured.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w:t>
      </w:r>
    </w:p>
    <w:p>
      <w:pPr>
        <w:spacing w:after="0" w:line="23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Under the terms of the IO License and Collaboration Agreement, the parties will also co-develop our antibody product candidate targeting PD-1 (cemiplimab). We have principal control over the development of cemiplimab, and the parties share equally, on an ongoing basis, development expenses for cemiplimab. Pursuant to the January 7, 2018 Letter Agreement with Sanofi, the cemiplimab development budget has been increased to a total of $1.640 billion, $990.0 million over the budget originally set forth in the IO License and Collaboration Agreement. Under the Letter Agreement, we have also agreed to allow Sanofi to satisfy in whole or in part its funding obligation with respect to cemiplimab development costs for the quarterly periods commencing on October 1, 2017 and ending on September 30, 2020 by selling up to 800,000 shares of our Common Stock directly or indirectly owned by Sanofi.</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Sanofi desires to sell shares of our Common Stock during the term of the Letter Agreement to satisfy a portion or all of its funding obligations for the cemiplimab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With regard to cemiplimab, we will lead commercialization activities in the United States, while Sanofi will lead commercialization activities outside of the United States and the parties will equally share profits from worldwide sales. Sanofi has exercised its option to co-promote cemiplimab in the United States. We will be entitled to a milestone payment of $375.0 million in the event that global sales of certain licensed products targeting PD-1 (including cemiplimab),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b w:val="1"/>
          <w:bCs w:val="1"/>
          <w:i w:val="1"/>
          <w:iCs w:val="1"/>
          <w:color w:val="auto"/>
        </w:rPr>
        <w:t xml:space="preserve">Ang2 antibody outside the United States. </w:t>
      </w:r>
      <w:r>
        <w:rPr>
          <w:rFonts w:ascii="Arial" w:cs="Arial" w:eastAsia="Arial" w:hAnsi="Arial"/>
          <w:sz w:val="16"/>
          <w:szCs w:val="16"/>
          <w:color w:val="auto"/>
        </w:rPr>
        <w:t>In March 2016, we entered into an agreement with Bayer governing the joint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commercialization outside the United States of nesvacumab, an antibody product candidate to Ang2, including REGN910-3 (nesvacumab in combination with aflibercept), for the treatment of ocular diseases or disorders. In connection with the agreement, Bayer made a $50.0 million non-refundable up-front payment to us and is obligated to pay 25% of global development costs and 50% of development costs exclusively for the territory outside the United States.</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fourth quarter of 2017, we reported that results from two Phase 2 studies that added nesvacumab to EYLEA did not provide sufficient differentiation to warrant Phase 3 development.</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b w:val="1"/>
          <w:bCs w:val="1"/>
          <w:i w:val="1"/>
          <w:iCs w:val="1"/>
          <w:color w:val="auto"/>
        </w:rPr>
        <w:t xml:space="preserve">Fasinumab. </w:t>
      </w:r>
      <w:r>
        <w:rPr>
          <w:rFonts w:ascii="Arial" w:cs="Arial" w:eastAsia="Arial" w:hAnsi="Arial"/>
          <w:sz w:val="16"/>
          <w:szCs w:val="16"/>
          <w:color w:val="auto"/>
        </w:rPr>
        <w:t>In September 2015, we entered into a collaboration agreement with Mitsubishi Tanabe Pharma Corporation (MTPC) providing MTPC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2016, MTPC made additional payments totaling $60.0 million to us. In the second quarter of 2017, we earned a $30.0 million development milestone from MTPC, and in the fourth quarter of 2017, MTPC made additional payments totaling $25.0 million to us related to development milestones achieved by MTPC. We are entitled to receive up to an aggregate of $100.0 million in additional development milestone and other contingent payments.</w:t>
      </w:r>
    </w:p>
    <w:p>
      <w:pPr>
        <w:spacing w:after="0" w:line="21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b w:val="1"/>
          <w:bCs w:val="1"/>
          <w:i w:val="1"/>
          <w:iCs w:val="1"/>
          <w:color w:val="auto"/>
        </w:rPr>
        <w:t>Fasinumab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2016, we entered into a collaboration agreement with Teva to develop and commercialize fasinumab globally, excluding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Asian countries that are subject to our collaboration agreement with MTPC (as described above). In connection with the agreement, Teva made a $250.0 million non-refundable up-front payment in 2016. We will lead global development activities, and the parties will share equally, on an ongoing basis, development costs under a global development plan. During 2017, we earned $25.0 million and $35.0 million development milestones from Teva, and we are entitled to receive up to an aggregate of $400.0 million in additional development milestones and up to an aggregate of $1,890.0 million in contingent payments upon achievement of specified annual net sales amounts. We are responsible for the manufacture and supply of fasinumab globally.</w:t>
      </w:r>
    </w:p>
    <w:p>
      <w:pPr>
        <w:spacing w:after="0" w:line="21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bulk drug materials at our manufacturing facilities in Rensselaer, New York, which consists of approximately 565,000 square feet of owned research, manufacturing, office, and warehouse space. We currently have approximately 101,000 liters of cell culture capacity, and are approved by the FDA and other regulatory agencies to manufacture our marketed products at these facilities.</w:t>
      </w:r>
    </w:p>
    <w:p>
      <w:pPr>
        <w:spacing w:after="0" w:line="23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also own an approximately 445,000 square foot facility in Limerick, Ireland, which we acquired in 2014 and subsequently renovated to accommodate and support our growth and expand our manufacturing capacity. The facility has received certain manufacturing approvals by regulatory agencies, including the FDA, and is in the process of further validation, as required by regulatory authorities, for the manufacture of our bulk drug products.</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raw materials or other products necessary for the manufacture and formulation of our products and product candidates are provided by single-source unaffiliated third-party suppliers. In addition, we rely on certain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 New Products Marketing and Planning group, a Market Research group, and a Market Access group to evaluate commercial opportunities for our targets and drug candidates, assess the competitive environment, and analyze the commercial potential of our product portfolio, and prepare for market launch of new products. These groups are fully functional to support our product and product candidates that we are independently developing and/or commercializing, and also work closely with our collaborators for co-developed products to develop marketing plans and forecasts and to develop and execute pre-launch market development programs.</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also have a full-service commercialization group to handle various aspects of our commercial programs. The group includes experienced professionals in the fields of marketing, communications, professional education, patient education and advocacy, reimbursement and market access, trade and distribution, commercial operations, commercial analytics, market research, and forecasting. Moreover, for our marketed products, we have hired, trained, and deployed a field-based organization including regional directors, medical specialists, and reimbursement managers, each typically with a number of years of experience in the biopharmaceutical industry in a variety of therapeutic areas including oncology, ophthalmology, immunology, and inflammation. We have approximately 600 field-based employees in the United States.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sell EYLEA in the United States to several distributors and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We had sales to three customers (Besse Medical, a subsidiary of AmerisourceBergen Corporation; McKesson Corporation; and Curascript SD Specialty Distribution, a subsidiary of Express Scripts) that each accounted for more than 10% of total gross product revenue for the year ended December 31, 2017. On a combined basis, our product sales to these customers accounted for approximately 99% of our gross product revenue for the year ended December 31, 2017. We are also a party to collaboration agreements with Bayer and Sanofi, whereby our collaborator is responsible for recording product sales of EYLEA outside the United States and global sales of Dupixent, Praluent, and Kevzara,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face substantial competition from pharmaceutical, biotechnology, and chemical companies. Many of our competitors have substantially greater research, preclinical, and clinical product development,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 or obtain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EYLEA. </w:t>
      </w:r>
      <w:r>
        <w:rPr>
          <w:rFonts w:ascii="Arial" w:cs="Arial" w:eastAsia="Arial" w:hAnsi="Arial"/>
          <w:sz w:val="18"/>
          <w:szCs w:val="18"/>
          <w:color w:val="auto"/>
        </w:rPr>
        <w:t>The following table provides an overview of the competitive landscape for EYLEA:</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Competitor</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ind w:left="580"/>
              <w:spacing w:after="0"/>
              <w:rPr>
                <w:sz w:val="20"/>
                <w:szCs w:val="20"/>
                <w:color w:val="auto"/>
              </w:rPr>
            </w:pPr>
            <w:r>
              <w:rPr>
                <w:rFonts w:ascii="Arial" w:cs="Arial" w:eastAsia="Arial" w:hAnsi="Arial"/>
                <w:sz w:val="18"/>
                <w:szCs w:val="18"/>
                <w:b w:val="1"/>
                <w:bCs w:val="1"/>
                <w:color w:val="auto"/>
              </w:rPr>
              <w:t>Territory</w:t>
            </w: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2"/>
        </w:trPr>
        <w:tc>
          <w:tcPr>
            <w:tcW w:w="26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 AG and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DME,</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Genentech/Roche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macular edema</w:t>
            </w:r>
          </w:p>
        </w:tc>
        <w:tc>
          <w:tcPr>
            <w:tcW w:w="188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following RVO</w:t>
            </w:r>
          </w:p>
        </w:tc>
        <w:tc>
          <w:tcPr>
            <w:tcW w:w="188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(including CRVO and</w:t>
            </w:r>
          </w:p>
        </w:tc>
        <w:tc>
          <w:tcPr>
            <w:tcW w:w="188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BRVO), diabetic</w:t>
            </w:r>
          </w:p>
        </w:tc>
        <w:tc>
          <w:tcPr>
            <w:tcW w:w="188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retinopathy in patients</w:t>
            </w:r>
          </w:p>
        </w:tc>
        <w:tc>
          <w:tcPr>
            <w:tcW w:w="1880" w:type="dxa"/>
            <w:vAlign w:val="bottom"/>
            <w:shd w:val="clear" w:color="auto" w:fill="CCEEFF"/>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with DME, and mCNV</w:t>
            </w: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Used to treat wet AMD, DME,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Genentech/Roche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DME, and</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(off-label)</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and macular edema following</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macular edema</w:t>
            </w:r>
          </w:p>
        </w:tc>
        <w:tc>
          <w:tcPr>
            <w:tcW w:w="188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RVO</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following RVO</w:t>
            </w:r>
          </w:p>
        </w:tc>
        <w:tc>
          <w:tcPr>
            <w:tcW w:w="18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Ozurdex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(dexamethasone</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Allergan, PLC</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DME, RVO</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Iluvien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(fluocinolone acetonide</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Alimera Sciences,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DME</w:t>
            </w:r>
          </w:p>
        </w:tc>
        <w:tc>
          <w:tcPr>
            <w:tcW w:w="1880" w:type="dxa"/>
            <w:vAlign w:val="bottom"/>
          </w:tcPr>
          <w:p>
            <w:pPr>
              <w:ind w:left="20"/>
              <w:spacing w:after="0"/>
              <w:rPr>
                <w:sz w:val="20"/>
                <w:szCs w:val="20"/>
                <w:color w:val="auto"/>
              </w:rPr>
            </w:pPr>
            <w:r>
              <w:rPr>
                <w:rFonts w:ascii="Arial" w:cs="Arial" w:eastAsia="Arial" w:hAnsi="Arial"/>
                <w:sz w:val="18"/>
                <w:szCs w:val="18"/>
                <w:color w:val="auto"/>
              </w:rPr>
              <w:t>United States, EU</w:t>
            </w: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intravitreal implant)</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Conbercept</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 in China for wet</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Chengdu Kanghong</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w:t>
            </w:r>
          </w:p>
        </w:tc>
        <w:tc>
          <w:tcPr>
            <w:tcW w:w="188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AMD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Pharmaceutical Group</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-290830</wp:posOffset>
            </wp:positionV>
            <wp:extent cx="704088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0880" cy="720090"/>
                    </a:xfrm>
                    <a:prstGeom prst="rect">
                      <a:avLst/>
                    </a:prstGeom>
                    <a:noFill/>
                  </pic:spPr>
                </pic:pic>
              </a:graphicData>
            </a:graphic>
          </wp:anchor>
        </w:drawing>
      </w:r>
    </w:p>
    <w:p>
      <w:pPr>
        <w:sectPr>
          <w:pgSz w:w="11900" w:h="16838" w:orient="portrait"/>
          <w:cols w:equalWidth="0" w:num="1">
            <w:col w:w="11260"/>
          </w:cols>
          <w:pgMar w:left="24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Brolucizumab (RTH258), a single chain antibody fragment directed against VEGF-A</w:t>
      </w:r>
    </w:p>
    <w:p>
      <w:pPr>
        <w:spacing w:after="0" w:line="200" w:lineRule="exact"/>
        <w:rPr>
          <w:sz w:val="20"/>
          <w:szCs w:val="20"/>
          <w:color w:val="auto"/>
        </w:rPr>
      </w:pPr>
    </w:p>
    <w:p>
      <w:pPr>
        <w:spacing w:after="0" w:line="236" w:lineRule="exact"/>
        <w:rPr>
          <w:sz w:val="20"/>
          <w:szCs w:val="20"/>
          <w:color w:val="auto"/>
        </w:rPr>
      </w:pPr>
    </w:p>
    <w:p>
      <w:pPr>
        <w:ind w:left="200" w:right="220"/>
        <w:spacing w:after="0" w:line="282" w:lineRule="auto"/>
        <w:rPr>
          <w:sz w:val="20"/>
          <w:szCs w:val="20"/>
          <w:color w:val="auto"/>
        </w:rPr>
      </w:pPr>
      <w:r>
        <w:rPr>
          <w:rFonts w:ascii="Arial" w:cs="Arial" w:eastAsia="Arial" w:hAnsi="Arial"/>
          <w:sz w:val="18"/>
          <w:szCs w:val="18"/>
          <w:color w:val="auto"/>
        </w:rPr>
        <w:t>Abicipar pegol (anti-VEGF-A-DARPin</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337" w:lineRule="exact"/>
        <w:rPr>
          <w:sz w:val="20"/>
          <w:szCs w:val="20"/>
          <w:color w:val="auto"/>
        </w:rPr>
      </w:pPr>
    </w:p>
    <w:p>
      <w:pPr>
        <w:ind w:left="200" w:right="180"/>
        <w:spacing w:after="0" w:line="308" w:lineRule="auto"/>
        <w:rPr>
          <w:sz w:val="20"/>
          <w:szCs w:val="20"/>
          <w:color w:val="auto"/>
        </w:rPr>
      </w:pPr>
      <w:r>
        <w:rPr>
          <w:rFonts w:ascii="Arial" w:cs="Arial" w:eastAsia="Arial" w:hAnsi="Arial"/>
          <w:sz w:val="16"/>
          <w:szCs w:val="16"/>
          <w:color w:val="auto"/>
        </w:rPr>
        <w:t>RG7716, a bi-specific antibody targeting anti-VEGF and Ang2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development for other eye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indications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 development (two non-</w:t>
            </w:r>
          </w:p>
        </w:tc>
        <w:tc>
          <w:tcPr>
            <w:tcW w:w="1720" w:type="dxa"/>
            <w:vAlign w:val="bottom"/>
          </w:tcPr>
          <w:p>
            <w:pPr>
              <w:ind w:left="100"/>
              <w:spacing w:after="0"/>
              <w:rPr>
                <w:sz w:val="20"/>
                <w:szCs w:val="20"/>
                <w:color w:val="auto"/>
              </w:rPr>
            </w:pPr>
            <w:r>
              <w:rPr>
                <w:rFonts w:ascii="Arial" w:cs="Arial" w:eastAsia="Arial" w:hAnsi="Arial"/>
                <w:sz w:val="18"/>
                <w:szCs w:val="18"/>
                <w:color w:val="auto"/>
              </w:rPr>
              <w:t>Novartis</w:t>
            </w:r>
          </w:p>
        </w:tc>
        <w:tc>
          <w:tcPr>
            <w:tcW w:w="2160" w:type="dxa"/>
            <w:vAlign w:val="bottom"/>
          </w:tcPr>
          <w:p>
            <w:pPr>
              <w:ind w:left="360"/>
              <w:spacing w:after="0"/>
              <w:rPr>
                <w:sz w:val="20"/>
                <w:szCs w:val="20"/>
                <w:color w:val="auto"/>
              </w:rPr>
            </w:pPr>
            <w:r>
              <w:rPr>
                <w:rFonts w:ascii="Arial" w:cs="Arial" w:eastAsia="Arial" w:hAnsi="Arial"/>
                <w:sz w:val="18"/>
                <w:szCs w:val="18"/>
                <w:color w:val="auto"/>
              </w:rPr>
              <w:t>Wet AMD</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inferiority Phase 3 trials</w:t>
            </w:r>
          </w:p>
        </w:tc>
        <w:tc>
          <w:tcPr>
            <w:tcW w:w="1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6"/>
              </w:rPr>
              <w:t>comparing RTH258 and EYLEA</w:t>
            </w:r>
          </w:p>
        </w:tc>
        <w:tc>
          <w:tcPr>
            <w:tcW w:w="1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met their primary endpoint in</w:t>
            </w:r>
          </w:p>
        </w:tc>
        <w:tc>
          <w:tcPr>
            <w:tcW w:w="1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June 2017)</w:t>
            </w:r>
          </w:p>
        </w:tc>
        <w:tc>
          <w:tcPr>
            <w:tcW w:w="1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6"/>
        </w:trPr>
        <w:tc>
          <w:tcPr>
            <w:tcW w:w="2460" w:type="dxa"/>
            <w:vAlign w:val="bottom"/>
          </w:tcPr>
          <w:p>
            <w:pPr>
              <w:spacing w:after="0"/>
              <w:rPr>
                <w:sz w:val="20"/>
                <w:szCs w:val="20"/>
                <w:color w:val="auto"/>
              </w:rPr>
            </w:pPr>
            <w:r>
              <w:rPr>
                <w:rFonts w:ascii="Arial" w:cs="Arial" w:eastAsia="Arial" w:hAnsi="Arial"/>
                <w:sz w:val="18"/>
                <w:szCs w:val="18"/>
                <w:color w:val="auto"/>
              </w:rPr>
              <w:t>In development (non-inferiority</w:t>
            </w:r>
          </w:p>
        </w:tc>
        <w:tc>
          <w:tcPr>
            <w:tcW w:w="1720" w:type="dxa"/>
            <w:vAlign w:val="bottom"/>
          </w:tcPr>
          <w:p>
            <w:pPr>
              <w:ind w:left="100"/>
              <w:spacing w:after="0"/>
              <w:rPr>
                <w:sz w:val="20"/>
                <w:szCs w:val="20"/>
                <w:color w:val="auto"/>
              </w:rPr>
            </w:pPr>
            <w:r>
              <w:rPr>
                <w:rFonts w:ascii="Arial" w:cs="Arial" w:eastAsia="Arial" w:hAnsi="Arial"/>
                <w:sz w:val="18"/>
                <w:szCs w:val="18"/>
                <w:color w:val="auto"/>
              </w:rPr>
              <w:t>Allergan</w:t>
            </w:r>
          </w:p>
        </w:tc>
        <w:tc>
          <w:tcPr>
            <w:tcW w:w="2160" w:type="dxa"/>
            <w:vAlign w:val="bottom"/>
          </w:tcPr>
          <w:p>
            <w:pPr>
              <w:ind w:left="360"/>
              <w:spacing w:after="0"/>
              <w:rPr>
                <w:sz w:val="20"/>
                <w:szCs w:val="20"/>
                <w:color w:val="auto"/>
              </w:rPr>
            </w:pPr>
            <w:r>
              <w:rPr>
                <w:rFonts w:ascii="Arial" w:cs="Arial" w:eastAsia="Arial" w:hAnsi="Arial"/>
                <w:sz w:val="18"/>
                <w:szCs w:val="18"/>
                <w:color w:val="auto"/>
              </w:rPr>
              <w:t>Wet AMD and related</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Phase 3 trial initiated in 2015</w:t>
            </w:r>
          </w:p>
        </w:tc>
        <w:tc>
          <w:tcPr>
            <w:tcW w:w="1720" w:type="dxa"/>
            <w:vAlign w:val="bottom"/>
          </w:tcPr>
          <w:p>
            <w:pPr>
              <w:spacing w:after="0"/>
              <w:rPr>
                <w:sz w:val="18"/>
                <w:szCs w:val="18"/>
                <w:color w:val="auto"/>
              </w:rPr>
            </w:pPr>
          </w:p>
        </w:tc>
        <w:tc>
          <w:tcPr>
            <w:tcW w:w="2160" w:type="dxa"/>
            <w:vAlign w:val="bottom"/>
          </w:tcPr>
          <w:p>
            <w:pPr>
              <w:ind w:left="360"/>
              <w:spacing w:after="0"/>
              <w:rPr>
                <w:sz w:val="20"/>
                <w:szCs w:val="20"/>
                <w:color w:val="auto"/>
              </w:rPr>
            </w:pPr>
            <w:r>
              <w:rPr>
                <w:rFonts w:ascii="Arial" w:cs="Arial" w:eastAsia="Arial" w:hAnsi="Arial"/>
                <w:sz w:val="18"/>
                <w:szCs w:val="18"/>
                <w:color w:val="auto"/>
              </w:rPr>
              <w:t>conditions</w:t>
            </w:r>
          </w:p>
        </w:tc>
        <w:tc>
          <w:tcPr>
            <w:tcW w:w="360" w:type="dxa"/>
            <w:vAlign w:val="bottom"/>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comparing dosing regimens of</w:t>
            </w:r>
          </w:p>
        </w:tc>
        <w:tc>
          <w:tcPr>
            <w:tcW w:w="1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abicipar pegol and Lucentis)</w:t>
            </w:r>
          </w:p>
        </w:tc>
        <w:tc>
          <w:tcPr>
            <w:tcW w:w="1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In development (Phase 2)</w:t>
            </w:r>
          </w:p>
        </w:tc>
        <w:tc>
          <w:tcPr>
            <w:tcW w:w="1720" w:type="dxa"/>
            <w:vAlign w:val="bottom"/>
          </w:tcPr>
          <w:p>
            <w:pPr>
              <w:ind w:left="100"/>
              <w:spacing w:after="0"/>
              <w:rPr>
                <w:sz w:val="20"/>
                <w:szCs w:val="20"/>
                <w:color w:val="auto"/>
              </w:rPr>
            </w:pPr>
            <w:r>
              <w:rPr>
                <w:rFonts w:ascii="Arial" w:cs="Arial" w:eastAsia="Arial" w:hAnsi="Arial"/>
                <w:sz w:val="18"/>
                <w:szCs w:val="18"/>
                <w:color w:val="auto"/>
              </w:rPr>
              <w:t>Genentech/Roche</w:t>
            </w:r>
          </w:p>
        </w:tc>
        <w:tc>
          <w:tcPr>
            <w:tcW w:w="2160" w:type="dxa"/>
            <w:vAlign w:val="bottom"/>
          </w:tcPr>
          <w:p>
            <w:pPr>
              <w:ind w:left="360"/>
              <w:spacing w:after="0"/>
              <w:rPr>
                <w:sz w:val="20"/>
                <w:szCs w:val="20"/>
                <w:color w:val="auto"/>
              </w:rPr>
            </w:pPr>
            <w:r>
              <w:rPr>
                <w:rFonts w:ascii="Arial" w:cs="Arial" w:eastAsia="Arial" w:hAnsi="Arial"/>
                <w:sz w:val="18"/>
                <w:szCs w:val="18"/>
                <w:color w:val="auto"/>
              </w:rPr>
              <w:t>Wet AMD, DME</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-736600</wp:posOffset>
            </wp:positionV>
            <wp:extent cx="7040880"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0880" cy="582930"/>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2640" w:space="240"/>
            <w:col w:w="8380"/>
          </w:cols>
          <w:pgMar w:left="240" w:top="130" w:right="399" w:bottom="1440" w:gutter="0" w:footer="0" w:header="0"/>
          <w:type w:val="continuous"/>
        </w:sectPr>
      </w:pPr>
    </w:p>
    <w:tbl>
      <w:tblPr>
        <w:tblLayout w:type="fixed"/>
        <w:tblInd w:w="180" w:type="dxa"/>
        <w:tblCellMar>
          <w:top w:w="0" w:type="dxa"/>
          <w:left w:w="0" w:type="dxa"/>
          <w:bottom w:w="0" w:type="dxa"/>
          <w:right w:w="0" w:type="dxa"/>
        </w:tblCellMar>
      </w:tblP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Lucentis port delivery system</w:t>
            </w:r>
          </w:p>
        </w:tc>
        <w:tc>
          <w:tcPr>
            <w:tcW w:w="2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 development (Phase 2)</w:t>
            </w:r>
          </w:p>
        </w:tc>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Genentech/Roche</w:t>
            </w: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Wet AMD and related</w:t>
            </w:r>
          </w:p>
        </w:tc>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37"/>
        </w:trPr>
        <w:tc>
          <w:tcPr>
            <w:tcW w:w="26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conditions</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X-82, an orally administered</w:t>
            </w:r>
          </w:p>
        </w:tc>
        <w:tc>
          <w:tcPr>
            <w:tcW w:w="2300" w:type="dxa"/>
            <w:vAlign w:val="bottom"/>
          </w:tcPr>
          <w:p>
            <w:pPr>
              <w:ind w:left="100"/>
              <w:spacing w:after="0"/>
              <w:rPr>
                <w:sz w:val="20"/>
                <w:szCs w:val="20"/>
                <w:color w:val="auto"/>
              </w:rPr>
            </w:pPr>
            <w:r>
              <w:rPr>
                <w:rFonts w:ascii="Arial" w:cs="Arial" w:eastAsia="Arial" w:hAnsi="Arial"/>
                <w:sz w:val="18"/>
                <w:szCs w:val="18"/>
                <w:color w:val="auto"/>
              </w:rPr>
              <w:t>In development (Phase 2)</w:t>
            </w:r>
          </w:p>
        </w:tc>
        <w:tc>
          <w:tcPr>
            <w:tcW w:w="2200" w:type="dxa"/>
            <w:vAlign w:val="bottom"/>
          </w:tcPr>
          <w:p>
            <w:pPr>
              <w:ind w:left="360"/>
              <w:spacing w:after="0"/>
              <w:rPr>
                <w:sz w:val="20"/>
                <w:szCs w:val="20"/>
                <w:color w:val="auto"/>
              </w:rPr>
            </w:pPr>
            <w:r>
              <w:rPr>
                <w:rFonts w:ascii="Arial" w:cs="Arial" w:eastAsia="Arial" w:hAnsi="Arial"/>
                <w:sz w:val="18"/>
                <w:szCs w:val="18"/>
                <w:color w:val="auto"/>
              </w:rPr>
              <w:t>Tyrogenex</w:t>
            </w:r>
          </w:p>
        </w:tc>
        <w:tc>
          <w:tcPr>
            <w:tcW w:w="1940" w:type="dxa"/>
            <w:vAlign w:val="bottom"/>
          </w:tcPr>
          <w:p>
            <w:pPr>
              <w:ind w:left="140"/>
              <w:spacing w:after="0"/>
              <w:rPr>
                <w:sz w:val="20"/>
                <w:szCs w:val="20"/>
                <w:color w:val="auto"/>
              </w:rPr>
            </w:pPr>
            <w:r>
              <w:rPr>
                <w:rFonts w:ascii="Arial" w:cs="Arial" w:eastAsia="Arial" w:hAnsi="Arial"/>
                <w:sz w:val="18"/>
                <w:szCs w:val="18"/>
                <w:color w:val="auto"/>
              </w:rPr>
              <w:t>Wet AMD and related</w:t>
            </w:r>
          </w:p>
        </w:tc>
        <w:tc>
          <w:tcPr>
            <w:tcW w:w="20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rPr>
              <w:t>small molecule tyrosine kinase</w:t>
            </w: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conditions</w:t>
            </w:r>
          </w:p>
        </w:tc>
        <w:tc>
          <w:tcPr>
            <w:tcW w:w="2040" w:type="dxa"/>
            <w:vAlign w:val="bottom"/>
          </w:tcPr>
          <w:p>
            <w:pPr>
              <w:spacing w:after="0"/>
              <w:rPr>
                <w:sz w:val="18"/>
                <w:szCs w:val="18"/>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rPr>
              <w:t>inhibitor in development for use</w:t>
            </w: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rPr>
              <w:t>in combination with EYLEA or</w:t>
            </w: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Lucentis</w:t>
            </w: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DE-122, an anti-endoglin</w:t>
            </w:r>
          </w:p>
        </w:tc>
        <w:tc>
          <w:tcPr>
            <w:tcW w:w="2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 development (Phase 2)</w:t>
            </w:r>
          </w:p>
        </w:tc>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Santen Pharmaceuticals</w:t>
            </w: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Wet AMD and related</w:t>
            </w:r>
          </w:p>
        </w:tc>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in development for use</w:t>
            </w:r>
          </w:p>
        </w:tc>
        <w:tc>
          <w:tcPr>
            <w:tcW w:w="2300" w:type="dxa"/>
            <w:vAlign w:val="bottom"/>
            <w:shd w:val="clear" w:color="auto" w:fill="CCEEFF"/>
          </w:tcPr>
          <w:p>
            <w:pPr>
              <w:spacing w:after="0"/>
              <w:rPr>
                <w:sz w:val="18"/>
                <w:szCs w:val="18"/>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 Ltd./ TRACON</w:t>
            </w:r>
          </w:p>
        </w:tc>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conditions</w:t>
            </w:r>
          </w:p>
        </w:tc>
        <w:tc>
          <w:tcPr>
            <w:tcW w:w="20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combination with EYLEA or</w:t>
            </w:r>
          </w:p>
        </w:tc>
        <w:tc>
          <w:tcPr>
            <w:tcW w:w="2300" w:type="dxa"/>
            <w:vAlign w:val="bottom"/>
            <w:shd w:val="clear" w:color="auto" w:fill="CCEEFF"/>
          </w:tcPr>
          <w:p>
            <w:pPr>
              <w:spacing w:after="0"/>
              <w:rPr>
                <w:sz w:val="18"/>
                <w:szCs w:val="18"/>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Pharmaceuticals, Inc.</w:t>
            </w:r>
          </w:p>
        </w:tc>
        <w:tc>
          <w:tcPr>
            <w:tcW w:w="19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Lucentis</w:t>
            </w:r>
          </w:p>
        </w:tc>
        <w:tc>
          <w:tcPr>
            <w:tcW w:w="23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GB-102, an intravitreally</w:t>
            </w:r>
          </w:p>
        </w:tc>
        <w:tc>
          <w:tcPr>
            <w:tcW w:w="2300" w:type="dxa"/>
            <w:vAlign w:val="bottom"/>
          </w:tcPr>
          <w:p>
            <w:pPr>
              <w:ind w:left="100"/>
              <w:spacing w:after="0"/>
              <w:rPr>
                <w:sz w:val="20"/>
                <w:szCs w:val="20"/>
                <w:color w:val="auto"/>
              </w:rPr>
            </w:pPr>
            <w:r>
              <w:rPr>
                <w:rFonts w:ascii="Arial" w:cs="Arial" w:eastAsia="Arial" w:hAnsi="Arial"/>
                <w:sz w:val="18"/>
                <w:szCs w:val="18"/>
                <w:color w:val="auto"/>
              </w:rPr>
              <w:t>In development (Phase 2)</w:t>
            </w:r>
          </w:p>
        </w:tc>
        <w:tc>
          <w:tcPr>
            <w:tcW w:w="2200" w:type="dxa"/>
            <w:vAlign w:val="bottom"/>
          </w:tcPr>
          <w:p>
            <w:pPr>
              <w:ind w:left="360"/>
              <w:spacing w:after="0"/>
              <w:rPr>
                <w:sz w:val="20"/>
                <w:szCs w:val="20"/>
                <w:color w:val="auto"/>
              </w:rPr>
            </w:pPr>
            <w:r>
              <w:rPr>
                <w:rFonts w:ascii="Arial" w:cs="Arial" w:eastAsia="Arial" w:hAnsi="Arial"/>
                <w:sz w:val="18"/>
                <w:szCs w:val="18"/>
                <w:color w:val="auto"/>
              </w:rPr>
              <w:t>Graybug Vision, Inc.</w:t>
            </w:r>
          </w:p>
        </w:tc>
        <w:tc>
          <w:tcPr>
            <w:tcW w:w="1940" w:type="dxa"/>
            <w:vAlign w:val="bottom"/>
          </w:tcPr>
          <w:p>
            <w:pPr>
              <w:ind w:left="140"/>
              <w:spacing w:after="0"/>
              <w:rPr>
                <w:sz w:val="20"/>
                <w:szCs w:val="20"/>
                <w:color w:val="auto"/>
              </w:rPr>
            </w:pPr>
            <w:r>
              <w:rPr>
                <w:rFonts w:ascii="Arial" w:cs="Arial" w:eastAsia="Arial" w:hAnsi="Arial"/>
                <w:sz w:val="18"/>
                <w:szCs w:val="18"/>
                <w:color w:val="auto"/>
              </w:rPr>
              <w:t>Wet AMD and related</w:t>
            </w:r>
          </w:p>
        </w:tc>
        <w:tc>
          <w:tcPr>
            <w:tcW w:w="20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w w:val="95"/>
              </w:rPr>
              <w:t>administered depot formulation of</w:t>
            </w: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conditions</w:t>
            </w:r>
          </w:p>
        </w:tc>
        <w:tc>
          <w:tcPr>
            <w:tcW w:w="2040" w:type="dxa"/>
            <w:vAlign w:val="bottom"/>
          </w:tcPr>
          <w:p>
            <w:pPr>
              <w:spacing w:after="0"/>
              <w:rPr>
                <w:sz w:val="18"/>
                <w:szCs w:val="18"/>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w w:val="93"/>
              </w:rPr>
              <w:t>the small molecule tyrosine kinase</w:t>
            </w:r>
          </w:p>
        </w:tc>
        <w:tc>
          <w:tcPr>
            <w:tcW w:w="2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inhibitor, sunitinib</w:t>
            </w: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60"/>
          </w:cols>
          <w:pgMar w:left="240" w:top="13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240" w:top="130" w:right="39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EYLEA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118110</wp:posOffset>
            </wp:positionV>
            <wp:extent cx="7040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Competitor</w:t>
            </w:r>
          </w:p>
        </w:tc>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ind w:left="580"/>
              <w:spacing w:after="0"/>
              <w:rPr>
                <w:sz w:val="20"/>
                <w:szCs w:val="20"/>
                <w:color w:val="auto"/>
              </w:rPr>
            </w:pPr>
            <w:r>
              <w:rPr>
                <w:rFonts w:ascii="Arial" w:cs="Arial" w:eastAsia="Arial" w:hAnsi="Arial"/>
                <w:sz w:val="18"/>
                <w:szCs w:val="18"/>
                <w:b w:val="1"/>
                <w:bCs w:val="1"/>
                <w:color w:val="auto"/>
              </w:rPr>
              <w:t>Territory</w:t>
            </w: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2"/>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OPT-302, a VEGFR-3 large</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2b)</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Opthea Limited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molecule trap in development for</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shd w:val="clear" w:color="auto" w:fill="CCEEFF"/>
          </w:tcPr>
          <w:p>
            <w:pPr>
              <w:spacing w:after="0"/>
              <w:rPr>
                <w:sz w:val="18"/>
                <w:szCs w:val="18"/>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use in combination with EYLEA</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or Lucentis</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M710, a biosimilar to EYLEA</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Momenta</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w w:val="98"/>
              </w:rPr>
              <w:t>Pharmaceuticals, Inc. (in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partnership with Mylan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N.V.)</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CHS-3351, a biosimilar to</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1)</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Coherus BioSciences,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Lucentis</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PF582, a biosimilar to Lucentis</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Pfenex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completed in August 2016)</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FYB201, a biosimilar to Lucentis</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Formycon AG (in</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with Bioeq</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shd w:val="clear" w:color="auto" w:fill="CCEEFF"/>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GmbH)</w:t>
            </w: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SB11, a biosimilar to Lucentis</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Samsung Bioepis Co.,</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Ltd.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Razumab, a biosimilar to Lucentis</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 in India for wet AMD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Intas Phamaceuticals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2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related conditions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Limited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shd w:val="clear" w:color="auto" w:fill="CCEEFF"/>
          </w:tcPr>
          <w:p>
            <w:pPr>
              <w:spacing w:after="0"/>
              <w:rPr>
                <w:sz w:val="20"/>
                <w:szCs w:val="20"/>
                <w:color w:val="auto"/>
              </w:rPr>
            </w:pP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EYLEA faces, see also Part I, Item 1A. "Risk Factors - Risks Related to Commercialization of EYLEA - </w:t>
      </w:r>
      <w:r>
        <w:rPr>
          <w:rFonts w:ascii="Arial" w:cs="Arial" w:eastAsia="Arial" w:hAnsi="Arial"/>
          <w:sz w:val="18"/>
          <w:szCs w:val="18"/>
          <w:i w:val="1"/>
          <w:iCs w:val="1"/>
          <w:color w:val="auto"/>
        </w:rPr>
        <w:t>The commercial success of EYLEA is subject to strong competition</w:t>
      </w:r>
      <w:r>
        <w:rPr>
          <w:rFonts w:ascii="Arial" w:cs="Arial" w:eastAsia="Arial" w:hAnsi="Arial"/>
          <w:sz w:val="18"/>
          <w:szCs w:val="18"/>
          <w:color w:val="auto"/>
        </w:rPr>
        <w:t xml:space="preserve">" and Part I, Item 1A. "Risk Factors - Risks Related to Commercialization of Products - </w:t>
      </w:r>
      <w:r>
        <w:rPr>
          <w:rFonts w:ascii="Arial" w:cs="Arial" w:eastAsia="Arial" w:hAnsi="Arial"/>
          <w:sz w:val="18"/>
          <w:szCs w:val="18"/>
          <w:i w:val="1"/>
          <w:iCs w:val="1"/>
          <w:color w:val="auto"/>
        </w:rPr>
        <w:t>Our product candidates or new indications for our marketed products, if any are approved for marketing,</w:t>
      </w:r>
      <w:r>
        <w:rPr>
          <w:rFonts w:ascii="Arial" w:cs="Arial" w:eastAsia="Arial" w:hAnsi="Arial"/>
          <w:sz w:val="18"/>
          <w:szCs w:val="18"/>
          <w:color w:val="auto"/>
        </w:rPr>
        <w:t xml:space="preserve"> </w:t>
      </w:r>
      <w:r>
        <w:rPr>
          <w:rFonts w:ascii="Arial" w:cs="Arial" w:eastAsia="Arial" w:hAnsi="Arial"/>
          <w:sz w:val="18"/>
          <w:szCs w:val="18"/>
          <w:i w:val="1"/>
          <w:iCs w:val="1"/>
          <w:color w:val="auto"/>
        </w:rPr>
        <w:t>may face significant competition.</w:t>
      </w:r>
      <w:r>
        <w:rPr>
          <w:rFonts w:ascii="Arial" w:cs="Arial" w:eastAsia="Arial" w:hAnsi="Arial"/>
          <w:sz w:val="18"/>
          <w:szCs w:val="18"/>
          <w:color w:val="auto"/>
        </w:rPr>
        <w: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Dupixent. </w:t>
      </w:r>
      <w:r>
        <w:rPr>
          <w:rFonts w:ascii="Arial" w:cs="Arial" w:eastAsia="Arial" w:hAnsi="Arial"/>
          <w:sz w:val="16"/>
          <w:szCs w:val="16"/>
          <w:color w:val="auto"/>
        </w:rPr>
        <w:t>The following table provides an overview of the competitive landscape for Dupixent: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Competitor</w:t>
      </w:r>
    </w:p>
    <w:p>
      <w:pPr>
        <w:spacing w:after="0" w:line="2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Product/Product</w:t>
      </w:r>
    </w:p>
    <w:p>
      <w:pPr>
        <w:spacing w:after="0" w:line="32"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Candidate</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Eucrisa</w:t>
      </w:r>
      <w:r>
        <w:rPr>
          <w:rFonts w:ascii="Arial" w:cs="Arial" w:eastAsia="Arial" w:hAnsi="Arial"/>
          <w:sz w:val="25"/>
          <w:szCs w:val="25"/>
          <w:color w:val="auto"/>
          <w:vertAlign w:val="superscript"/>
        </w:rPr>
        <w:t>®</w:t>
      </w:r>
    </w:p>
    <w:p>
      <w:pPr>
        <w:ind w:left="40"/>
        <w:spacing w:after="0"/>
        <w:rPr>
          <w:sz w:val="20"/>
          <w:szCs w:val="20"/>
          <w:color w:val="auto"/>
        </w:rPr>
      </w:pPr>
      <w:r>
        <w:rPr>
          <w:rFonts w:ascii="Arial" w:cs="Arial" w:eastAsia="Arial" w:hAnsi="Arial"/>
          <w:sz w:val="18"/>
          <w:szCs w:val="18"/>
          <w:color w:val="auto"/>
        </w:rPr>
        <w:t>(crisaborole)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Xolair</w:t>
      </w:r>
      <w:r>
        <w:rPr>
          <w:rFonts w:ascii="Arial" w:cs="Arial" w:eastAsia="Arial" w:hAnsi="Arial"/>
          <w:sz w:val="25"/>
          <w:szCs w:val="25"/>
          <w:color w:val="auto"/>
          <w:vertAlign w:val="superscript"/>
        </w:rPr>
        <w:t>®</w:t>
      </w:r>
    </w:p>
    <w:p>
      <w:pPr>
        <w:ind w:left="40"/>
        <w:spacing w:after="0"/>
        <w:rPr>
          <w:sz w:val="20"/>
          <w:szCs w:val="20"/>
          <w:color w:val="auto"/>
        </w:rPr>
      </w:pPr>
      <w:r>
        <w:rPr>
          <w:rFonts w:ascii="Arial" w:cs="Arial" w:eastAsia="Arial" w:hAnsi="Arial"/>
          <w:sz w:val="18"/>
          <w:szCs w:val="18"/>
          <w:color w:val="auto"/>
        </w:rPr>
        <w:t>(omalizumab)</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Nucala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(mepolizumab)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Commercial or</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Development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1920" w:type="dxa"/>
            <w:vAlign w:val="bottom"/>
            <w:gridSpan w:val="2"/>
          </w:tcPr>
          <w:p>
            <w:pPr>
              <w:ind w:left="460"/>
              <w:spacing w:after="0"/>
              <w:rPr>
                <w:sz w:val="20"/>
                <w:szCs w:val="20"/>
                <w:color w:val="auto"/>
              </w:rPr>
            </w:pPr>
            <w:r>
              <w:rPr>
                <w:rFonts w:ascii="Arial" w:cs="Arial" w:eastAsia="Arial" w:hAnsi="Arial"/>
                <w:sz w:val="18"/>
                <w:szCs w:val="18"/>
                <w:b w:val="1"/>
                <w:bCs w:val="1"/>
                <w:color w:val="auto"/>
              </w:rPr>
              <w:t>Competitor</w:t>
            </w:r>
          </w:p>
        </w:tc>
        <w:tc>
          <w:tcPr>
            <w:tcW w:w="1900" w:type="dxa"/>
            <w:vAlign w:val="bottom"/>
            <w:gridSpan w:val="2"/>
          </w:tcPr>
          <w:p>
            <w:pPr>
              <w:ind w:left="500"/>
              <w:spacing w:after="0"/>
              <w:rPr>
                <w:sz w:val="20"/>
                <w:szCs w:val="20"/>
                <w:color w:val="auto"/>
              </w:rPr>
            </w:pPr>
            <w:r>
              <w:rPr>
                <w:rFonts w:ascii="Arial" w:cs="Arial" w:eastAsia="Arial" w:hAnsi="Arial"/>
                <w:sz w:val="18"/>
                <w:szCs w:val="18"/>
                <w:b w:val="1"/>
                <w:bCs w:val="1"/>
                <w:color w:val="auto"/>
              </w:rPr>
              <w:t>Indication</w:t>
            </w:r>
          </w:p>
        </w:tc>
        <w:tc>
          <w:tcPr>
            <w:tcW w:w="1460" w:type="dxa"/>
            <w:vAlign w:val="bottom"/>
          </w:tcPr>
          <w:p>
            <w:pPr>
              <w:ind w:left="380"/>
              <w:spacing w:after="0"/>
              <w:rPr>
                <w:sz w:val="20"/>
                <w:szCs w:val="20"/>
                <w:color w:val="auto"/>
              </w:rPr>
            </w:pPr>
            <w:r>
              <w:rPr>
                <w:rFonts w:ascii="Arial" w:cs="Arial" w:eastAsia="Arial" w:hAnsi="Arial"/>
                <w:sz w:val="18"/>
                <w:szCs w:val="18"/>
                <w:b w:val="1"/>
                <w:bCs w:val="1"/>
                <w:color w:val="auto"/>
              </w:rPr>
              <w:t>Territory</w:t>
            </w:r>
          </w:p>
        </w:tc>
        <w:tc>
          <w:tcPr>
            <w:tcW w:w="0" w:type="dxa"/>
            <w:vAlign w:val="bottom"/>
          </w:tcPr>
          <w:p>
            <w:pPr>
              <w:spacing w:after="0"/>
              <w:rPr>
                <w:sz w:val="1"/>
                <w:szCs w:val="1"/>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Pfizer</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Mild-to-moderate</w:t>
            </w:r>
          </w:p>
        </w:tc>
        <w:tc>
          <w:tcPr>
            <w:tcW w:w="14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Roche/Novartis</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46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526"/>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Approved for asthma</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GlaxoSmithKline</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Asthma and atopic</w:t>
            </w:r>
          </w:p>
        </w:tc>
        <w:tc>
          <w:tcPr>
            <w:tcW w:w="146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0"/>
        </w:trPr>
        <w:tc>
          <w:tcPr>
            <w:tcW w:w="2520" w:type="dxa"/>
            <w:vAlign w:val="bottom"/>
            <w:gridSpan w:val="2"/>
            <w:vMerge w:val="restart"/>
          </w:tcPr>
          <w:p>
            <w:pPr>
              <w:ind w:left="20"/>
              <w:spacing w:after="0"/>
              <w:rPr>
                <w:sz w:val="20"/>
                <w:szCs w:val="20"/>
                <w:color w:val="auto"/>
              </w:rPr>
            </w:pPr>
            <w:r>
              <w:rPr>
                <w:rFonts w:ascii="Arial" w:cs="Arial" w:eastAsia="Arial" w:hAnsi="Arial"/>
                <w:sz w:val="18"/>
                <w:szCs w:val="18"/>
                <w:color w:val="auto"/>
              </w:rPr>
              <w:t>In development (Phase 2) for</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(GSK)</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dermatitis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2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-565150</wp:posOffset>
            </wp:positionV>
            <wp:extent cx="673227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58293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-1259840</wp:posOffset>
            </wp:positionV>
            <wp:extent cx="6732270"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35179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2080" w:space="720"/>
            <w:col w:w="862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2700" w:type="dxa"/>
            <w:vAlign w:val="bottom"/>
          </w:tcPr>
          <w:p>
            <w:pPr>
              <w:ind w:left="40"/>
              <w:spacing w:after="0"/>
              <w:rPr>
                <w:sz w:val="20"/>
                <w:szCs w:val="20"/>
                <w:color w:val="auto"/>
              </w:rPr>
            </w:pPr>
            <w:r>
              <w:rPr>
                <w:rFonts w:ascii="Arial" w:cs="Arial" w:eastAsia="Arial" w:hAnsi="Arial"/>
                <w:sz w:val="18"/>
                <w:szCs w:val="18"/>
                <w:color w:val="auto"/>
              </w:rPr>
              <w:t>Cinqair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(reslizumab)</w:t>
            </w:r>
          </w:p>
        </w:tc>
        <w:tc>
          <w:tcPr>
            <w:tcW w:w="2460" w:type="dxa"/>
            <w:vAlign w:val="bottom"/>
          </w:tcPr>
          <w:p>
            <w:pPr>
              <w:ind w:left="120"/>
              <w:spacing w:after="0"/>
              <w:rPr>
                <w:sz w:val="20"/>
                <w:szCs w:val="20"/>
                <w:color w:val="auto"/>
              </w:rPr>
            </w:pPr>
            <w:r>
              <w:rPr>
                <w:rFonts w:ascii="Arial" w:cs="Arial" w:eastAsia="Arial" w:hAnsi="Arial"/>
                <w:sz w:val="18"/>
                <w:szCs w:val="18"/>
                <w:color w:val="auto"/>
              </w:rPr>
              <w:t>Approved</w:t>
            </w:r>
          </w:p>
        </w:tc>
        <w:tc>
          <w:tcPr>
            <w:tcW w:w="1920" w:type="dxa"/>
            <w:vAlign w:val="bottom"/>
          </w:tcPr>
          <w:p>
            <w:pPr>
              <w:ind w:left="200"/>
              <w:spacing w:after="0"/>
              <w:rPr>
                <w:sz w:val="20"/>
                <w:szCs w:val="20"/>
                <w:color w:val="auto"/>
              </w:rPr>
            </w:pPr>
            <w:r>
              <w:rPr>
                <w:rFonts w:ascii="Arial" w:cs="Arial" w:eastAsia="Arial" w:hAnsi="Arial"/>
                <w:sz w:val="18"/>
                <w:szCs w:val="18"/>
                <w:color w:val="auto"/>
              </w:rPr>
              <w:t>Teva</w:t>
            </w:r>
          </w:p>
        </w:tc>
        <w:tc>
          <w:tcPr>
            <w:tcW w:w="1800" w:type="dxa"/>
            <w:vAlign w:val="bottom"/>
          </w:tcPr>
          <w:p>
            <w:pPr>
              <w:ind w:left="180"/>
              <w:spacing w:after="0"/>
              <w:rPr>
                <w:sz w:val="20"/>
                <w:szCs w:val="20"/>
                <w:color w:val="auto"/>
              </w:rPr>
            </w:pPr>
            <w:r>
              <w:rPr>
                <w:rFonts w:ascii="Arial" w:cs="Arial" w:eastAsia="Arial" w:hAnsi="Arial"/>
                <w:sz w:val="18"/>
                <w:szCs w:val="18"/>
                <w:color w:val="auto"/>
              </w:rPr>
              <w:t>Asthma</w:t>
            </w:r>
          </w:p>
        </w:tc>
        <w:tc>
          <w:tcPr>
            <w:tcW w:w="1720" w:type="dxa"/>
            <w:vAlign w:val="bottom"/>
          </w:tcPr>
          <w:p>
            <w:pPr>
              <w:ind w:left="280"/>
              <w:spacing w:after="0"/>
              <w:rPr>
                <w:sz w:val="20"/>
                <w:szCs w:val="20"/>
                <w:color w:val="auto"/>
              </w:rPr>
            </w:pPr>
            <w:r>
              <w:rPr>
                <w:rFonts w:ascii="Arial" w:cs="Arial" w:eastAsia="Arial" w:hAnsi="Arial"/>
                <w:sz w:val="18"/>
                <w:szCs w:val="18"/>
                <w:color w:val="auto"/>
              </w:rPr>
              <w:t>Worldwide</w:t>
            </w:r>
          </w:p>
        </w:tc>
      </w:tr>
      <w:tr>
        <w:trPr>
          <w:trHeight w:val="324"/>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Fasenra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(benralizumab)</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Approved</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AstraZeneca</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Asthma</w:t>
            </w:r>
          </w:p>
        </w:tc>
        <w:tc>
          <w:tcPr>
            <w:tcW w:w="1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United States, EU</w:t>
            </w: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Tralokinumab, an anti-IL-13</w:t>
            </w:r>
          </w:p>
        </w:tc>
        <w:tc>
          <w:tcPr>
            <w:tcW w:w="2460" w:type="dxa"/>
            <w:vAlign w:val="bottom"/>
          </w:tcPr>
          <w:p>
            <w:pPr>
              <w:ind w:left="120"/>
              <w:spacing w:after="0"/>
              <w:rPr>
                <w:sz w:val="20"/>
                <w:szCs w:val="20"/>
                <w:color w:val="auto"/>
              </w:rPr>
            </w:pPr>
            <w:r>
              <w:rPr>
                <w:rFonts w:ascii="Arial" w:cs="Arial" w:eastAsia="Arial" w:hAnsi="Arial"/>
                <w:sz w:val="18"/>
                <w:szCs w:val="18"/>
                <w:color w:val="auto"/>
              </w:rPr>
              <w:t>In development (Phase 3)</w:t>
            </w:r>
          </w:p>
        </w:tc>
        <w:tc>
          <w:tcPr>
            <w:tcW w:w="1920" w:type="dxa"/>
            <w:vAlign w:val="bottom"/>
          </w:tcPr>
          <w:p>
            <w:pPr>
              <w:ind w:left="200"/>
              <w:spacing w:after="0"/>
              <w:rPr>
                <w:sz w:val="20"/>
                <w:szCs w:val="20"/>
                <w:color w:val="auto"/>
              </w:rPr>
            </w:pPr>
            <w:r>
              <w:rPr>
                <w:rFonts w:ascii="Arial" w:cs="Arial" w:eastAsia="Arial" w:hAnsi="Arial"/>
                <w:sz w:val="18"/>
                <w:szCs w:val="18"/>
                <w:color w:val="auto"/>
              </w:rPr>
              <w:t>AstraZeneca/ LEO</w:t>
            </w:r>
          </w:p>
        </w:tc>
        <w:tc>
          <w:tcPr>
            <w:tcW w:w="1800" w:type="dxa"/>
            <w:vAlign w:val="bottom"/>
          </w:tcPr>
          <w:p>
            <w:pPr>
              <w:ind w:left="180"/>
              <w:spacing w:after="0"/>
              <w:rPr>
                <w:sz w:val="20"/>
                <w:szCs w:val="20"/>
                <w:color w:val="auto"/>
              </w:rPr>
            </w:pPr>
            <w:r>
              <w:rPr>
                <w:rFonts w:ascii="Arial" w:cs="Arial" w:eastAsia="Arial" w:hAnsi="Arial"/>
                <w:sz w:val="18"/>
                <w:szCs w:val="18"/>
                <w:color w:val="auto"/>
              </w:rPr>
              <w:t>Atopic dermatitis</w:t>
            </w:r>
          </w:p>
        </w:tc>
        <w:tc>
          <w:tcPr>
            <w:tcW w:w="172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antibody</w:t>
            </w:r>
          </w:p>
        </w:tc>
        <w:tc>
          <w:tcPr>
            <w:tcW w:w="2460" w:type="dxa"/>
            <w:vAlign w:val="bottom"/>
          </w:tcPr>
          <w:p>
            <w:pPr>
              <w:spacing w:after="0"/>
              <w:rPr>
                <w:sz w:val="20"/>
                <w:szCs w:val="20"/>
                <w:color w:val="auto"/>
              </w:rPr>
            </w:pPr>
          </w:p>
        </w:tc>
        <w:tc>
          <w:tcPr>
            <w:tcW w:w="1920" w:type="dxa"/>
            <w:vAlign w:val="bottom"/>
          </w:tcPr>
          <w:p>
            <w:pPr>
              <w:ind w:left="200"/>
              <w:spacing w:after="0"/>
              <w:rPr>
                <w:sz w:val="20"/>
                <w:szCs w:val="20"/>
                <w:color w:val="auto"/>
              </w:rPr>
            </w:pPr>
            <w:r>
              <w:rPr>
                <w:rFonts w:ascii="Arial" w:cs="Arial" w:eastAsia="Arial" w:hAnsi="Arial"/>
                <w:sz w:val="18"/>
                <w:szCs w:val="18"/>
                <w:color w:val="auto"/>
              </w:rPr>
              <w:t>Pharma Inc.</w:t>
            </w: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Baricitinib, an orally administered</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development (Phase 3)</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 Lilly and</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Atopic dermatitis</w:t>
            </w:r>
          </w:p>
        </w:tc>
        <w:tc>
          <w:tcPr>
            <w:tcW w:w="1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JAK inhibitor</w:t>
            </w:r>
          </w:p>
        </w:tc>
        <w:tc>
          <w:tcPr>
            <w:tcW w:w="2460" w:type="dxa"/>
            <w:vAlign w:val="bottom"/>
            <w:shd w:val="clear" w:color="auto" w:fill="CCEEFF"/>
          </w:tcPr>
          <w:p>
            <w:pPr>
              <w:spacing w:after="0"/>
              <w:rPr>
                <w:sz w:val="18"/>
                <w:szCs w:val="18"/>
                <w:color w:val="auto"/>
              </w:rPr>
            </w:pP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Company/Incyte</w:t>
            </w:r>
          </w:p>
        </w:tc>
        <w:tc>
          <w:tcPr>
            <w:tcW w:w="18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7"/>
        </w:trPr>
        <w:tc>
          <w:tcPr>
            <w:tcW w:w="27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8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PF-04965842, an orally</w:t>
            </w:r>
          </w:p>
        </w:tc>
        <w:tc>
          <w:tcPr>
            <w:tcW w:w="2460" w:type="dxa"/>
            <w:vAlign w:val="bottom"/>
          </w:tcPr>
          <w:p>
            <w:pPr>
              <w:ind w:left="120"/>
              <w:spacing w:after="0"/>
              <w:rPr>
                <w:sz w:val="20"/>
                <w:szCs w:val="20"/>
                <w:color w:val="auto"/>
              </w:rPr>
            </w:pPr>
            <w:r>
              <w:rPr>
                <w:rFonts w:ascii="Arial" w:cs="Arial" w:eastAsia="Arial" w:hAnsi="Arial"/>
                <w:sz w:val="18"/>
                <w:szCs w:val="18"/>
                <w:color w:val="auto"/>
              </w:rPr>
              <w:t>In development (Phase 3)</w:t>
            </w:r>
          </w:p>
        </w:tc>
        <w:tc>
          <w:tcPr>
            <w:tcW w:w="1920" w:type="dxa"/>
            <w:vAlign w:val="bottom"/>
          </w:tcPr>
          <w:p>
            <w:pPr>
              <w:ind w:left="200"/>
              <w:spacing w:after="0"/>
              <w:rPr>
                <w:sz w:val="20"/>
                <w:szCs w:val="20"/>
                <w:color w:val="auto"/>
              </w:rPr>
            </w:pPr>
            <w:r>
              <w:rPr>
                <w:rFonts w:ascii="Arial" w:cs="Arial" w:eastAsia="Arial" w:hAnsi="Arial"/>
                <w:sz w:val="18"/>
                <w:szCs w:val="18"/>
                <w:color w:val="auto"/>
              </w:rPr>
              <w:t>Pfizer</w:t>
            </w:r>
          </w:p>
        </w:tc>
        <w:tc>
          <w:tcPr>
            <w:tcW w:w="1800" w:type="dxa"/>
            <w:vAlign w:val="bottom"/>
          </w:tcPr>
          <w:p>
            <w:pPr>
              <w:ind w:left="180"/>
              <w:spacing w:after="0"/>
              <w:rPr>
                <w:sz w:val="20"/>
                <w:szCs w:val="20"/>
                <w:color w:val="auto"/>
              </w:rPr>
            </w:pPr>
            <w:r>
              <w:rPr>
                <w:rFonts w:ascii="Arial" w:cs="Arial" w:eastAsia="Arial" w:hAnsi="Arial"/>
                <w:sz w:val="18"/>
                <w:szCs w:val="18"/>
                <w:color w:val="auto"/>
              </w:rPr>
              <w:t>Atopic dermatitis</w:t>
            </w:r>
          </w:p>
        </w:tc>
        <w:tc>
          <w:tcPr>
            <w:tcW w:w="172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administered JAK inhibitor</w:t>
            </w: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Upadacitinib, an orally</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development (Phase 3)</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AbbVie</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Atopic dermatitis</w:t>
            </w:r>
          </w:p>
        </w:tc>
        <w:tc>
          <w:tcPr>
            <w:tcW w:w="1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administered JAK inhibitor</w:t>
            </w:r>
          </w:p>
        </w:tc>
        <w:tc>
          <w:tcPr>
            <w:tcW w:w="24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w w:val="95"/>
              </w:rPr>
              <w:t>Fevipiprant, an orally administered</w:t>
            </w:r>
          </w:p>
        </w:tc>
        <w:tc>
          <w:tcPr>
            <w:tcW w:w="2460" w:type="dxa"/>
            <w:vAlign w:val="bottom"/>
          </w:tcPr>
          <w:p>
            <w:pPr>
              <w:ind w:left="120"/>
              <w:spacing w:after="0"/>
              <w:rPr>
                <w:sz w:val="20"/>
                <w:szCs w:val="20"/>
                <w:color w:val="auto"/>
              </w:rPr>
            </w:pPr>
            <w:r>
              <w:rPr>
                <w:rFonts w:ascii="Arial" w:cs="Arial" w:eastAsia="Arial" w:hAnsi="Arial"/>
                <w:sz w:val="18"/>
                <w:szCs w:val="18"/>
                <w:color w:val="auto"/>
              </w:rPr>
              <w:t>In development (Phase 3)</w:t>
            </w:r>
          </w:p>
        </w:tc>
        <w:tc>
          <w:tcPr>
            <w:tcW w:w="1920" w:type="dxa"/>
            <w:vAlign w:val="bottom"/>
          </w:tcPr>
          <w:p>
            <w:pPr>
              <w:ind w:left="200"/>
              <w:spacing w:after="0"/>
              <w:rPr>
                <w:sz w:val="20"/>
                <w:szCs w:val="20"/>
                <w:color w:val="auto"/>
              </w:rPr>
            </w:pPr>
            <w:r>
              <w:rPr>
                <w:rFonts w:ascii="Arial" w:cs="Arial" w:eastAsia="Arial" w:hAnsi="Arial"/>
                <w:sz w:val="18"/>
                <w:szCs w:val="18"/>
                <w:color w:val="auto"/>
              </w:rPr>
              <w:t>Novartis</w:t>
            </w:r>
          </w:p>
        </w:tc>
        <w:tc>
          <w:tcPr>
            <w:tcW w:w="1800" w:type="dxa"/>
            <w:vAlign w:val="bottom"/>
          </w:tcPr>
          <w:p>
            <w:pPr>
              <w:ind w:left="180"/>
              <w:spacing w:after="0"/>
              <w:rPr>
                <w:sz w:val="20"/>
                <w:szCs w:val="20"/>
                <w:color w:val="auto"/>
              </w:rPr>
            </w:pPr>
            <w:r>
              <w:rPr>
                <w:rFonts w:ascii="Arial" w:cs="Arial" w:eastAsia="Arial" w:hAnsi="Arial"/>
                <w:sz w:val="18"/>
                <w:szCs w:val="18"/>
                <w:color w:val="auto"/>
              </w:rPr>
              <w:t>Asthma</w:t>
            </w:r>
          </w:p>
        </w:tc>
        <w:tc>
          <w:tcPr>
            <w:tcW w:w="172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CRTH2 antagonist</w:t>
            </w: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Tezepelumab, an anti-TSLP</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development (Phase 3)</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Amgen</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Asthma</w:t>
            </w:r>
          </w:p>
        </w:tc>
        <w:tc>
          <w:tcPr>
            <w:tcW w:w="1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antibody</w:t>
            </w:r>
          </w:p>
        </w:tc>
        <w:tc>
          <w:tcPr>
            <w:tcW w:w="24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Inc./AstraZeneca</w:t>
            </w:r>
          </w:p>
        </w:tc>
        <w:tc>
          <w:tcPr>
            <w:tcW w:w="18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ANB-020, an anti-IL-33 antibody</w:t>
            </w:r>
          </w:p>
        </w:tc>
        <w:tc>
          <w:tcPr>
            <w:tcW w:w="2460" w:type="dxa"/>
            <w:vAlign w:val="bottom"/>
          </w:tcPr>
          <w:p>
            <w:pPr>
              <w:ind w:left="120"/>
              <w:spacing w:after="0"/>
              <w:rPr>
                <w:sz w:val="20"/>
                <w:szCs w:val="20"/>
                <w:color w:val="auto"/>
              </w:rPr>
            </w:pPr>
            <w:r>
              <w:rPr>
                <w:rFonts w:ascii="Arial" w:cs="Arial" w:eastAsia="Arial" w:hAnsi="Arial"/>
                <w:sz w:val="18"/>
                <w:szCs w:val="18"/>
                <w:color w:val="auto"/>
              </w:rPr>
              <w:t>In development (Phase 2)</w:t>
            </w:r>
          </w:p>
        </w:tc>
        <w:tc>
          <w:tcPr>
            <w:tcW w:w="1920" w:type="dxa"/>
            <w:vAlign w:val="bottom"/>
          </w:tcPr>
          <w:p>
            <w:pPr>
              <w:ind w:left="200"/>
              <w:spacing w:after="0"/>
              <w:rPr>
                <w:sz w:val="20"/>
                <w:szCs w:val="20"/>
                <w:color w:val="auto"/>
              </w:rPr>
            </w:pPr>
            <w:r>
              <w:rPr>
                <w:rFonts w:ascii="Arial" w:cs="Arial" w:eastAsia="Arial" w:hAnsi="Arial"/>
                <w:sz w:val="18"/>
                <w:szCs w:val="18"/>
                <w:color w:val="auto"/>
              </w:rPr>
              <w:t>AnaptysBio, Inc.</w:t>
            </w:r>
          </w:p>
        </w:tc>
        <w:tc>
          <w:tcPr>
            <w:tcW w:w="1800" w:type="dxa"/>
            <w:vAlign w:val="bottom"/>
          </w:tcPr>
          <w:p>
            <w:pPr>
              <w:ind w:left="180"/>
              <w:spacing w:after="0"/>
              <w:rPr>
                <w:sz w:val="20"/>
                <w:szCs w:val="20"/>
                <w:color w:val="auto"/>
              </w:rPr>
            </w:pPr>
            <w:r>
              <w:rPr>
                <w:rFonts w:ascii="Arial" w:cs="Arial" w:eastAsia="Arial" w:hAnsi="Arial"/>
                <w:sz w:val="18"/>
                <w:szCs w:val="18"/>
                <w:color w:val="auto"/>
              </w:rPr>
              <w:t>Asthma and atopic</w:t>
            </w:r>
          </w:p>
        </w:tc>
        <w:tc>
          <w:tcPr>
            <w:tcW w:w="172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0" w:type="dxa"/>
            <w:vAlign w:val="bottom"/>
          </w:tcPr>
          <w:p>
            <w:pPr>
              <w:ind w:left="180"/>
              <w:spacing w:after="0"/>
              <w:rPr>
                <w:sz w:val="20"/>
                <w:szCs w:val="20"/>
                <w:color w:val="auto"/>
              </w:rPr>
            </w:pPr>
            <w:r>
              <w:rPr>
                <w:rFonts w:ascii="Arial" w:cs="Arial" w:eastAsia="Arial" w:hAnsi="Arial"/>
                <w:sz w:val="18"/>
                <w:szCs w:val="18"/>
                <w:color w:val="auto"/>
              </w:rPr>
              <w:t>dermatitis</w:t>
            </w:r>
          </w:p>
        </w:tc>
        <w:tc>
          <w:tcPr>
            <w:tcW w:w="172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Lebrikizumab, an anti-IL-13</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development (Phase 2)</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Dermira, Inc./Roche</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Atopic dermatitis</w:t>
            </w:r>
          </w:p>
        </w:tc>
        <w:tc>
          <w:tcPr>
            <w:tcW w:w="1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antibody</w:t>
            </w:r>
          </w:p>
        </w:tc>
        <w:tc>
          <w:tcPr>
            <w:tcW w:w="24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Nemolizumab, an anti-IL-31R</w:t>
            </w:r>
          </w:p>
        </w:tc>
        <w:tc>
          <w:tcPr>
            <w:tcW w:w="2460" w:type="dxa"/>
            <w:vAlign w:val="bottom"/>
          </w:tcPr>
          <w:p>
            <w:pPr>
              <w:ind w:left="120"/>
              <w:spacing w:after="0"/>
              <w:rPr>
                <w:sz w:val="20"/>
                <w:szCs w:val="20"/>
                <w:color w:val="auto"/>
              </w:rPr>
            </w:pPr>
            <w:r>
              <w:rPr>
                <w:rFonts w:ascii="Arial" w:cs="Arial" w:eastAsia="Arial" w:hAnsi="Arial"/>
                <w:sz w:val="18"/>
                <w:szCs w:val="18"/>
                <w:color w:val="auto"/>
              </w:rPr>
              <w:t>In development (Phase 2)</w:t>
            </w:r>
          </w:p>
        </w:tc>
        <w:tc>
          <w:tcPr>
            <w:tcW w:w="1920" w:type="dxa"/>
            <w:vAlign w:val="bottom"/>
          </w:tcPr>
          <w:p>
            <w:pPr>
              <w:ind w:left="200"/>
              <w:spacing w:after="0"/>
              <w:rPr>
                <w:sz w:val="20"/>
                <w:szCs w:val="20"/>
                <w:color w:val="auto"/>
              </w:rPr>
            </w:pPr>
            <w:r>
              <w:rPr>
                <w:rFonts w:ascii="Arial" w:cs="Arial" w:eastAsia="Arial" w:hAnsi="Arial"/>
                <w:sz w:val="18"/>
                <w:szCs w:val="18"/>
                <w:color w:val="auto"/>
              </w:rPr>
              <w:t>Galderma S.A.</w:t>
            </w:r>
          </w:p>
        </w:tc>
        <w:tc>
          <w:tcPr>
            <w:tcW w:w="1800" w:type="dxa"/>
            <w:vAlign w:val="bottom"/>
          </w:tcPr>
          <w:p>
            <w:pPr>
              <w:ind w:left="180"/>
              <w:spacing w:after="0"/>
              <w:rPr>
                <w:sz w:val="20"/>
                <w:szCs w:val="20"/>
                <w:color w:val="auto"/>
              </w:rPr>
            </w:pPr>
            <w:r>
              <w:rPr>
                <w:rFonts w:ascii="Arial" w:cs="Arial" w:eastAsia="Arial" w:hAnsi="Arial"/>
                <w:sz w:val="18"/>
                <w:szCs w:val="18"/>
                <w:color w:val="auto"/>
              </w:rPr>
              <w:t>Atopic dermatitis</w:t>
            </w:r>
          </w:p>
        </w:tc>
        <w:tc>
          <w:tcPr>
            <w:tcW w:w="172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antibody</w:t>
            </w:r>
          </w:p>
        </w:tc>
        <w:tc>
          <w:tcPr>
            <w:tcW w:w="2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CNTO7610, an anti-ST2 antibody</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development (Phase 2 for</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Johnson &amp; Johnson</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Asthma and atopic</w:t>
            </w:r>
          </w:p>
        </w:tc>
        <w:tc>
          <w:tcPr>
            <w:tcW w:w="1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asthma and Phase 1 for atopic</w:t>
            </w:r>
          </w:p>
        </w:tc>
        <w:tc>
          <w:tcPr>
            <w:tcW w:w="1920" w:type="dxa"/>
            <w:vAlign w:val="bottom"/>
            <w:shd w:val="clear" w:color="auto" w:fill="CCEEFF"/>
          </w:tcPr>
          <w:p>
            <w:pPr>
              <w:spacing w:after="0"/>
              <w:rPr>
                <w:sz w:val="18"/>
                <w:szCs w:val="18"/>
                <w:color w:val="auto"/>
              </w:rPr>
            </w:pP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dermatitis</w:t>
            </w:r>
          </w:p>
        </w:tc>
        <w:tc>
          <w:tcPr>
            <w:tcW w:w="1720" w:type="dxa"/>
            <w:vAlign w:val="bottom"/>
            <w:shd w:val="clear" w:color="auto" w:fill="CCEEFF"/>
          </w:tcPr>
          <w:p>
            <w:pPr>
              <w:spacing w:after="0"/>
              <w:rPr>
                <w:sz w:val="18"/>
                <w:szCs w:val="18"/>
                <w:color w:val="auto"/>
              </w:rPr>
            </w:pPr>
          </w:p>
        </w:tc>
      </w:tr>
      <w:tr>
        <w:trPr>
          <w:trHeight w:val="237"/>
        </w:trPr>
        <w:tc>
          <w:tcPr>
            <w:tcW w:w="270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dermatitis)</w:t>
            </w:r>
          </w:p>
        </w:tc>
        <w:tc>
          <w:tcPr>
            <w:tcW w:w="19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RG6149, an anti-ST2 antibody</w:t>
            </w:r>
          </w:p>
        </w:tc>
        <w:tc>
          <w:tcPr>
            <w:tcW w:w="2460" w:type="dxa"/>
            <w:vAlign w:val="bottom"/>
          </w:tcPr>
          <w:p>
            <w:pPr>
              <w:ind w:left="120"/>
              <w:spacing w:after="0"/>
              <w:rPr>
                <w:sz w:val="20"/>
                <w:szCs w:val="20"/>
                <w:color w:val="auto"/>
              </w:rPr>
            </w:pPr>
            <w:r>
              <w:rPr>
                <w:rFonts w:ascii="Arial" w:cs="Arial" w:eastAsia="Arial" w:hAnsi="Arial"/>
                <w:sz w:val="18"/>
                <w:szCs w:val="18"/>
                <w:color w:val="auto"/>
              </w:rPr>
              <w:t>In development (Phase 2)</w:t>
            </w:r>
          </w:p>
        </w:tc>
        <w:tc>
          <w:tcPr>
            <w:tcW w:w="1920" w:type="dxa"/>
            <w:vAlign w:val="bottom"/>
          </w:tcPr>
          <w:p>
            <w:pPr>
              <w:ind w:left="200"/>
              <w:spacing w:after="0"/>
              <w:rPr>
                <w:sz w:val="20"/>
                <w:szCs w:val="20"/>
                <w:color w:val="auto"/>
              </w:rPr>
            </w:pPr>
            <w:r>
              <w:rPr>
                <w:rFonts w:ascii="Arial" w:cs="Arial" w:eastAsia="Arial" w:hAnsi="Arial"/>
                <w:sz w:val="18"/>
                <w:szCs w:val="18"/>
                <w:color w:val="auto"/>
              </w:rPr>
              <w:t>Roche</w:t>
            </w:r>
          </w:p>
        </w:tc>
        <w:tc>
          <w:tcPr>
            <w:tcW w:w="1800" w:type="dxa"/>
            <w:vAlign w:val="bottom"/>
          </w:tcPr>
          <w:p>
            <w:pPr>
              <w:ind w:left="180"/>
              <w:spacing w:after="0"/>
              <w:rPr>
                <w:sz w:val="20"/>
                <w:szCs w:val="20"/>
                <w:color w:val="auto"/>
              </w:rPr>
            </w:pPr>
            <w:r>
              <w:rPr>
                <w:rFonts w:ascii="Arial" w:cs="Arial" w:eastAsia="Arial" w:hAnsi="Arial"/>
                <w:sz w:val="18"/>
                <w:szCs w:val="18"/>
                <w:color w:val="auto"/>
              </w:rPr>
              <w:t>Asthma</w:t>
            </w:r>
          </w:p>
        </w:tc>
        <w:tc>
          <w:tcPr>
            <w:tcW w:w="172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MEDI-9314, an anti-IL-4R</w:t>
            </w:r>
          </w:p>
        </w:tc>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development (Phase 1)</w:t>
            </w:r>
          </w:p>
        </w:tc>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AstraZeneca</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Atopic dermatitis</w:t>
            </w:r>
          </w:p>
        </w:tc>
        <w:tc>
          <w:tcPr>
            <w:tcW w:w="1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antibody</w:t>
            </w:r>
          </w:p>
        </w:tc>
        <w:tc>
          <w:tcPr>
            <w:tcW w:w="24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PRS-060, an inhaled anticalin</w:t>
            </w:r>
          </w:p>
        </w:tc>
        <w:tc>
          <w:tcPr>
            <w:tcW w:w="2460" w:type="dxa"/>
            <w:vAlign w:val="bottom"/>
          </w:tcPr>
          <w:p>
            <w:pPr>
              <w:ind w:left="120"/>
              <w:spacing w:after="0"/>
              <w:rPr>
                <w:sz w:val="20"/>
                <w:szCs w:val="20"/>
                <w:color w:val="auto"/>
              </w:rPr>
            </w:pPr>
            <w:r>
              <w:rPr>
                <w:rFonts w:ascii="Arial" w:cs="Arial" w:eastAsia="Arial" w:hAnsi="Arial"/>
                <w:sz w:val="18"/>
                <w:szCs w:val="18"/>
                <w:color w:val="auto"/>
              </w:rPr>
              <w:t>In development (Phase 1)</w:t>
            </w:r>
          </w:p>
        </w:tc>
        <w:tc>
          <w:tcPr>
            <w:tcW w:w="1920" w:type="dxa"/>
            <w:vAlign w:val="bottom"/>
          </w:tcPr>
          <w:p>
            <w:pPr>
              <w:ind w:left="200"/>
              <w:spacing w:after="0"/>
              <w:rPr>
                <w:sz w:val="20"/>
                <w:szCs w:val="20"/>
                <w:color w:val="auto"/>
              </w:rPr>
            </w:pPr>
            <w:r>
              <w:rPr>
                <w:rFonts w:ascii="Arial" w:cs="Arial" w:eastAsia="Arial" w:hAnsi="Arial"/>
                <w:sz w:val="18"/>
                <w:szCs w:val="18"/>
                <w:color w:val="auto"/>
              </w:rPr>
              <w:t>AstraZeneca/ Pieris</w:t>
            </w:r>
          </w:p>
        </w:tc>
        <w:tc>
          <w:tcPr>
            <w:tcW w:w="1800" w:type="dxa"/>
            <w:vAlign w:val="bottom"/>
          </w:tcPr>
          <w:p>
            <w:pPr>
              <w:ind w:left="180"/>
              <w:spacing w:after="0"/>
              <w:rPr>
                <w:sz w:val="20"/>
                <w:szCs w:val="20"/>
                <w:color w:val="auto"/>
              </w:rPr>
            </w:pPr>
            <w:r>
              <w:rPr>
                <w:rFonts w:ascii="Arial" w:cs="Arial" w:eastAsia="Arial" w:hAnsi="Arial"/>
                <w:sz w:val="18"/>
                <w:szCs w:val="18"/>
                <w:color w:val="auto"/>
              </w:rPr>
              <w:t>Asthma</w:t>
            </w:r>
          </w:p>
        </w:tc>
        <w:tc>
          <w:tcPr>
            <w:tcW w:w="172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targeting IL-4R</w:t>
            </w:r>
          </w:p>
        </w:tc>
        <w:tc>
          <w:tcPr>
            <w:tcW w:w="2460" w:type="dxa"/>
            <w:vAlign w:val="bottom"/>
          </w:tcPr>
          <w:p>
            <w:pPr>
              <w:spacing w:after="0"/>
              <w:rPr>
                <w:sz w:val="20"/>
                <w:szCs w:val="20"/>
                <w:color w:val="auto"/>
              </w:rPr>
            </w:pPr>
          </w:p>
        </w:tc>
        <w:tc>
          <w:tcPr>
            <w:tcW w:w="1920" w:type="dxa"/>
            <w:vAlign w:val="bottom"/>
          </w:tcPr>
          <w:p>
            <w:pPr>
              <w:ind w:left="200"/>
              <w:spacing w:after="0"/>
              <w:rPr>
                <w:sz w:val="20"/>
                <w:szCs w:val="20"/>
                <w:color w:val="auto"/>
              </w:rPr>
            </w:pPr>
            <w:r>
              <w:rPr>
                <w:rFonts w:ascii="Arial" w:cs="Arial" w:eastAsia="Arial" w:hAnsi="Arial"/>
                <w:sz w:val="18"/>
                <w:szCs w:val="18"/>
                <w:color w:val="auto"/>
                <w:w w:val="98"/>
              </w:rPr>
              <w:t>Pharmaceuticals, Inc.</w:t>
            </w:r>
          </w:p>
        </w:tc>
        <w:tc>
          <w:tcPr>
            <w:tcW w:w="18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table above is not exhaustive. For additional information regarding the substantial competition Dupixent faces, see also Part I, Item 1A. "Risk Factors</w:t>
      </w:r>
    </w:p>
    <w:p>
      <w:pPr>
        <w:spacing w:after="0" w:line="46" w:lineRule="exact"/>
        <w:rPr>
          <w:sz w:val="20"/>
          <w:szCs w:val="20"/>
          <w:color w:val="auto"/>
        </w:rPr>
      </w:pPr>
    </w:p>
    <w:p>
      <w:pPr>
        <w:ind w:firstLine="8"/>
        <w:spacing w:after="0" w:line="261" w:lineRule="auto"/>
        <w:tabs>
          <w:tab w:leader="none" w:pos="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Risks Related to Commercialization of Our Antibody-based Products (Dupixent, Praluent, and Kevzara) - </w:t>
      </w:r>
      <w:r>
        <w:rPr>
          <w:rFonts w:ascii="Arial" w:cs="Arial" w:eastAsia="Arial" w:hAnsi="Arial"/>
          <w:sz w:val="18"/>
          <w:szCs w:val="18"/>
          <w:i w:val="1"/>
          <w:iCs w:val="1"/>
          <w:color w:val="auto"/>
        </w:rPr>
        <w:t>The commercial success of Dupixent, Praluent,</w:t>
      </w:r>
      <w:r>
        <w:rPr>
          <w:rFonts w:ascii="Arial" w:cs="Arial" w:eastAsia="Arial" w:hAnsi="Arial"/>
          <w:sz w:val="18"/>
          <w:szCs w:val="18"/>
          <w:color w:val="auto"/>
        </w:rPr>
        <w:t xml:space="preserve"> </w:t>
      </w:r>
      <w:r>
        <w:rPr>
          <w:rFonts w:ascii="Arial" w:cs="Arial" w:eastAsia="Arial" w:hAnsi="Arial"/>
          <w:sz w:val="18"/>
          <w:szCs w:val="18"/>
          <w:i w:val="1"/>
          <w:iCs w:val="1"/>
          <w:color w:val="auto"/>
        </w:rPr>
        <w:t>and Kevzara is subject to strong competition.</w:t>
      </w:r>
      <w:r>
        <w:rPr>
          <w:rFonts w:ascii="Arial" w:cs="Arial" w:eastAsia="Arial" w:hAnsi="Arial"/>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Praluent. </w:t>
      </w:r>
      <w:r>
        <w:rPr>
          <w:rFonts w:ascii="Arial" w:cs="Arial" w:eastAsia="Arial" w:hAnsi="Arial"/>
          <w:sz w:val="16"/>
          <w:szCs w:val="16"/>
          <w:color w:val="auto"/>
        </w:rPr>
        <w:t>The following table provides an overview of the competitive landscape for Praluent: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Commercial or</w:t>
            </w:r>
          </w:p>
        </w:tc>
        <w:tc>
          <w:tcPr>
            <w:tcW w:w="1760" w:type="dxa"/>
            <w:vAlign w:val="bottom"/>
          </w:tcPr>
          <w:p>
            <w:pPr>
              <w:spacing w:after="0"/>
              <w:rPr>
                <w:sz w:val="18"/>
                <w:szCs w:val="18"/>
                <w:color w:val="auto"/>
              </w:rPr>
            </w:pPr>
          </w:p>
        </w:tc>
      </w:tr>
      <w:tr>
        <w:trPr>
          <w:trHeight w:val="216"/>
        </w:trPr>
        <w:tc>
          <w:tcPr>
            <w:tcW w:w="2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Competitor Product/Product</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Development</w:t>
            </w:r>
          </w:p>
        </w:tc>
        <w:tc>
          <w:tcPr>
            <w:tcW w:w="1760" w:type="dxa"/>
            <w:vAlign w:val="bottom"/>
          </w:tcPr>
          <w:p>
            <w:pPr>
              <w:spacing w:after="0"/>
              <w:rPr>
                <w:sz w:val="18"/>
                <w:szCs w:val="18"/>
                <w:color w:val="auto"/>
              </w:rPr>
            </w:pPr>
          </w:p>
        </w:tc>
      </w:tr>
      <w:tr>
        <w:trPr>
          <w:trHeight w:val="234"/>
        </w:trPr>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Candidate</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Competitor</w:t>
            </w:r>
          </w:p>
        </w:tc>
      </w:tr>
      <w:tr>
        <w:trPr>
          <w:trHeight w:val="27"/>
        </w:trPr>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5"/>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Repatha</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(evolocumab)</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1760" w:type="dxa"/>
            <w:vAlign w:val="bottom"/>
          </w:tcPr>
          <w:p>
            <w:pPr>
              <w:ind w:left="20"/>
              <w:spacing w:after="0"/>
              <w:rPr>
                <w:sz w:val="20"/>
                <w:szCs w:val="20"/>
                <w:color w:val="auto"/>
              </w:rPr>
            </w:pPr>
            <w:r>
              <w:rPr>
                <w:rFonts w:ascii="Arial" w:cs="Arial" w:eastAsia="Arial" w:hAnsi="Arial"/>
                <w:sz w:val="18"/>
                <w:szCs w:val="18"/>
                <w:color w:val="auto"/>
              </w:rPr>
              <w:t>Amgen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-224790</wp:posOffset>
            </wp:positionV>
            <wp:extent cx="7014845" cy="1174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tabs>
          <w:tab w:leader="none" w:pos="3080" w:val="left"/>
          <w:tab w:leader="none" w:pos="5640" w:val="left"/>
        </w:tabs>
        <w:rPr>
          <w:sz w:val="20"/>
          <w:szCs w:val="20"/>
          <w:color w:val="auto"/>
        </w:rPr>
      </w:pPr>
      <w:r>
        <w:rPr>
          <w:rFonts w:ascii="Arial" w:cs="Arial" w:eastAsia="Arial" w:hAnsi="Arial"/>
          <w:sz w:val="18"/>
          <w:szCs w:val="18"/>
          <w:color w:val="auto"/>
        </w:rPr>
        <w:t>Inclisiran (ALN-PCSsc)</w:t>
      </w:r>
      <w:r>
        <w:rPr>
          <w:sz w:val="20"/>
          <w:szCs w:val="20"/>
          <w:color w:val="auto"/>
        </w:rPr>
        <w:tab/>
      </w:r>
      <w:r>
        <w:rPr>
          <w:rFonts w:ascii="Arial" w:cs="Arial" w:eastAsia="Arial" w:hAnsi="Arial"/>
          <w:sz w:val="18"/>
          <w:szCs w:val="18"/>
          <w:color w:val="auto"/>
        </w:rPr>
        <w:t>In development (Phase 2)</w:t>
      </w:r>
      <w:r>
        <w:rPr>
          <w:sz w:val="20"/>
          <w:szCs w:val="20"/>
          <w:color w:val="auto"/>
        </w:rPr>
        <w:tab/>
      </w:r>
      <w:r>
        <w:rPr>
          <w:rFonts w:ascii="Arial" w:cs="Arial" w:eastAsia="Arial" w:hAnsi="Arial"/>
          <w:sz w:val="17"/>
          <w:szCs w:val="17"/>
          <w:color w:val="auto"/>
        </w:rPr>
        <w:t>Alnylam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Pharmaceuticals (in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collaboration with The</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Medicines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22860</wp:posOffset>
            </wp:positionV>
            <wp:extent cx="7014845"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4845"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Indication</w:t>
      </w:r>
    </w:p>
    <w:p>
      <w:pPr>
        <w:spacing w:after="0" w:line="108" w:lineRule="exact"/>
        <w:rPr>
          <w:sz w:val="20"/>
          <w:szCs w:val="20"/>
          <w:color w:val="auto"/>
        </w:rPr>
      </w:pPr>
    </w:p>
    <w:p>
      <w:pPr>
        <w:ind w:left="80" w:hanging="9"/>
        <w:spacing w:after="0" w:line="284"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 the risk of myocardial infarction, stroke, and coronary revascularization in adults with established cardiovascular disease, (2) primary hyperlipidemia, and</w:t>
      </w:r>
    </w:p>
    <w:p>
      <w:pPr>
        <w:spacing w:after="0" w:line="2" w:lineRule="exact"/>
        <w:rPr>
          <w:rFonts w:ascii="Arial" w:cs="Arial" w:eastAsia="Arial" w:hAnsi="Arial"/>
          <w:sz w:val="16"/>
          <w:szCs w:val="16"/>
          <w:color w:val="auto"/>
        </w:rPr>
      </w:pPr>
    </w:p>
    <w:p>
      <w:pPr>
        <w:ind w:left="320" w:hanging="249"/>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HoFH</w:t>
      </w:r>
    </w:p>
    <w:p>
      <w:pPr>
        <w:spacing w:after="0" w:line="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RNAi molecule against PCSK9 (injectable, small molecule)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40" w:firstLine="332"/>
        <w:spacing w:after="0" w:line="396" w:lineRule="auto"/>
        <w:rPr>
          <w:sz w:val="20"/>
          <w:szCs w:val="20"/>
          <w:color w:val="auto"/>
        </w:rPr>
      </w:pPr>
      <w:r>
        <w:rPr>
          <w:rFonts w:ascii="Arial" w:cs="Arial" w:eastAsia="Arial" w:hAnsi="Arial"/>
          <w:sz w:val="17"/>
          <w:szCs w:val="17"/>
          <w:b w:val="1"/>
          <w:bCs w:val="1"/>
          <w:color w:val="auto"/>
        </w:rPr>
        <w:t xml:space="preserve">Territory </w:t>
      </w:r>
      <w:r>
        <w:rPr>
          <w:rFonts w:ascii="Arial" w:cs="Arial" w:eastAsia="Arial" w:hAnsi="Arial"/>
          <w:sz w:val="17"/>
          <w:szCs w:val="17"/>
          <w:color w:val="auto"/>
        </w:rPr>
        <w:t>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11" w:lineRule="exact"/>
        <w:rPr>
          <w:sz w:val="20"/>
          <w:szCs w:val="20"/>
          <w:color w:val="auto"/>
        </w:rPr>
      </w:pPr>
    </w:p>
    <w:p>
      <w:pPr>
        <w:sectPr>
          <w:pgSz w:w="11900" w:h="16838" w:orient="portrait"/>
          <w:cols w:equalWidth="0" w:num="3">
            <w:col w:w="7400" w:space="120"/>
            <w:col w:w="2120" w:space="200"/>
            <w:col w:w="1580"/>
          </w:cols>
          <w:pgMar w:left="240" w:top="130" w:right="239" w:bottom="1440" w:gutter="0" w:footer="0" w:header="0"/>
          <w:type w:val="continuous"/>
        </w:sectPr>
      </w:pPr>
    </w:p>
    <w:p>
      <w:pPr>
        <w:ind w:left="220"/>
        <w:spacing w:after="0"/>
        <w:tabs>
          <w:tab w:leader="none" w:pos="3080" w:val="left"/>
          <w:tab w:leader="none" w:pos="5640" w:val="left"/>
        </w:tabs>
        <w:rPr>
          <w:sz w:val="20"/>
          <w:szCs w:val="20"/>
          <w:color w:val="auto"/>
        </w:rPr>
      </w:pPr>
      <w:r>
        <w:rPr>
          <w:rFonts w:ascii="Arial" w:cs="Arial" w:eastAsia="Arial" w:hAnsi="Arial"/>
          <w:sz w:val="18"/>
          <w:szCs w:val="18"/>
          <w:color w:val="auto"/>
        </w:rPr>
        <w:t>ETC-1002 (bempedoic acid)</w:t>
      </w:r>
      <w:r>
        <w:rPr>
          <w:sz w:val="20"/>
          <w:szCs w:val="20"/>
          <w:color w:val="auto"/>
        </w:rPr>
        <w:tab/>
      </w:r>
      <w:r>
        <w:rPr>
          <w:rFonts w:ascii="Arial" w:cs="Arial" w:eastAsia="Arial" w:hAnsi="Arial"/>
          <w:sz w:val="18"/>
          <w:szCs w:val="18"/>
          <w:color w:val="auto"/>
        </w:rPr>
        <w:t>In development (Phase 3)</w:t>
      </w:r>
      <w:r>
        <w:rPr>
          <w:sz w:val="20"/>
          <w:szCs w:val="20"/>
          <w:color w:val="auto"/>
        </w:rPr>
        <w:tab/>
      </w:r>
      <w:r>
        <w:rPr>
          <w:rFonts w:ascii="Arial" w:cs="Arial" w:eastAsia="Arial" w:hAnsi="Arial"/>
          <w:sz w:val="16"/>
          <w:szCs w:val="16"/>
          <w:color w:val="auto"/>
        </w:rPr>
        <w:t>Esperion Therapeutics,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Inc.</w:t>
      </w:r>
    </w:p>
    <w:p>
      <w:pPr>
        <w:spacing w:after="0" w:line="103" w:lineRule="exact"/>
        <w:rPr>
          <w:sz w:val="20"/>
          <w:szCs w:val="20"/>
          <w:color w:val="auto"/>
        </w:rPr>
      </w:pPr>
    </w:p>
    <w:p>
      <w:pPr>
        <w:ind w:left="220"/>
        <w:spacing w:after="0"/>
        <w:tabs>
          <w:tab w:leader="none" w:pos="3080" w:val="left"/>
          <w:tab w:leader="none" w:pos="5640" w:val="left"/>
        </w:tabs>
        <w:rPr>
          <w:sz w:val="20"/>
          <w:szCs w:val="20"/>
          <w:color w:val="auto"/>
        </w:rPr>
      </w:pPr>
      <w:r>
        <w:rPr>
          <w:rFonts w:ascii="Arial" w:cs="Arial" w:eastAsia="Arial" w:hAnsi="Arial"/>
          <w:sz w:val="18"/>
          <w:szCs w:val="18"/>
          <w:color w:val="auto"/>
        </w:rPr>
        <w:t>Gemcabene</w:t>
      </w:r>
      <w:r>
        <w:rPr>
          <w:sz w:val="20"/>
          <w:szCs w:val="20"/>
          <w:color w:val="auto"/>
        </w:rPr>
        <w:tab/>
      </w:r>
      <w:r>
        <w:rPr>
          <w:rFonts w:ascii="Arial" w:cs="Arial" w:eastAsia="Arial" w:hAnsi="Arial"/>
          <w:sz w:val="18"/>
          <w:szCs w:val="18"/>
          <w:color w:val="auto"/>
        </w:rPr>
        <w:t>In development (Phase 2)</w:t>
      </w:r>
      <w:r>
        <w:rPr>
          <w:sz w:val="20"/>
          <w:szCs w:val="20"/>
          <w:color w:val="auto"/>
        </w:rPr>
        <w:tab/>
      </w:r>
      <w:r>
        <w:rPr>
          <w:rFonts w:ascii="Arial" w:cs="Arial" w:eastAsia="Arial" w:hAnsi="Arial"/>
          <w:sz w:val="16"/>
          <w:szCs w:val="16"/>
          <w:color w:val="auto"/>
        </w:rPr>
        <w:t>Gemphire Therapeutics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spacing w:after="0"/>
        <w:tabs>
          <w:tab w:leader="none" w:pos="2300" w:val="left"/>
        </w:tabs>
        <w:rPr>
          <w:sz w:val="20"/>
          <w:szCs w:val="20"/>
          <w:color w:val="auto"/>
        </w:rPr>
      </w:pPr>
      <w:r>
        <w:rPr>
          <w:rFonts w:ascii="Arial" w:cs="Arial" w:eastAsia="Arial" w:hAnsi="Arial"/>
          <w:sz w:val="18"/>
          <w:szCs w:val="18"/>
          <w:color w:val="auto"/>
        </w:rPr>
        <w:t>ACL-inhibitor</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(oral, small molecule)</w:t>
      </w:r>
    </w:p>
    <w:p>
      <w:pPr>
        <w:spacing w:after="0" w:line="63"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Cholesterol synthesis</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inhibitor (oral, small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molecule)</w:t>
      </w:r>
    </w:p>
    <w:p>
      <w:pPr>
        <w:spacing w:after="0" w:line="200" w:lineRule="exact"/>
        <w:rPr>
          <w:sz w:val="20"/>
          <w:szCs w:val="20"/>
          <w:color w:val="auto"/>
        </w:rPr>
      </w:pPr>
    </w:p>
    <w:p>
      <w:pPr>
        <w:sectPr>
          <w:pgSz w:w="11900" w:h="16838" w:orient="portrait"/>
          <w:cols w:equalWidth="0" w:num="2">
            <w:col w:w="7360" w:space="160"/>
            <w:col w:w="3900"/>
          </w:cols>
          <w:pgMar w:left="240" w:top="130" w:right="239" w:bottom="1440" w:gutter="0" w:footer="0" w:header="0"/>
          <w:type w:val="continuous"/>
        </w:sectPr>
      </w:pPr>
    </w:p>
    <w:p>
      <w:pPr>
        <w:spacing w:after="0" w:line="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Praluent faces, see also Part I, Item 1A. "Risk Factors - Risks Related to Commercialization of Our Antibody-based Products (Dupixent, Praluent, and Kevzara) - </w:t>
      </w:r>
      <w:r>
        <w:rPr>
          <w:rFonts w:ascii="Arial" w:cs="Arial" w:eastAsia="Arial" w:hAnsi="Arial"/>
          <w:sz w:val="18"/>
          <w:szCs w:val="18"/>
          <w:i w:val="1"/>
          <w:iCs w:val="1"/>
          <w:color w:val="auto"/>
        </w:rPr>
        <w:t>The commercial success of Dupixent, Praluent, and</w:t>
      </w:r>
      <w:r>
        <w:rPr>
          <w:rFonts w:ascii="Arial" w:cs="Arial" w:eastAsia="Arial" w:hAnsi="Arial"/>
          <w:sz w:val="18"/>
          <w:szCs w:val="18"/>
          <w:color w:val="auto"/>
        </w:rPr>
        <w:t xml:space="preserve"> </w:t>
      </w:r>
      <w:r>
        <w:rPr>
          <w:rFonts w:ascii="Arial" w:cs="Arial" w:eastAsia="Arial" w:hAnsi="Arial"/>
          <w:sz w:val="18"/>
          <w:szCs w:val="18"/>
          <w:i w:val="1"/>
          <w:iCs w:val="1"/>
          <w:color w:val="auto"/>
        </w:rPr>
        <w:t>Kevzara is subject to strong competition.</w:t>
      </w:r>
      <w:r>
        <w:rPr>
          <w:rFonts w:ascii="Arial" w:cs="Arial" w:eastAsia="Arial" w:hAnsi="Arial"/>
          <w:sz w:val="18"/>
          <w:szCs w:val="18"/>
          <w:color w:val="auto"/>
        </w:rPr>
        <w: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Kevzara. </w:t>
      </w:r>
      <w:r>
        <w:rPr>
          <w:rFonts w:ascii="Arial" w:cs="Arial" w:eastAsia="Arial" w:hAnsi="Arial"/>
          <w:sz w:val="16"/>
          <w:szCs w:val="16"/>
          <w:color w:val="auto"/>
        </w:rPr>
        <w:t>The following table provides an overview of the competitive landscape for Kevzara:</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Competitor</w:t>
      </w:r>
    </w:p>
    <w:p>
      <w:pPr>
        <w:spacing w:after="0" w:line="27"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Product/Product</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Candidate</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Actemra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(tocilizumab)</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Orencia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(abatacept)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Xeljanz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(tofacitinib)</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Olumiant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(baricitinib)</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Olokizumab, an anti-IL-6 antibody</w:t>
      </w:r>
    </w:p>
    <w:p>
      <w:pPr>
        <w:spacing w:after="0" w:line="113"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Upadacitinib, an orally administered JAK inhibitor</w:t>
      </w:r>
    </w:p>
    <w:p>
      <w:pPr>
        <w:spacing w:after="0" w:line="8" w:lineRule="exact"/>
        <w:rPr>
          <w:sz w:val="20"/>
          <w:szCs w:val="20"/>
          <w:color w:val="auto"/>
        </w:rPr>
      </w:pPr>
    </w:p>
    <w:p>
      <w:pPr>
        <w:ind w:left="40" w:right="260"/>
        <w:spacing w:after="0" w:line="277" w:lineRule="auto"/>
        <w:rPr>
          <w:sz w:val="20"/>
          <w:szCs w:val="20"/>
          <w:color w:val="auto"/>
        </w:rPr>
      </w:pPr>
      <w:r>
        <w:rPr>
          <w:rFonts w:ascii="Arial" w:cs="Arial" w:eastAsia="Arial" w:hAnsi="Arial"/>
          <w:sz w:val="18"/>
          <w:szCs w:val="18"/>
          <w:color w:val="auto"/>
        </w:rPr>
        <w:t>Filgotinib, an orally administered JAK inhibitor</w:t>
      </w:r>
    </w:p>
    <w:p>
      <w:pPr>
        <w:spacing w:after="0" w:line="116" w:lineRule="exact"/>
        <w:rPr>
          <w:sz w:val="20"/>
          <w:szCs w:val="20"/>
          <w:color w:val="auto"/>
        </w:rPr>
      </w:pPr>
    </w:p>
    <w:p>
      <w:pPr>
        <w:ind w:left="40" w:right="220"/>
        <w:spacing w:after="0" w:line="277" w:lineRule="auto"/>
        <w:rPr>
          <w:sz w:val="20"/>
          <w:szCs w:val="20"/>
          <w:color w:val="auto"/>
        </w:rPr>
      </w:pPr>
      <w:r>
        <w:rPr>
          <w:rFonts w:ascii="Arial" w:cs="Arial" w:eastAsia="Arial" w:hAnsi="Arial"/>
          <w:sz w:val="18"/>
          <w:szCs w:val="18"/>
          <w:color w:val="auto"/>
        </w:rPr>
        <w:t>Peficitinib, an orally administered JAK inhibitor</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Clazakizumab, an anti-IL-6 antibody</w:t>
      </w:r>
    </w:p>
    <w:p>
      <w:pPr>
        <w:spacing w:after="0" w:line="140" w:lineRule="exact"/>
        <w:rPr>
          <w:sz w:val="20"/>
          <w:szCs w:val="20"/>
          <w:color w:val="auto"/>
        </w:rPr>
      </w:pPr>
    </w:p>
    <w:p>
      <w:pPr>
        <w:ind w:left="40" w:right="540"/>
        <w:spacing w:after="0" w:line="277" w:lineRule="auto"/>
        <w:rPr>
          <w:sz w:val="20"/>
          <w:szCs w:val="20"/>
          <w:color w:val="auto"/>
        </w:rPr>
      </w:pPr>
      <w:r>
        <w:rPr>
          <w:rFonts w:ascii="Arial" w:cs="Arial" w:eastAsia="Arial" w:hAnsi="Arial"/>
          <w:sz w:val="18"/>
          <w:szCs w:val="18"/>
          <w:color w:val="auto"/>
        </w:rPr>
        <w:t>Vobarilizumab, an anti-IL-6R antibody fragment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Gerilimzumab, an anti-IL-6 antibody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left="-539"/>
        <w:spacing w:after="0"/>
        <w:rPr>
          <w:sz w:val="20"/>
          <w:szCs w:val="20"/>
          <w:color w:val="auto"/>
        </w:rPr>
      </w:pPr>
      <w:r>
        <w:rPr>
          <w:rFonts w:ascii="Arial" w:cs="Arial" w:eastAsia="Arial" w:hAnsi="Arial"/>
          <w:sz w:val="18"/>
          <w:szCs w:val="18"/>
          <w:b w:val="1"/>
          <w:bCs w:val="1"/>
          <w:color w:val="auto"/>
        </w:rPr>
        <w:t>Commercial or</w:t>
      </w:r>
    </w:p>
    <w:p>
      <w:pPr>
        <w:spacing w:after="0" w:line="27" w:lineRule="exact"/>
        <w:rPr>
          <w:sz w:val="20"/>
          <w:szCs w:val="20"/>
          <w:color w:val="auto"/>
        </w:rPr>
      </w:pPr>
    </w:p>
    <w:p>
      <w:pPr>
        <w:jc w:val="center"/>
        <w:ind w:left="-539"/>
        <w:spacing w:after="0"/>
        <w:rPr>
          <w:sz w:val="20"/>
          <w:szCs w:val="20"/>
          <w:color w:val="auto"/>
        </w:rPr>
      </w:pPr>
      <w:r>
        <w:rPr>
          <w:rFonts w:ascii="Arial" w:cs="Arial" w:eastAsia="Arial" w:hAnsi="Arial"/>
          <w:sz w:val="18"/>
          <w:szCs w:val="18"/>
          <w:b w:val="1"/>
          <w:bCs w:val="1"/>
          <w:color w:val="auto"/>
        </w:rPr>
        <w:t>Development</w:t>
      </w:r>
    </w:p>
    <w:p>
      <w:pPr>
        <w:spacing w:after="0" w:line="9" w:lineRule="exact"/>
        <w:rPr>
          <w:sz w:val="20"/>
          <w:szCs w:val="20"/>
          <w:color w:val="auto"/>
        </w:rPr>
      </w:pPr>
    </w:p>
    <w:p>
      <w:pPr>
        <w:jc w:val="center"/>
        <w:ind w:left="-539"/>
        <w:spacing w:after="0"/>
        <w:rPr>
          <w:sz w:val="20"/>
          <w:szCs w:val="20"/>
          <w:color w:val="auto"/>
        </w:rPr>
      </w:pPr>
      <w:r>
        <w:rPr>
          <w:rFonts w:ascii="Arial" w:cs="Arial" w:eastAsia="Arial" w:hAnsi="Arial"/>
          <w:sz w:val="18"/>
          <w:szCs w:val="18"/>
          <w:b w:val="1"/>
          <w:bCs w:val="1"/>
          <w:color w:val="auto"/>
        </w:rPr>
        <w:t>Status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Approved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Approved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Approved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Approved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development (Phase 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development (Phase 3)</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 development (Phase 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 development (Phase 3)</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 development (Phase 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development (Phase 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 development (Phase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660"/>
              <w:spacing w:after="0"/>
              <w:rPr>
                <w:sz w:val="20"/>
                <w:szCs w:val="20"/>
                <w:color w:val="auto"/>
              </w:rPr>
            </w:pPr>
            <w:r>
              <w:rPr>
                <w:rFonts w:ascii="Arial" w:cs="Arial" w:eastAsia="Arial" w:hAnsi="Arial"/>
                <w:sz w:val="18"/>
                <w:szCs w:val="18"/>
                <w:b w:val="1"/>
                <w:bCs w:val="1"/>
                <w:color w:val="auto"/>
              </w:rPr>
              <w:t>Competitor</w:t>
            </w:r>
          </w:p>
        </w:tc>
        <w:tc>
          <w:tcPr>
            <w:tcW w:w="1880" w:type="dxa"/>
            <w:vAlign w:val="bottom"/>
            <w:gridSpan w:val="2"/>
          </w:tcPr>
          <w:p>
            <w:pPr>
              <w:ind w:left="500"/>
              <w:spacing w:after="0"/>
              <w:rPr>
                <w:sz w:val="20"/>
                <w:szCs w:val="20"/>
                <w:color w:val="auto"/>
              </w:rPr>
            </w:pPr>
            <w:r>
              <w:rPr>
                <w:rFonts w:ascii="Arial" w:cs="Arial" w:eastAsia="Arial" w:hAnsi="Arial"/>
                <w:sz w:val="18"/>
                <w:szCs w:val="18"/>
                <w:b w:val="1"/>
                <w:bCs w:val="1"/>
                <w:color w:val="auto"/>
              </w:rPr>
              <w:t>Indication</w:t>
            </w:r>
          </w:p>
        </w:tc>
        <w:tc>
          <w:tcPr>
            <w:tcW w:w="1440" w:type="dxa"/>
            <w:vAlign w:val="bottom"/>
          </w:tcPr>
          <w:p>
            <w:pPr>
              <w:ind w:left="360"/>
              <w:spacing w:after="0"/>
              <w:rPr>
                <w:sz w:val="20"/>
                <w:szCs w:val="20"/>
                <w:color w:val="auto"/>
              </w:rPr>
            </w:pPr>
            <w:r>
              <w:rPr>
                <w:rFonts w:ascii="Arial" w:cs="Arial" w:eastAsia="Arial" w:hAnsi="Arial"/>
                <w:sz w:val="18"/>
                <w:szCs w:val="18"/>
                <w:b w:val="1"/>
                <w:bCs w:val="1"/>
                <w:color w:val="auto"/>
              </w:rPr>
              <w:t>Territory</w:t>
            </w:r>
          </w:p>
        </w:tc>
      </w:tr>
      <w:tr>
        <w:trPr>
          <w:trHeight w:val="27"/>
        </w:trPr>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Roche</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Worldwide</w:t>
            </w:r>
          </w:p>
        </w:tc>
      </w:tr>
      <w:tr>
        <w:trPr>
          <w:trHeight w:val="256"/>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Bristol-Myers Squibb</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Worldwide</w:t>
            </w:r>
          </w:p>
        </w:tc>
      </w:tr>
      <w:tr>
        <w:trPr>
          <w:trHeight w:val="230"/>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Company</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Pfizer</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Worldwide</w:t>
            </w:r>
          </w:p>
        </w:tc>
      </w:tr>
      <w:tr>
        <w:trPr>
          <w:trHeight w:val="351"/>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Eli Lilly/Incyte</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EU</w:t>
            </w:r>
          </w:p>
        </w:tc>
      </w:tr>
      <w:tr>
        <w:trPr>
          <w:trHeight w:val="297"/>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R-Pharm</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324"/>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AbbVie</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51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Gilead Sciences, Inc./</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Galapagos NV</w:t>
            </w: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97"/>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Astellas Pharma Inc.</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486"/>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Vitaeris Inc.</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324"/>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Ablynx NV</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486"/>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Bird Rock Bio, Inc.</w:t>
            </w: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Rheumatoid arthritis</w:t>
            </w:r>
          </w:p>
        </w:tc>
        <w:tc>
          <w:tcPr>
            <w:tcW w:w="144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-2280285</wp:posOffset>
            </wp:positionV>
            <wp:extent cx="704088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-1868805</wp:posOffset>
            </wp:positionV>
            <wp:extent cx="704088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088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-1354455</wp:posOffset>
            </wp:positionV>
            <wp:extent cx="704088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3771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-668020</wp:posOffset>
            </wp:positionV>
            <wp:extent cx="704088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088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-153670</wp:posOffset>
            </wp:positionV>
            <wp:extent cx="704088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0880" cy="2057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-2769235</wp:posOffset>
            </wp:positionV>
            <wp:extent cx="704088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088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700" w:space="240"/>
            <w:col w:w="1840" w:space="680"/>
            <w:col w:w="5960"/>
          </w:cols>
          <w:pgMar w:left="240" w:top="130" w:right="239" w:bottom="1440" w:gutter="0" w:footer="0" w:header="0"/>
          <w:type w:val="continuous"/>
        </w:sectPr>
      </w:pPr>
    </w:p>
    <w:p>
      <w:pPr>
        <w:spacing w:after="0" w:line="13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Kevzara faces, see also Part I, Item 1A. "Risk Factors - Risks Related to Commercialization of Our Antibody-based Products (Dupixent, Praluent, and Kevzara) - </w:t>
      </w:r>
      <w:r>
        <w:rPr>
          <w:rFonts w:ascii="Arial" w:cs="Arial" w:eastAsia="Arial" w:hAnsi="Arial"/>
          <w:sz w:val="18"/>
          <w:szCs w:val="18"/>
          <w:i w:val="1"/>
          <w:iCs w:val="1"/>
          <w:color w:val="auto"/>
        </w:rPr>
        <w:t>The commercial success of Dupixent, Praluent, and</w:t>
      </w:r>
      <w:r>
        <w:rPr>
          <w:rFonts w:ascii="Arial" w:cs="Arial" w:eastAsia="Arial" w:hAnsi="Arial"/>
          <w:sz w:val="18"/>
          <w:szCs w:val="18"/>
          <w:color w:val="auto"/>
        </w:rPr>
        <w:t xml:space="preserve"> </w:t>
      </w:r>
      <w:r>
        <w:rPr>
          <w:rFonts w:ascii="Arial" w:cs="Arial" w:eastAsia="Arial" w:hAnsi="Arial"/>
          <w:sz w:val="18"/>
          <w:szCs w:val="18"/>
          <w:i w:val="1"/>
          <w:iCs w:val="1"/>
          <w:color w:val="auto"/>
        </w:rPr>
        <w:t>Kevzara is subject to strong competition.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i w:val="1"/>
          <w:iCs w:val="1"/>
          <w:color w:val="auto"/>
        </w:rPr>
        <w:t xml:space="preserve">Antibodies in Development. </w:t>
      </w:r>
      <w:r>
        <w:rPr>
          <w:rFonts w:ascii="Arial" w:cs="Arial" w:eastAsia="Arial" w:hAnsi="Arial"/>
          <w:sz w:val="17"/>
          <w:szCs w:val="17"/>
          <w:color w:val="auto"/>
        </w:rPr>
        <w:t>Our clinical candidates in development are all fully human antibodies which were generated using our</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 xml:space="preserve">technology. Our antibody generation technologies and clinical candidates face competition from many pharmaceutical and biotechnology companies using various technologies. Numerous other companies are developing therapeutic antibody products. Companies have generated therapeutic products that are currently in development or on the market that are derived from recombinant DNA that comprise human antibody sequences. Astellas has licensed our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technology to use it as part of their internal antibody development programs.</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an overview of the competitive landscape for our antibody programs that are in late-stage clinical development: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340" w:type="dxa"/>
            <w:vAlign w:val="bottom"/>
            <w:gridSpan w:val="2"/>
          </w:tcPr>
          <w:p>
            <w:pPr>
              <w:ind w:left="320"/>
              <w:spacing w:after="0"/>
              <w:rPr>
                <w:sz w:val="20"/>
                <w:szCs w:val="20"/>
                <w:color w:val="auto"/>
              </w:rPr>
            </w:pPr>
            <w:r>
              <w:rPr>
                <w:rFonts w:ascii="Arial" w:cs="Arial" w:eastAsia="Arial" w:hAnsi="Arial"/>
                <w:sz w:val="18"/>
                <w:szCs w:val="18"/>
                <w:b w:val="1"/>
                <w:bCs w:val="1"/>
                <w:color w:val="auto"/>
              </w:rPr>
              <w:t>Regeneron Antibody</w:t>
            </w:r>
          </w:p>
        </w:tc>
        <w:tc>
          <w:tcPr>
            <w:tcW w:w="2120" w:type="dxa"/>
            <w:vAlign w:val="bottom"/>
          </w:tcPr>
          <w:p>
            <w:pPr>
              <w:spacing w:after="0"/>
              <w:rPr>
                <w:sz w:val="18"/>
                <w:szCs w:val="18"/>
                <w:color w:val="auto"/>
              </w:rPr>
            </w:pPr>
          </w:p>
        </w:tc>
      </w:tr>
      <w:tr>
        <w:trPr>
          <w:trHeight w:val="234"/>
        </w:trPr>
        <w:tc>
          <w:tcPr>
            <w:tcW w:w="2340" w:type="dxa"/>
            <w:vAlign w:val="bottom"/>
            <w:gridSpan w:val="2"/>
          </w:tcPr>
          <w:p>
            <w:pPr>
              <w:ind w:left="760"/>
              <w:spacing w:after="0"/>
              <w:rPr>
                <w:sz w:val="20"/>
                <w:szCs w:val="20"/>
                <w:color w:val="auto"/>
              </w:rPr>
            </w:pPr>
            <w:r>
              <w:rPr>
                <w:rFonts w:ascii="Arial" w:cs="Arial" w:eastAsia="Arial" w:hAnsi="Arial"/>
                <w:sz w:val="18"/>
                <w:szCs w:val="18"/>
                <w:b w:val="1"/>
                <w:bCs w:val="1"/>
                <w:color w:val="auto"/>
              </w:rPr>
              <w:t>Program</w:t>
            </w:r>
          </w:p>
        </w:tc>
        <w:tc>
          <w:tcPr>
            <w:tcW w:w="2120" w:type="dxa"/>
            <w:vAlign w:val="bottom"/>
          </w:tcPr>
          <w:p>
            <w:pPr>
              <w:ind w:left="620"/>
              <w:spacing w:after="0"/>
              <w:rPr>
                <w:sz w:val="20"/>
                <w:szCs w:val="20"/>
                <w:color w:val="auto"/>
              </w:rPr>
            </w:pPr>
            <w:r>
              <w:rPr>
                <w:rFonts w:ascii="Arial" w:cs="Arial" w:eastAsia="Arial" w:hAnsi="Arial"/>
                <w:sz w:val="18"/>
                <w:szCs w:val="18"/>
                <w:b w:val="1"/>
                <w:bCs w:val="1"/>
                <w:color w:val="auto"/>
              </w:rPr>
              <w:t>Competitor</w:t>
            </w:r>
          </w:p>
        </w:tc>
      </w:tr>
      <w:tr>
        <w:trPr>
          <w:trHeight w:val="27"/>
        </w:trPr>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2"/>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Cemiplimab (Phase 2/3)</w:t>
            </w:r>
          </w:p>
        </w:tc>
        <w:tc>
          <w:tcPr>
            <w:tcW w:w="2120" w:type="dxa"/>
            <w:vAlign w:val="bottom"/>
          </w:tcPr>
          <w:p>
            <w:pPr>
              <w:ind w:left="40"/>
              <w:spacing w:after="0"/>
              <w:rPr>
                <w:sz w:val="20"/>
                <w:szCs w:val="20"/>
                <w:color w:val="auto"/>
              </w:rPr>
            </w:pPr>
            <w:r>
              <w:rPr>
                <w:rFonts w:ascii="Arial" w:cs="Arial" w:eastAsia="Arial" w:hAnsi="Arial"/>
                <w:sz w:val="18"/>
                <w:szCs w:val="18"/>
                <w:color w:val="auto"/>
              </w:rPr>
              <w:t>Bristol-Myers Squibb</w:t>
            </w: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Target: PD-1</w:t>
            </w:r>
          </w:p>
        </w:tc>
        <w:tc>
          <w:tcPr>
            <w:tcW w:w="2120" w:type="dxa"/>
            <w:vAlign w:val="bottom"/>
          </w:tcPr>
          <w:p>
            <w:pPr>
              <w:spacing w:after="0"/>
              <w:rPr>
                <w:sz w:val="20"/>
                <w:szCs w:val="20"/>
                <w:color w:val="auto"/>
              </w:rPr>
            </w:pPr>
          </w:p>
        </w:tc>
      </w:tr>
      <w:tr>
        <w:trPr>
          <w:trHeight w:val="378"/>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Merck &amp; Co., Inc.</w:t>
            </w:r>
          </w:p>
        </w:tc>
      </w:tr>
      <w:tr>
        <w:trPr>
          <w:trHeight w:val="621"/>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Pfizer/</w:t>
            </w:r>
          </w:p>
        </w:tc>
      </w:tr>
      <w:tr>
        <w:trPr>
          <w:trHeight w:val="270"/>
        </w:trPr>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Merck</w:t>
            </w:r>
          </w:p>
        </w:tc>
      </w:tr>
      <w:tr>
        <w:trPr>
          <w:trHeight w:val="297"/>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Roche</w:t>
            </w:r>
          </w:p>
        </w:tc>
      </w:tr>
      <w:tr>
        <w:trPr>
          <w:trHeight w:val="594"/>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AstraZeneca</w:t>
            </w:r>
          </w:p>
        </w:tc>
      </w:tr>
      <w:tr>
        <w:trPr>
          <w:trHeight w:val="594"/>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Novartis</w:t>
            </w:r>
          </w:p>
        </w:tc>
      </w:tr>
      <w:tr>
        <w:trPr>
          <w:trHeight w:val="351"/>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Celgene Corporation/</w:t>
            </w:r>
          </w:p>
        </w:tc>
      </w:tr>
      <w:tr>
        <w:trPr>
          <w:trHeight w:val="270"/>
        </w:trPr>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BeiGene Ltd.</w:t>
            </w:r>
          </w:p>
        </w:tc>
      </w:tr>
      <w:tr>
        <w:trPr>
          <w:trHeight w:val="297"/>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Agenus Inc.</w:t>
            </w:r>
          </w:p>
        </w:tc>
      </w:tr>
      <w:tr>
        <w:trPr>
          <w:trHeight w:val="324"/>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w w:val="98"/>
              </w:rPr>
              <w:t>TESARO, Inc./AnaptysBio</w:t>
            </w:r>
          </w:p>
        </w:tc>
      </w:tr>
      <w:tr>
        <w:trPr>
          <w:trHeight w:val="324"/>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Pfizer</w:t>
            </w:r>
          </w:p>
        </w:tc>
      </w:tr>
      <w:tr>
        <w:trPr>
          <w:trHeight w:val="58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Fasinumab (Phase 3)</w:t>
            </w:r>
          </w:p>
        </w:tc>
        <w:tc>
          <w:tcPr>
            <w:tcW w:w="2120" w:type="dxa"/>
            <w:vAlign w:val="bottom"/>
          </w:tcPr>
          <w:p>
            <w:pPr>
              <w:ind w:left="40"/>
              <w:spacing w:after="0"/>
              <w:rPr>
                <w:sz w:val="20"/>
                <w:szCs w:val="20"/>
                <w:color w:val="auto"/>
              </w:rPr>
            </w:pPr>
            <w:r>
              <w:rPr>
                <w:rFonts w:ascii="Arial" w:cs="Arial" w:eastAsia="Arial" w:hAnsi="Arial"/>
                <w:sz w:val="18"/>
                <w:szCs w:val="18"/>
                <w:color w:val="auto"/>
              </w:rPr>
              <w:t>Pfizer/Eli Lilly</w:t>
            </w: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Target: NGF</w:t>
            </w:r>
          </w:p>
        </w:tc>
        <w:tc>
          <w:tcPr>
            <w:tcW w:w="2120" w:type="dxa"/>
            <w:vAlign w:val="bottom"/>
          </w:tcPr>
          <w:p>
            <w:pPr>
              <w:spacing w:after="0"/>
              <w:rPr>
                <w:sz w:val="20"/>
                <w:szCs w:val="20"/>
                <w:color w:val="auto"/>
              </w:rPr>
            </w:pPr>
          </w:p>
        </w:tc>
      </w:tr>
      <w:tr>
        <w:trPr>
          <w:trHeight w:val="28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Evinacumab (Phase 3)</w:t>
            </w:r>
          </w:p>
        </w:tc>
        <w:tc>
          <w:tcPr>
            <w:tcW w:w="2120" w:type="dxa"/>
            <w:vAlign w:val="bottom"/>
          </w:tcPr>
          <w:p>
            <w:pPr>
              <w:ind w:left="40"/>
              <w:spacing w:after="0"/>
              <w:rPr>
                <w:sz w:val="20"/>
                <w:szCs w:val="20"/>
                <w:color w:val="auto"/>
              </w:rPr>
            </w:pPr>
            <w:r>
              <w:rPr>
                <w:rFonts w:ascii="Arial" w:cs="Arial" w:eastAsia="Arial" w:hAnsi="Arial"/>
                <w:sz w:val="18"/>
                <w:szCs w:val="18"/>
                <w:color w:val="auto"/>
              </w:rPr>
              <w:t>Ionis Pharmaceuticals,</w:t>
            </w: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Target: ANGPTL3</w:t>
            </w:r>
          </w:p>
        </w:tc>
        <w:tc>
          <w:tcPr>
            <w:tcW w:w="2120" w:type="dxa"/>
            <w:vAlign w:val="bottom"/>
          </w:tcPr>
          <w:p>
            <w:pPr>
              <w:ind w:left="40"/>
              <w:spacing w:after="0"/>
              <w:rPr>
                <w:sz w:val="20"/>
                <w:szCs w:val="20"/>
                <w:color w:val="auto"/>
              </w:rPr>
            </w:pPr>
            <w:r>
              <w:rPr>
                <w:rFonts w:ascii="Arial" w:cs="Arial" w:eastAsia="Arial" w:hAnsi="Arial"/>
                <w:sz w:val="18"/>
                <w:szCs w:val="18"/>
                <w:color w:val="auto"/>
              </w:rPr>
              <w:t>Inc./Akcea Therapeutics,</w:t>
            </w:r>
          </w:p>
        </w:tc>
      </w:tr>
      <w:tr>
        <w:trPr>
          <w:trHeight w:val="230"/>
        </w:trPr>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Competitor</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Commercial or</w:t>
            </w:r>
          </w:p>
        </w:tc>
        <w:tc>
          <w:tcPr>
            <w:tcW w:w="2220" w:type="dxa"/>
            <w:vAlign w:val="bottom"/>
          </w:tcPr>
          <w:p>
            <w:pPr>
              <w:spacing w:after="0"/>
              <w:rPr>
                <w:sz w:val="18"/>
                <w:szCs w:val="18"/>
                <w:color w:val="auto"/>
              </w:rPr>
            </w:pPr>
          </w:p>
        </w:tc>
      </w:tr>
      <w:tr>
        <w:trPr>
          <w:trHeight w:val="216"/>
        </w:trPr>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Product/Product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Development</w:t>
            </w:r>
          </w:p>
        </w:tc>
        <w:tc>
          <w:tcPr>
            <w:tcW w:w="2220" w:type="dxa"/>
            <w:vAlign w:val="bottom"/>
          </w:tcPr>
          <w:p>
            <w:pPr>
              <w:spacing w:after="0"/>
              <w:rPr>
                <w:sz w:val="18"/>
                <w:szCs w:val="18"/>
                <w:color w:val="auto"/>
              </w:rPr>
            </w:pPr>
          </w:p>
        </w:tc>
      </w:tr>
      <w:tr>
        <w:trPr>
          <w:trHeight w:val="234"/>
        </w:trPr>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Candidate</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2220" w:type="dxa"/>
            <w:vAlign w:val="bottom"/>
          </w:tcPr>
          <w:p>
            <w:pPr>
              <w:ind w:left="860"/>
              <w:spacing w:after="0"/>
              <w:rPr>
                <w:sz w:val="20"/>
                <w:szCs w:val="20"/>
                <w:color w:val="auto"/>
              </w:rPr>
            </w:pPr>
            <w:r>
              <w:rPr>
                <w:rFonts w:ascii="Arial" w:cs="Arial" w:eastAsia="Arial" w:hAnsi="Arial"/>
                <w:sz w:val="18"/>
                <w:szCs w:val="18"/>
                <w:b w:val="1"/>
                <w:bCs w:val="1"/>
                <w:color w:val="auto"/>
              </w:rPr>
              <w:t>Target</w:t>
            </w:r>
          </w:p>
        </w:tc>
      </w:tr>
      <w:tr>
        <w:trPr>
          <w:trHeight w:val="27"/>
        </w:trPr>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303"/>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Opdivo</w:t>
            </w:r>
            <w:r>
              <w:rPr>
                <w:rFonts w:ascii="Arial" w:cs="Arial" w:eastAsia="Arial" w:hAnsi="Arial"/>
                <w:sz w:val="25"/>
                <w:szCs w:val="25"/>
                <w:color w:val="auto"/>
                <w:vertAlign w:val="superscript"/>
              </w:rPr>
              <w:t>®</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PD-1</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(nivolumab)</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Keytruda</w:t>
            </w:r>
            <w:r>
              <w:rPr>
                <w:rFonts w:ascii="Arial" w:cs="Arial" w:eastAsia="Arial" w:hAnsi="Arial"/>
                <w:sz w:val="25"/>
                <w:szCs w:val="25"/>
                <w:color w:val="auto"/>
                <w:vertAlign w:val="superscript"/>
              </w:rPr>
              <w:t>®</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PD-1</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(pembrolizumab)</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Bavencio</w:t>
            </w:r>
            <w:r>
              <w:rPr>
                <w:rFonts w:ascii="Arial" w:cs="Arial" w:eastAsia="Arial" w:hAnsi="Arial"/>
                <w:sz w:val="25"/>
                <w:szCs w:val="25"/>
                <w:color w:val="auto"/>
                <w:vertAlign w:val="superscript"/>
              </w:rPr>
              <w:t>®</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PDL-1</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(avelumab)</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Tecentriq</w:t>
            </w:r>
            <w:r>
              <w:rPr>
                <w:rFonts w:ascii="Arial" w:cs="Arial" w:eastAsia="Arial" w:hAnsi="Arial"/>
                <w:sz w:val="25"/>
                <w:szCs w:val="25"/>
                <w:color w:val="auto"/>
                <w:vertAlign w:val="superscript"/>
              </w:rPr>
              <w:t>®</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PDL-1</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(atezolizumab)</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Imfinzi</w:t>
            </w:r>
            <w:r>
              <w:rPr>
                <w:rFonts w:ascii="Arial" w:cs="Arial" w:eastAsia="Arial" w:hAnsi="Arial"/>
                <w:sz w:val="25"/>
                <w:szCs w:val="25"/>
                <w:color w:val="auto"/>
                <w:vertAlign w:val="superscript"/>
              </w:rPr>
              <w:t>®</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PDL-1</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(durvalumab)</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2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PDR001</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PD-1</w:t>
            </w:r>
          </w:p>
        </w:tc>
      </w:tr>
      <w:tr>
        <w:trPr>
          <w:trHeight w:val="32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BGB-A317</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PD-1</w:t>
            </w:r>
          </w:p>
        </w:tc>
      </w:tr>
      <w:tr>
        <w:trPr>
          <w:trHeight w:val="59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AGEN2034</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 development (Phase 1)</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PD-1</w:t>
            </w:r>
          </w:p>
        </w:tc>
      </w:tr>
      <w:tr>
        <w:trPr>
          <w:trHeight w:val="32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TSR-042</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 development (Phase 1)</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PD-1</w:t>
            </w:r>
          </w:p>
        </w:tc>
      </w:tr>
      <w:tr>
        <w:trPr>
          <w:trHeight w:val="324"/>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PFE-06801591</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 development (Phase 1)</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PD-1</w:t>
            </w:r>
          </w:p>
        </w:tc>
      </w:tr>
      <w:tr>
        <w:trPr>
          <w:trHeight w:val="270"/>
        </w:trPr>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w w:val="95"/>
              </w:rPr>
              <w:t>(Subcutaneous Formulation)</w:t>
            </w:r>
          </w:p>
        </w:tc>
      </w:tr>
      <w:tr>
        <w:trPr>
          <w:trHeight w:val="297"/>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Tanezumab</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2220" w:type="dxa"/>
            <w:vAlign w:val="bottom"/>
          </w:tcPr>
          <w:p>
            <w:pPr>
              <w:ind w:left="20"/>
              <w:spacing w:after="0"/>
              <w:rPr>
                <w:sz w:val="20"/>
                <w:szCs w:val="20"/>
                <w:color w:val="auto"/>
              </w:rPr>
            </w:pPr>
            <w:r>
              <w:rPr>
                <w:rFonts w:ascii="Arial" w:cs="Arial" w:eastAsia="Arial" w:hAnsi="Arial"/>
                <w:sz w:val="18"/>
                <w:szCs w:val="18"/>
                <w:color w:val="auto"/>
              </w:rPr>
              <w:t>Antibody against NGF</w:t>
            </w:r>
          </w:p>
        </w:tc>
      </w:tr>
      <w:tr>
        <w:trPr>
          <w:trHeight w:val="472"/>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AKCEA-ANGPTL3-</w:t>
            </w: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 development (Phase 2)</w:t>
            </w:r>
          </w:p>
        </w:tc>
        <w:tc>
          <w:tcPr>
            <w:tcW w:w="2220" w:type="dxa"/>
            <w:vAlign w:val="bottom"/>
          </w:tcPr>
          <w:p>
            <w:pPr>
              <w:ind w:left="20"/>
              <w:spacing w:after="0"/>
              <w:rPr>
                <w:sz w:val="20"/>
                <w:szCs w:val="20"/>
                <w:color w:val="auto"/>
              </w:rPr>
            </w:pPr>
            <w:r>
              <w:rPr>
                <w:rFonts w:ascii="Arial" w:cs="Arial" w:eastAsia="Arial" w:hAnsi="Arial"/>
                <w:sz w:val="18"/>
                <w:szCs w:val="18"/>
                <w:color w:val="auto"/>
                <w:w w:val="95"/>
              </w:rPr>
              <w:t>Ligand conjugated antisense</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LRx</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drug against ANGPTL3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-3867150</wp:posOffset>
            </wp:positionV>
            <wp:extent cx="705802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8025" cy="38608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-3103880</wp:posOffset>
            </wp:positionV>
            <wp:extent cx="705802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8025" cy="3771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-2348865</wp:posOffset>
            </wp:positionV>
            <wp:extent cx="7058025"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8025" cy="3771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-1765935</wp:posOffset>
            </wp:positionV>
            <wp:extent cx="7058025"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8025" cy="3771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-1183005</wp:posOffset>
            </wp:positionV>
            <wp:extent cx="705802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8025" cy="20574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-599440</wp:posOffset>
            </wp:positionV>
            <wp:extent cx="705802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8025" cy="308610"/>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4620" w:space="120"/>
            <w:col w:w="6680"/>
          </w:cols>
          <w:pgMar w:left="240" w:top="130" w:right="239" w:bottom="1440" w:gutter="0" w:footer="0" w:header="0"/>
          <w:type w:val="continuous"/>
        </w:sectPr>
      </w:pPr>
    </w:p>
    <w:p>
      <w:pPr>
        <w:spacing w:after="0" w:line="110"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 table above is not exhaustive and focuses on antibody competitors. We are also aware of several companies developing or marketing small molecules that may compete with our antibody product candidates in various indications, if such product candidates obtain regulatory approval in those indications.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For additional information regarding our antibody programs and the substantial competition they face, see Part I, Item 1A. "Risk Factors - Risks Related to Commercialization of Products - </w:t>
      </w:r>
      <w:r>
        <w:rPr>
          <w:rFonts w:ascii="Arial" w:cs="Arial" w:eastAsia="Arial" w:hAnsi="Arial"/>
          <w:sz w:val="18"/>
          <w:szCs w:val="18"/>
          <w:i w:val="1"/>
          <w:iCs w:val="1"/>
          <w:color w:val="auto"/>
        </w:rPr>
        <w:t>Our product candidates or new indications for our marketed products, if any are approved for marketing, may face</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Other Areas. </w:t>
      </w:r>
      <w:r>
        <w:rPr>
          <w:rFonts w:ascii="Arial" w:cs="Arial" w:eastAsia="Arial" w:hAnsi="Arial"/>
          <w:sz w:val="18"/>
          <w:szCs w:val="18"/>
          <w:color w:val="auto"/>
        </w:rPr>
        <w:t>Many pharmaceutical and biotechnology companies are attempting to discover new therapeutics for indications in which we invest</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may have established substantial intellectual property and other competitive advantages.</w:t>
      </w:r>
    </w:p>
    <w:p>
      <w:pPr>
        <w:sectPr>
          <w:pgSz w:w="11900" w:h="16838" w:orient="portrait"/>
          <w:cols w:equalWidth="0" w:num="1">
            <w:col w:w="11420"/>
          </w:cols>
          <w:pgMar w:left="240" w:top="130" w:right="239"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manufacturing, and/or commercialization activities by patents or other proprietary rights of others, and could be subject to damage awards if we are found to have infringed such patents or rights</w:t>
      </w:r>
      <w:r>
        <w:rPr>
          <w:rFonts w:ascii="Arial" w:cs="Arial" w:eastAsia="Arial" w:hAnsi="Arial"/>
          <w:sz w:val="18"/>
          <w:szCs w:val="18"/>
          <w:color w:val="auto"/>
        </w:rPr>
        <w:t>"; and Note 17 to our Consolidated Financial Statements). Our policy is to file patent applications to protect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inventions, and improvements that we consider important to our business and operations. We hold an ownership interest in a number of issued patents in the United States and foreign countries with respect to our products and technologies. In addition, we hold an ownership interest in hundreds of patent applications in the United States and foreign countries.</w:t>
      </w:r>
    </w:p>
    <w:p>
      <w:pPr>
        <w:spacing w:after="0" w:line="24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antibodies. Our issued patents covering these technologies generally expire between 2020 and 2030. However, we continue to file patent applications directed to improvements to these technology platforms.</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w:t>
      </w:r>
    </w:p>
    <w:p>
      <w:pPr>
        <w:spacing w:after="0" w:line="23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following table describes our U.S. patents and European patents (EP) that we currently consider of primary importance to our marketed products,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are not separately listed.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General Subject Matter</w:t>
            </w:r>
          </w:p>
        </w:tc>
        <w:tc>
          <w:tcPr>
            <w:tcW w:w="2220" w:type="dxa"/>
            <w:vAlign w:val="bottom"/>
          </w:tcPr>
          <w:p>
            <w:pPr>
              <w:spacing w:after="0"/>
              <w:rPr>
                <w:sz w:val="18"/>
                <w:szCs w:val="18"/>
                <w:color w:val="auto"/>
              </w:rPr>
            </w:pPr>
          </w:p>
        </w:tc>
      </w:tr>
      <w:tr>
        <w:trPr>
          <w:trHeight w:val="234"/>
        </w:trPr>
        <w:tc>
          <w:tcPr>
            <w:tcW w:w="1220" w:type="dxa"/>
            <w:vAlign w:val="bottom"/>
          </w:tcPr>
          <w:p>
            <w:pPr>
              <w:ind w:left="30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20"/>
                <w:szCs w:val="20"/>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Territory</w:t>
            </w:r>
          </w:p>
        </w:tc>
        <w:tc>
          <w:tcPr>
            <w:tcW w:w="10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Patent No.</w:t>
            </w:r>
          </w:p>
        </w:tc>
        <w:tc>
          <w:tcPr>
            <w:tcW w:w="2340" w:type="dxa"/>
            <w:vAlign w:val="bottom"/>
            <w:gridSpan w:val="2"/>
          </w:tcPr>
          <w:p>
            <w:pPr>
              <w:ind w:left="900"/>
              <w:spacing w:after="0"/>
              <w:rPr>
                <w:sz w:val="20"/>
                <w:szCs w:val="20"/>
                <w:color w:val="auto"/>
              </w:rPr>
            </w:pPr>
            <w:r>
              <w:rPr>
                <w:rFonts w:ascii="Arial" w:cs="Arial" w:eastAsia="Arial" w:hAnsi="Arial"/>
                <w:sz w:val="18"/>
                <w:szCs w:val="18"/>
                <w:b w:val="1"/>
                <w:bCs w:val="1"/>
                <w:color w:val="auto"/>
              </w:rPr>
              <w:t>Class</w:t>
            </w:r>
          </w:p>
        </w:tc>
        <w:tc>
          <w:tcPr>
            <w:tcW w:w="2220" w:type="dxa"/>
            <w:vAlign w:val="bottom"/>
          </w:tcPr>
          <w:p>
            <w:pPr>
              <w:ind w:left="700"/>
              <w:spacing w:after="0"/>
              <w:rPr>
                <w:sz w:val="20"/>
                <w:szCs w:val="20"/>
                <w:color w:val="auto"/>
              </w:rPr>
            </w:pPr>
            <w:r>
              <w:rPr>
                <w:rFonts w:ascii="Arial" w:cs="Arial" w:eastAsia="Arial" w:hAnsi="Arial"/>
                <w:sz w:val="18"/>
                <w:szCs w:val="18"/>
                <w:b w:val="1"/>
                <w:bCs w:val="1"/>
                <w:color w:val="auto"/>
              </w:rPr>
              <w:t>Expiration</w:t>
            </w:r>
          </w:p>
        </w:tc>
      </w:tr>
      <w:tr>
        <w:trPr>
          <w:trHeight w:val="27"/>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64"/>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aflibercept</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7,070,959</w:t>
            </w:r>
          </w:p>
        </w:tc>
        <w:tc>
          <w:tcPr>
            <w:tcW w:w="10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June 16, 2023</w:t>
            </w:r>
            <w:r>
              <w:rPr>
                <w:rFonts w:ascii="Arial" w:cs="Arial" w:eastAsia="Arial" w:hAnsi="Arial"/>
                <w:sz w:val="25"/>
                <w:szCs w:val="25"/>
                <w:color w:val="auto"/>
                <w:vertAlign w:val="superscript"/>
              </w:rPr>
              <w:t>*</w:t>
            </w:r>
          </w:p>
        </w:tc>
      </w:tr>
      <w:tr>
        <w:trPr>
          <w:trHeight w:val="243"/>
        </w:trPr>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8,092,803</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21, 2027</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9,254,338</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22, 2032</w:t>
            </w:r>
          </w:p>
        </w:tc>
      </w:tr>
      <w:tr>
        <w:trPr>
          <w:trHeight w:val="297"/>
        </w:trPr>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1183353</w:t>
            </w:r>
          </w:p>
        </w:tc>
        <w:tc>
          <w:tcPr>
            <w:tcW w:w="10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23, 2025</w:t>
            </w:r>
            <w:r>
              <w:rPr>
                <w:rFonts w:ascii="Arial" w:cs="Arial" w:eastAsia="Arial" w:hAnsi="Arial"/>
                <w:sz w:val="25"/>
                <w:szCs w:val="25"/>
                <w:color w:val="auto"/>
                <w:vertAlign w:val="superscript"/>
              </w:rPr>
              <w:t>**</w:t>
            </w:r>
          </w:p>
        </w:tc>
      </w:tr>
      <w:tr>
        <w:trPr>
          <w:trHeight w:val="243"/>
        </w:trPr>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2364691</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r>
      <w:tr>
        <w:trPr>
          <w:trHeight w:val="277"/>
        </w:trPr>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1544299</w:t>
            </w:r>
          </w:p>
        </w:tc>
        <w:tc>
          <w:tcPr>
            <w:tcW w:w="10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23, 2020</w:t>
            </w:r>
          </w:p>
        </w:tc>
      </w:tr>
      <w:tr>
        <w:trPr>
          <w:trHeight w:val="243"/>
        </w:trPr>
        <w:tc>
          <w:tcPr>
            <w:tcW w:w="1220" w:type="dxa"/>
            <w:vAlign w:val="bottom"/>
          </w:tcPr>
          <w:p>
            <w:pPr>
              <w:ind w:left="20"/>
              <w:spacing w:after="0"/>
              <w:rPr>
                <w:sz w:val="20"/>
                <w:szCs w:val="20"/>
                <w:color w:val="auto"/>
              </w:rPr>
            </w:pPr>
            <w:r>
              <w:rPr>
                <w:rFonts w:ascii="Arial" w:cs="Arial" w:eastAsia="Arial" w:hAnsi="Arial"/>
                <w:sz w:val="18"/>
                <w:szCs w:val="18"/>
                <w:color w:val="auto"/>
              </w:rPr>
              <w:t>Dupixent</w:t>
            </w:r>
          </w:p>
        </w:tc>
        <w:tc>
          <w:tcPr>
            <w:tcW w:w="100" w:type="dxa"/>
            <w:vAlign w:val="bottom"/>
          </w:tcPr>
          <w:p>
            <w:pPr>
              <w:spacing w:after="0"/>
              <w:rPr>
                <w:sz w:val="21"/>
                <w:szCs w:val="21"/>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dupilumab</w:t>
            </w:r>
          </w:p>
        </w:tc>
        <w:tc>
          <w:tcPr>
            <w:tcW w:w="100" w:type="dxa"/>
            <w:vAlign w:val="bottom"/>
          </w:tcPr>
          <w:p>
            <w:pPr>
              <w:spacing w:after="0"/>
              <w:rPr>
                <w:sz w:val="21"/>
                <w:szCs w:val="21"/>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7,608,693</w:t>
            </w:r>
          </w:p>
        </w:tc>
        <w:tc>
          <w:tcPr>
            <w:tcW w:w="100" w:type="dxa"/>
            <w:vAlign w:val="bottom"/>
          </w:tcPr>
          <w:p>
            <w:pPr>
              <w:spacing w:after="0"/>
              <w:rPr>
                <w:sz w:val="21"/>
                <w:szCs w:val="21"/>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2, 2027</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8,945,559</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17, 2032</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8,075,887</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April 17, 2028</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8,337,839</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2, 2027</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9,290,574</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July 10, 2034</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9,574,004</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December 22, 2033</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2356151</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27, 2029</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12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Praluent</w:t>
            </w:r>
            <w:r>
              <w:rPr>
                <w:rFonts w:ascii="Arial" w:cs="Arial" w:eastAsia="Arial" w:hAnsi="Arial"/>
                <w:sz w:val="25"/>
                <w:szCs w:val="25"/>
                <w:color w:val="auto"/>
                <w:vertAlign w:val="superscript"/>
              </w:rPr>
              <w:t>***</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alirocumab</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8,062,640</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15, 2029</w:t>
            </w:r>
          </w:p>
        </w:tc>
      </w:tr>
      <w:tr>
        <w:trPr>
          <w:trHeight w:val="243"/>
        </w:trPr>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8,795,669</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27, 2032</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8,357,371</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21, 2029</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9,550,837</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15, 2029</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9,724,411</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2031</w:t>
            </w:r>
          </w:p>
        </w:tc>
      </w:tr>
      <w:tr>
        <w:trPr>
          <w:trHeight w:val="277"/>
        </w:trPr>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2358756</w:t>
            </w:r>
          </w:p>
        </w:tc>
        <w:tc>
          <w:tcPr>
            <w:tcW w:w="10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15, 2029</w:t>
            </w:r>
          </w:p>
        </w:tc>
      </w:tr>
      <w:tr>
        <w:trPr>
          <w:trHeight w:val="243"/>
        </w:trPr>
        <w:tc>
          <w:tcPr>
            <w:tcW w:w="1220" w:type="dxa"/>
            <w:vAlign w:val="bottom"/>
          </w:tcPr>
          <w:p>
            <w:pPr>
              <w:ind w:left="20"/>
              <w:spacing w:after="0"/>
              <w:rPr>
                <w:sz w:val="20"/>
                <w:szCs w:val="20"/>
                <w:color w:val="auto"/>
              </w:rPr>
            </w:pPr>
            <w:r>
              <w:rPr>
                <w:rFonts w:ascii="Arial" w:cs="Arial" w:eastAsia="Arial" w:hAnsi="Arial"/>
                <w:sz w:val="18"/>
                <w:szCs w:val="18"/>
                <w:color w:val="auto"/>
              </w:rPr>
              <w:t>Kevzara</w:t>
            </w:r>
          </w:p>
        </w:tc>
        <w:tc>
          <w:tcPr>
            <w:tcW w:w="100" w:type="dxa"/>
            <w:vAlign w:val="bottom"/>
          </w:tcPr>
          <w:p>
            <w:pPr>
              <w:spacing w:after="0"/>
              <w:rPr>
                <w:sz w:val="21"/>
                <w:szCs w:val="21"/>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sarilumab</w:t>
            </w:r>
          </w:p>
        </w:tc>
        <w:tc>
          <w:tcPr>
            <w:tcW w:w="100" w:type="dxa"/>
            <w:vAlign w:val="bottom"/>
          </w:tcPr>
          <w:p>
            <w:pPr>
              <w:spacing w:after="0"/>
              <w:rPr>
                <w:sz w:val="21"/>
                <w:szCs w:val="21"/>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7,582,298</w:t>
            </w:r>
          </w:p>
        </w:tc>
        <w:tc>
          <w:tcPr>
            <w:tcW w:w="100" w:type="dxa"/>
            <w:vAlign w:val="bottom"/>
          </w:tcPr>
          <w:p>
            <w:pPr>
              <w:spacing w:after="0"/>
              <w:rPr>
                <w:sz w:val="21"/>
                <w:szCs w:val="21"/>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January 4, 2028</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9,173,880</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tcPr>
          <w:p>
            <w:pPr>
              <w:ind w:left="20"/>
              <w:spacing w:after="0"/>
              <w:rPr>
                <w:sz w:val="20"/>
                <w:szCs w:val="20"/>
                <w:color w:val="auto"/>
              </w:rPr>
            </w:pPr>
            <w:r>
              <w:rPr>
                <w:rFonts w:ascii="Arial" w:cs="Arial" w:eastAsia="Arial" w:hAnsi="Arial"/>
                <w:sz w:val="18"/>
                <w:szCs w:val="18"/>
                <w:color w:val="auto"/>
              </w:rPr>
              <w:t>December 6, 2031</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8,080,248</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June 1, 2027</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2041177</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June 1, 2027</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2766039</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10, 2032</w:t>
            </w:r>
          </w:p>
        </w:tc>
      </w:tr>
    </w:tbl>
    <w:p>
      <w:pPr>
        <w:spacing w:after="0" w:line="161" w:lineRule="exact"/>
        <w:rPr>
          <w:sz w:val="20"/>
          <w:szCs w:val="20"/>
          <w:color w:val="auto"/>
        </w:rPr>
      </w:pPr>
    </w:p>
    <w:p>
      <w:pPr>
        <w:ind w:left="660" w:right="940" w:firstLine="10"/>
        <w:spacing w:after="0" w:line="216" w:lineRule="auto"/>
        <w:tabs>
          <w:tab w:leader="none" w:pos="758"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 patent term extension has been granted by the U.S. Patent and Trademark Office, extending the original patent term (May 23, 2020), insofar as it covers EYLEA, to June 16, 2023.</w:t>
      </w:r>
    </w:p>
    <w:p>
      <w:pPr>
        <w:spacing w:after="0" w:line="41" w:lineRule="exact"/>
        <w:rPr>
          <w:sz w:val="20"/>
          <w:szCs w:val="20"/>
          <w:color w:val="auto"/>
        </w:rPr>
      </w:pPr>
    </w:p>
    <w:p>
      <w:pPr>
        <w:ind w:left="660" w:right="800" w:firstLine="10"/>
        <w:spacing w:after="0" w:line="216" w:lineRule="auto"/>
        <w:tabs>
          <w:tab w:leader="none" w:pos="831"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Supplementary protection certificates have been granted in 14 European countries, extending the original patent term (May 23, 2020) in those countries to May 23, 2025, and are pending in nine additional European countries.</w:t>
      </w:r>
    </w:p>
    <w:p>
      <w:pPr>
        <w:spacing w:after="0" w:line="41" w:lineRule="exact"/>
        <w:rPr>
          <w:rFonts w:ascii="Arial" w:cs="Arial" w:eastAsia="Arial" w:hAnsi="Arial"/>
          <w:sz w:val="25"/>
          <w:szCs w:val="25"/>
          <w:color w:val="auto"/>
          <w:vertAlign w:val="superscript"/>
        </w:rPr>
      </w:pPr>
    </w:p>
    <w:p>
      <w:pPr>
        <w:ind w:left="660" w:right="1320" w:firstLine="10"/>
        <w:spacing w:after="0" w:line="227" w:lineRule="auto"/>
        <w:tabs>
          <w:tab w:leader="none" w:pos="894"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See Note 17 to our Consolidated Financial Statements for information regarding the patent infringement proceedings relating to Praluent, which may impact Praluent's commercial availability in the United States and other jurisdictions.</w:t>
      </w:r>
    </w:p>
    <w:p>
      <w:pPr>
        <w:spacing w:after="0" w:line="283"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 xml:space="preserve">In addition,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Arial" w:cs="Arial" w:eastAsia="Arial" w:hAnsi="Arial"/>
          <w:sz w:val="16"/>
          <w:szCs w:val="16"/>
          <w:i w:val="1"/>
          <w:iCs w:val="1"/>
          <w:color w:val="auto"/>
        </w:rPr>
        <w:t>Loss or limitation of patent rights, and new regulatory pathways for biosimilar competition, could reduce the duration of market exclusivity for</w:t>
      </w:r>
      <w:r>
        <w:rPr>
          <w:rFonts w:ascii="Arial" w:cs="Arial" w:eastAsia="Arial" w:hAnsi="Arial"/>
          <w:sz w:val="16"/>
          <w:szCs w:val="16"/>
          <w:color w:val="auto"/>
        </w:rPr>
        <w:t xml:space="preserve"> </w:t>
      </w:r>
      <w:r>
        <w:rPr>
          <w:rFonts w:ascii="Arial" w:cs="Arial" w:eastAsia="Arial" w:hAnsi="Arial"/>
          <w:sz w:val="16"/>
          <w:szCs w:val="16"/>
          <w:i w:val="1"/>
          <w:iCs w:val="1"/>
          <w:color w:val="auto"/>
        </w:rPr>
        <w:t>our products</w:t>
      </w:r>
      <w:r>
        <w:rPr>
          <w:rFonts w:ascii="Arial" w:cs="Arial" w:eastAsia="Arial" w:hAnsi="Arial"/>
          <w:sz w:val="16"/>
          <w:szCs w:val="16"/>
          <w:color w:val="auto"/>
        </w:rPr>
        <w:t>"). The effect of expiration of a patent relating to a particular product also depends upon other factors, such as the nature of the market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21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also are the nonexclusive licensee of a number of additional patents and patent applications. These include fully paid-up and royalty-free licenses to certain patents relating to VEGF receptor proteins, known as the Davis-Smyth patents, and other related technology patents for the prevention or treatment of human eye diseases and eye disorders through administration of EYLEA to the eye.</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ectPr>
          <w:pgSz w:w="11900" w:h="16838" w:orient="portrait"/>
          <w:cols w:equalWidth="0" w:num="1">
            <w:col w:w="11420"/>
          </w:cols>
          <w:pgMar w:left="240" w:top="130"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4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 manufacturing, and/or</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commercialization activities by patents or other proprietary rights of others, and could be subject to damage awards if we are found to have infringed such patents or rights</w:t>
      </w:r>
      <w:r>
        <w:rPr>
          <w:rFonts w:ascii="Arial" w:cs="Arial" w:eastAsia="Arial" w:hAnsi="Arial"/>
          <w:sz w:val="18"/>
          <w:szCs w:val="18"/>
          <w:color w:val="auto"/>
        </w:rPr>
        <w:t>"; and Note 17 to our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Regulation by government authorities in the United States and foreign countries is a significant factor in the research, development, manufacture, and marketing of our products and our product candidates. A summary of regulatory requirements that are relevant to our business is provided below. These include (i) preclinical requirements; (ii) product approval requirements; (iii) post-approval regulation; (iv) pricing and reimbursement requirements; and (v) other applicable requirements. For a description of material regulatory risks we face, please also refer to Part I, Item 1A. "Risk Factors."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Preclinical Requirements</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Preclinical trials must comply with the FDA's Good Laboratory Practices (GLPs) and the U.S. Department of Agriculture's Animal Welfare Act. The results of these studies must be submitted to the FDA as part of an IND, which must be reviewed by the FDA before proposed clinical testing can begin. In other countries, the data are reviewed by regulatory authorities as part of our clinical trial applications. The FDA or other regulatory authorities may ask for additional data in order to begin a clinical study. In addition, based on safety data that emerge from our studies, such regulatory authorities may put a study or an entire clinical development program on hold pending receipt of additional data. These actions by the FDA or other regulatory authorities can result in a delay or termination of a clinical development program.</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Approval</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All of our product candidates will require regulatory approval before they can be commercialized. In particular, human therapeutic products are subject to rigorous preclinical and clinical trials and other pre-market approval requirements by the FDA and foreign authorities. The structure and substance of the FDA and foreign pharmaceutical regulatory practices evolve over time as government priorities change. The ultimate outcome and impact of such developments cannot be predicted.</w:t>
      </w:r>
    </w:p>
    <w:p>
      <w:pPr>
        <w:spacing w:after="0" w:line="24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Typically, clinical testing involves a three-phase process. In Phase 1, trials are typically conducted with a small number of healthy volunteers to determine the early safety profile of the product candidate for treatment of the relevant disease.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If concerns arise about the safety of the product candidate, the FDA can stop clinical trials by placing them on a "clinical hold." The results of the preclinical and clinical testing of a biologic product candidate are then submitted to the FDA in the form of a BLA for evaluation to determine whether the product candidate may be approved for commercial sale under the Public Health Service Act. Under the Prescription Drug User Fee Act, we must pay fees to the FDA for review of any BLA, which can exceed $2 million. In responding to a BLA, the FDA may grant marketing approval, request additional information, or deny the application. Before approving a new drug or biologic product, the FDA also requires that the facilities at which the product will be manufactured or advanced through the supply chain be in compliance with current Good Manufacturing Practices, or cGMP, requirements and regulations governing the manufacture, shipment, and storage of the product. The FDA also can audit the sponsor of the BLA to determine if the clinical studies were conducted in compliance with current Good Clinical Practice, or cGCP, requirements.</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 Approval by a regulatory authority in one jurisdiction does not guarantee approval by comparable regulatory authorities in other jurisdictions.</w:t>
      </w:r>
    </w:p>
    <w:p>
      <w:pPr>
        <w:spacing w:after="0" w:line="24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08"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Post-Approval Regulation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FDA and comparable regulatory authorities in other jurisdictions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risk evaluation and mitigation strategies.</w:t>
      </w:r>
    </w:p>
    <w:p>
      <w:pPr>
        <w:spacing w:after="0" w:line="235"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 xml:space="preserve">Following approval, 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and promotion laws and regulations. See Part I, Item 1A, "Risk Factors - Regulatory and Litigation Risks - </w:t>
      </w:r>
      <w:r>
        <w:rPr>
          <w:rFonts w:ascii="Arial" w:cs="Arial" w:eastAsia="Arial" w:hAnsi="Arial"/>
          <w:sz w:val="17"/>
          <w:szCs w:val="17"/>
          <w:i w:val="1"/>
          <w:iCs w:val="1"/>
          <w:color w:val="auto"/>
        </w:rPr>
        <w:t>If we market and sell</w:t>
      </w:r>
      <w:r>
        <w:rPr>
          <w:rFonts w:ascii="Arial" w:cs="Arial" w:eastAsia="Arial" w:hAnsi="Arial"/>
          <w:sz w:val="17"/>
          <w:szCs w:val="17"/>
          <w:color w:val="auto"/>
        </w:rPr>
        <w:t xml:space="preserve"> </w:t>
      </w:r>
      <w:r>
        <w:rPr>
          <w:rFonts w:ascii="Arial" w:cs="Arial" w:eastAsia="Arial" w:hAnsi="Arial"/>
          <w:sz w:val="17"/>
          <w:szCs w:val="17"/>
          <w:i w:val="1"/>
          <w:iCs w:val="1"/>
          <w:color w:val="auto"/>
        </w:rPr>
        <w:t>approved products in a way that violates federal or state healthcare laws, we may be subject to civil or criminal penalties</w:t>
      </w:r>
      <w:r>
        <w:rPr>
          <w:rFonts w:ascii="Arial" w:cs="Arial" w:eastAsia="Arial" w:hAnsi="Arial"/>
          <w:sz w:val="17"/>
          <w:szCs w:val="17"/>
          <w:color w:val="auto"/>
        </w:rPr>
        <w:t>."</w:t>
      </w:r>
    </w:p>
    <w:p>
      <w:pPr>
        <w:spacing w:after="0" w:line="227"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Adverse-event reporting and submission of periodic reports is required following marketing approval. We may be subject to audits by the FDA and other regulatory authorities to ensure that we are complying with the applicable requirements. In addition, we and our third-party providers are required to maintain compliance with cGMPs,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22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Failure to comply with these laws and regulations may lead the FDA and comparable regulatory authorities in other jurisdictions to take regulatory action, including suspending manufacturing or withdrawing their approval of a product.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Pricing and Reimbursement</w:t>
      </w:r>
    </w:p>
    <w:p>
      <w:pPr>
        <w:spacing w:after="0" w:line="27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 xml:space="preserve">Sales in the United States of our marketed products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Products - </w:t>
      </w:r>
      <w:r>
        <w:rPr>
          <w:rFonts w:ascii="Arial" w:cs="Arial" w:eastAsia="Arial" w:hAnsi="Arial"/>
          <w:sz w:val="16"/>
          <w:szCs w:val="16"/>
          <w:i w:val="1"/>
          <w:iCs w:val="1"/>
          <w:color w:val="auto"/>
        </w:rPr>
        <w:t>The successful commercialization of our marketed products, as well as our late-stage product candidates or new indications for our marketed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w:t>
      </w:r>
    </w:p>
    <w:p>
      <w:pPr>
        <w:spacing w:after="0" w:line="22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Medicaid is a joint federal and state program that is administered by the states for low income and disabled beneficiaries. Under the Medicaid Drug Rebate Program, we are required to pay a rebate for each unit of product reimbursed by the state Medicaid programs. The amount of the rebate is established by law and is adjusted upward if average manufacture price (AMP) increases more than inflation (measured by the Consumer Price Index - Urban). The rebate amount is calculated each quarter based on our report of current AMP and best price for each of our products to CMS. The requirements for calculating AMP and best price are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235"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Medicare is a federal program that is administered by the federal government that covers individuals age 65 and 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(ASP) of the drugs. Manufacturers, including us, are required to provide ASP information to CMS on a quarterly basis. The manufacturer-submitted information is used to calculate Medicare payment rates. If a manufacturer is found to have made a misrepresentation in the reporting of ASP, the governing statute provides for civil monetary penalties. Medicare Part D provides coverage to enrolled Medicare patients for self-administered drugs (</w:t>
      </w:r>
      <w:r>
        <w:rPr>
          <w:rFonts w:ascii="Arial" w:cs="Arial" w:eastAsia="Arial" w:hAnsi="Arial"/>
          <w:sz w:val="17"/>
          <w:szCs w:val="17"/>
          <w:i w:val="1"/>
          <w:iCs w:val="1"/>
          <w:color w:val="auto"/>
        </w:rPr>
        <w:t>i.e.</w:t>
      </w:r>
      <w:r>
        <w:rPr>
          <w:rFonts w:ascii="Arial" w:cs="Arial" w:eastAsia="Arial" w:hAnsi="Arial"/>
          <w:sz w:val="17"/>
          <w:szCs w:val="17"/>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required to provide to CMS a 50% discount on brand name prescription drugs utilized by Medicare Part D beneficiaries when those beneficiaries are in the coverage gap phase of the Part D benefit design.</w:t>
      </w:r>
    </w:p>
    <w:p>
      <w:pPr>
        <w:spacing w:after="0" w:line="234"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Our products are subject to discounted pricing when purchased by federal agencies via the Federal Supply Schedule (FSS). FSS participation is required for our products to be covered and reimbursed by the Veterans Administration (VA), Department of Defense, Coast Guard, and Public Health Service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23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To maintain coverage of our products under the Medicaid Drug Rebate Program and Medicare Part B, we are 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and other entities that receive certain types of grants under the Public Health Service Act.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 340B discount formula is based on AMP and is generally similar to the level of rebates calculated under the Medicaid Drug Rebate Program.</w:t>
      </w:r>
    </w:p>
    <w:p>
      <w:pPr>
        <w:spacing w:after="0" w:line="243"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As a consequence, these payers may not cover or adequately reimburse for use of our products or may do so at levels that disadvantage them relative to competitive products.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Arial" w:cs="Arial" w:eastAsia="Arial" w:hAnsi="Arial"/>
          <w:sz w:val="18"/>
          <w:szCs w:val="18"/>
          <w:i w:val="1"/>
          <w:iCs w:val="1"/>
          <w:color w:val="auto"/>
        </w:rPr>
        <w:t>i.e.</w:t>
      </w:r>
      <w:r>
        <w:rPr>
          <w:rFonts w:ascii="Arial" w:cs="Arial" w:eastAsia="Arial" w:hAnsi="Arial"/>
          <w:sz w:val="18"/>
          <w:szCs w:val="18"/>
          <w:color w:val="auto"/>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Regulatory Requirements</w:t>
      </w:r>
    </w:p>
    <w:p>
      <w:pPr>
        <w:spacing w:after="0" w:line="279"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 xml:space="preserve">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to the federal government, or knowingly making, or causing to be made, a false statement to get a false claim paid. See Part I, Item 1A, "Risk Factors - Regulatory and Litigation Risks - </w:t>
      </w:r>
      <w:r>
        <w:rPr>
          <w:rFonts w:ascii="Arial" w:cs="Arial" w:eastAsia="Arial" w:hAnsi="Arial"/>
          <w:sz w:val="16"/>
          <w:szCs w:val="16"/>
          <w:i w:val="1"/>
          <w:iCs w:val="1"/>
          <w:color w:val="auto"/>
        </w:rPr>
        <w:t>If we market</w:t>
      </w:r>
      <w:r>
        <w:rPr>
          <w:rFonts w:ascii="Arial" w:cs="Arial" w:eastAsia="Arial" w:hAnsi="Arial"/>
          <w:sz w:val="16"/>
          <w:szCs w:val="16"/>
          <w:color w:val="auto"/>
        </w:rPr>
        <w:t xml:space="preserve"> </w:t>
      </w:r>
      <w:r>
        <w:rPr>
          <w:rFonts w:ascii="Arial" w:cs="Arial" w:eastAsia="Arial" w:hAnsi="Arial"/>
          <w:sz w:val="16"/>
          <w:szCs w:val="16"/>
          <w:i w:val="1"/>
          <w:iCs w:val="1"/>
          <w:color w:val="auto"/>
        </w:rPr>
        <w:t>and sell approved products in a way that violates federal or state healthcare laws, we may be subject to civil or criminal penalties</w:t>
      </w:r>
      <w:r>
        <w:rPr>
          <w:rFonts w:ascii="Arial" w:cs="Arial" w:eastAsia="Arial" w:hAnsi="Arial"/>
          <w:sz w:val="16"/>
          <w:szCs w:val="16"/>
          <w:color w:val="auto"/>
        </w:rPr>
        <w:t>."</w:t>
      </w:r>
    </w:p>
    <w:p>
      <w:pPr>
        <w:spacing w:after="0" w:line="21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Our business activities outside of the United States are subject to the Foreign Corrupt Practices Act, or FCPA, and similar anti-bribery or anti-corruption laws, regulations or rules of other countries in which we operate, including the U.K. Bribery Act. See Part I, Item 1A, "Risk Factors - Regulatory and Litigation Risks - </w:t>
      </w:r>
      <w:r>
        <w:rPr>
          <w:rFonts w:ascii="Arial" w:cs="Arial" w:eastAsia="Arial" w:hAnsi="Arial"/>
          <w:sz w:val="18"/>
          <w:szCs w:val="18"/>
          <w:i w:val="1"/>
          <w:iCs w:val="1"/>
          <w:color w:val="auto"/>
        </w:rPr>
        <w:t>Risks from the improper conduct of employees, agents, contractors, or collaborators could adversely affect our reputation and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prospects, operating results, and financial condition</w:t>
      </w:r>
      <w:r>
        <w:rPr>
          <w:rFonts w:ascii="Arial" w:cs="Arial" w:eastAsia="Arial" w:hAnsi="Arial"/>
          <w:sz w:val="18"/>
          <w:szCs w:val="18"/>
          <w:color w:val="auto"/>
        </w:rPr>
        <w:t>."</w:t>
      </w:r>
    </w:p>
    <w:p>
      <w:pPr>
        <w:spacing w:after="0" w:line="24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Numerous federal and state laws, including state security breach notification laws, state health information privacy laws, and federal and state consumer protection laws, govern the collection, use, and disclosure of personal information. In addition, 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 Outside the United States, our clinical trial programs and research collaborations may implicate international data protection laws, including the EU Data Protection Directive and the General Data Protection Regulation (GDPR) that is replacing it. See Part I, Item 1A, "Risk Factors - Regulatory and Litigation Risks - </w:t>
      </w:r>
      <w:r>
        <w:rPr>
          <w:rFonts w:ascii="Arial" w:cs="Arial" w:eastAsia="Arial" w:hAnsi="Arial"/>
          <w:sz w:val="16"/>
          <w:szCs w:val="16"/>
          <w:i w:val="1"/>
          <w:iCs w:val="1"/>
          <w:color w:val="auto"/>
        </w:rPr>
        <w:t>We face potential liability related to the privacy of health information we obtain from clinical trials</w:t>
      </w:r>
      <w:r>
        <w:rPr>
          <w:rFonts w:ascii="Arial" w:cs="Arial" w:eastAsia="Arial" w:hAnsi="Arial"/>
          <w:sz w:val="16"/>
          <w:szCs w:val="16"/>
          <w:color w:val="auto"/>
        </w:rPr>
        <w:t xml:space="preserve"> </w:t>
      </w:r>
      <w:r>
        <w:rPr>
          <w:rFonts w:ascii="Arial" w:cs="Arial" w:eastAsia="Arial" w:hAnsi="Arial"/>
          <w:sz w:val="16"/>
          <w:szCs w:val="16"/>
          <w:i w:val="1"/>
          <w:iCs w:val="1"/>
          <w:color w:val="auto"/>
        </w:rPr>
        <w:t>sponsored by us or our collaborators, from research institutions and our collaborators, and directly from individuals</w:t>
      </w:r>
      <w:r>
        <w:rPr>
          <w:rFonts w:ascii="Arial" w:cs="Arial" w:eastAsia="Arial" w:hAnsi="Arial"/>
          <w:sz w:val="16"/>
          <w:szCs w:val="16"/>
          <w:color w:val="auto"/>
        </w:rPr>
        <w:t>."</w:t>
      </w:r>
    </w:p>
    <w:p>
      <w:pPr>
        <w:spacing w:after="0" w:line="2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foregoing, our present business is, and our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manage our business as one segment which includes all activities related to the discovery, development, and commercialization of medicines for the treatment of serious medical conditions. For financial information related to our one segment, see Part II, Item 6. "Selected Financial Data" and our Consolidated Financial Statements and related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2017, we had approximately 6,200 full-time employees.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ectPr>
          <w:pgSz w:w="11900" w:h="16838" w:orient="portrait"/>
          <w:cols w:equalWidth="0" w:num="1">
            <w:col w:w="11420"/>
          </w:cols>
          <w:pgMar w:left="240" w:top="130"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years ended December 31, 2017 and 2016, EYLEA net sales in the United States represented 63% and 68%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differentiate EYLEA from Lucentis and other competitive products, and the willingness of retinal specialists and patients to switch from Lucentis or off-label use of repackaged Avastin to EYLEA or to start treatment with EYLEA;</w:t>
      </w: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sufficient coverage of, and reimbursement for, EYLEA by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post-approval studies of EYLEA (whether conducted by us or by others and whether mandated by regulatory agencies or voluntary), and studies of other products that could implicate VEGF inhibitors as a class or are perceived to do so;</w:t>
      </w:r>
    </w:p>
    <w:p>
      <w:pPr>
        <w:ind w:left="660" w:right="20" w:hanging="328"/>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in the risk factors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Obtaining and maintaining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 for drug products is costly, time-consuming, and highly uncertain</w:t>
      </w:r>
      <w:r>
        <w:rPr>
          <w:rFonts w:ascii="Arial" w:cs="Arial" w:eastAsia="Arial" w:hAnsi="Arial"/>
          <w:sz w:val="18"/>
          <w:szCs w:val="18"/>
          <w:color w:val="auto"/>
        </w:rPr>
        <w:t>"), EYLEA marketing approval may be withdrawn, which would materially harm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8"/>
          <w:szCs w:val="18"/>
          <w:i w:val="1"/>
          <w:iCs w:val="1"/>
          <w:color w:val="auto"/>
        </w:rPr>
        <w:t>If we fail to meet the stringent requirements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6"/>
          <w:szCs w:val="16"/>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A reduction in the availability or extent of reimbursement from U.S. government programs could have a material adverse effect on the sales of EYLEA. Economic pressure on state budgets may also have a similar impact.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 commercialization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market for eye disease products is very competitive. For example, Novartis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and mCNV. In addition, we are aware of several companies developing biosimilar versions of EYLEA. For example, Momenta Pharmaceuticals (in partnership with Mylan) is developing M710 (currently in a Phase 3 trial in patients with wet AMD). Competitors are also exploring the development of a biosimilar version of Lucentis; in particular, Pfenex is developing PF582 (a Phase 1b/2a trial in patients with wet AMD has been completed), Formycon (in collaboration with Bioeq) is developing FYB201 (currently in a Phase 3 trial in patients with wet AMD), and Samsung Bioepis is developing SB11 (currently in a Phase 3 trial in patients with wet AMD).</w:t>
      </w:r>
    </w:p>
    <w:p>
      <w:pPr>
        <w:spacing w:after="0" w:line="246"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Other competitive or potentially competitive products include Allergan's Ozurdex (approved by the FDA for the treatment of macular edema following RVO and for the treatment of DME) and Alimera Sciences' Iluvien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announced in June 2017 that two Phase 3 studies of RTH258 met their primary endpoint of non-inferiority to EYLEA. Allergan is developing abicipar pegol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Ang2). Genentech/Roche is developing a bi-specific antibody (RG7716) targeting both VEGF and Ang2 for wet AMD and DME (currently in Phase 2 trials for both indications). Products that are being developed for use in combination with EYLEA and/or Lucentis may also pose a competitive threat. Opthea is developing OPT-302, a VEGFR-3 large molecule trap in combination with Lucentis in a Phase 2 trial for wet AMD. Santen (in partnership with TRACON) is developing DE-122, an anti-endoglin antibody in combination with Lucentis in a Phase 2 trial for wet AMD. Small-molecule tyrosine kinase inhibitors that have activity against VEGF may also compete against EYLEA, if approved for wet AMD and/or related conditions. Graybug is developing GB-102, an intravitreally administered depot formulation of the small molecule tyrosine kinase inhibitor, sunitinib, in a Phase 1/2 trial for wet AMD. Tyrogenex is developing X-82, an orally administered small-molecule tyrosine kinase inhibitor, in a Phase 2 trial in combination with an anti-VEGF. Competitors are also developing other eye-drop formulations, devices, oral therapies, and gene/cell therapies for various indications that, if approved, would compete with EYLEA in one or more of its currently approved indications.</w:t>
      </w:r>
    </w:p>
    <w:p>
      <w:pPr>
        <w:spacing w:after="0" w:line="24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addition, ophthalmologists are using off-label, third-party repackaged versions of Genentech/Roche's approved VEGF antagonist, Avastin, for the treatment of wet AMD, DME, and RVO. The relatively low cost of therapy with repackaged Avastin presents a significant competitive challenge in these indications. Avastin is also being evaluated in eye diseases in clinical trials in certain countries. Furthermore, Lucentis and off-label use of repackaged Avastin present significant competitive challenges as doctors and patients have had significant experience using these medicines. The relatively low cost of repackaged Avastin in treating patients may exacerbate the competitive challenge which EYLEA faces in the eye indications for which it is approved. Amgen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wet AMD and other diseases of the eye, which would present a potential low-cost competitive threat to EYLEA for its approved indications. We are aware of claims by third parties, including those based on published clinical data, that ZALTRAP (ziv-aflibercept) may be safely administered to the eye.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also "Risks Related to Commercialization of Products - </w:t>
      </w:r>
      <w:r>
        <w:rPr>
          <w:rFonts w:ascii="Arial" w:cs="Arial" w:eastAsia="Arial" w:hAnsi="Arial"/>
          <w:sz w:val="18"/>
          <w:szCs w:val="18"/>
          <w:i w:val="1"/>
          <w:iCs w:val="1"/>
          <w:color w:val="auto"/>
        </w:rPr>
        <w:t>We may be unsuccessful in continuing the commercialization of our marketed products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 and Part I. Item 1. "Business - Competition" of this report.</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for commercializing EYLEA.</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Under the terms of our license and collaboration agreement with Bayer (which is terminable by Bayer at any time upon six or twelve months' advance notice, depending on the circumstances giving rise to termination),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 additional risks to the successful commercialization of EYLEA, particularly outside the United States. For additional information regarding our collaboration with Bayer, see "Risks Related to Our Reliance on Third Parties - </w:t>
      </w:r>
      <w:r>
        <w:rPr>
          <w:rFonts w:ascii="Arial" w:cs="Arial" w:eastAsia="Arial" w:hAnsi="Arial"/>
          <w:sz w:val="18"/>
          <w:szCs w:val="18"/>
          <w:i w:val="1"/>
          <w:iCs w:val="1"/>
          <w:color w:val="auto"/>
        </w:rPr>
        <w:t>If our collaboration with</w:t>
      </w:r>
      <w:r>
        <w:rPr>
          <w:rFonts w:ascii="Arial" w:cs="Arial" w:eastAsia="Arial" w:hAnsi="Arial"/>
          <w:sz w:val="18"/>
          <w:szCs w:val="18"/>
          <w:color w:val="auto"/>
        </w:rPr>
        <w:t xml:space="preserve"> </w:t>
      </w:r>
      <w:r>
        <w:rPr>
          <w:rFonts w:ascii="Arial" w:cs="Arial" w:eastAsia="Arial" w:hAnsi="Arial"/>
          <w:sz w:val="18"/>
          <w:szCs w:val="18"/>
          <w:i w:val="1"/>
          <w:iCs w:val="1"/>
          <w:color w:val="auto"/>
        </w:rPr>
        <w:t>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8"/>
          <w:szCs w:val="18"/>
          <w:color w:val="auto"/>
        </w:rPr>
        <w:t>" below.</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of EYLEA recorded by us and Bayer could be reduced by imports from countries where EYLEA may be available at lower prices.</w:t>
      </w:r>
    </w:p>
    <w:p>
      <w:pPr>
        <w:spacing w:after="0" w:line="29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jurisdictions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are proposals to legalize the import of pharmaceuticals from outside the United States into the United States. If such proposals were implemented, our future revenues derived from EYLEA sales could be reduced.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Antibody-based Products (Dupixent, Praluent, and Kevzara)</w:t>
      </w:r>
    </w:p>
    <w:p>
      <w:pPr>
        <w:spacing w:after="0" w:line="28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If we or Sanofi are unable to successfully commercialize Dupixent, Praluent, or Kevzara, our business, prospects, operating results, and financial condition may be materially harmed.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the commercial success of Dupixent, Praluent, and Kevzara will depend on many factors, including the following (as applicable):</w:t>
      </w:r>
    </w:p>
    <w:p>
      <w:pPr>
        <w:spacing w:after="0" w:line="156"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these products,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and Sanofi's ability to differentiate these products from competitive products (including, in the case of Dupixent, Pfizer's Xeljanz and Eli Lilly's Olumiant; in the case of Praluent, Amgen's Repatha; and, in the case of Kevzara, Genentech/Roche's Actemra), as well as product candidates currently in clinical development (such as, in the case of Dupixent, the antibody product candidates being developed by Roche, LEO Pharma, AstraZeneca, Galderma, AnaptysBio, and Amgen);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Dupixent (described further in Note 17 to our Consolidated Financial Statements), and other risks relating to Dupixent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outcome of the pending patent infringement proceedings relating to Praluent initiated by Amgen against us and Sanofi (described further in Note 17 to our Consolidated Financial Statements), and other risks relating to Praluent associated with intellectual property of other parties and pending or future litigation relating thereto, as discussed under "Risks Related to Intellectual Property and Market Exclusivity" below;</w:t>
      </w: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sufficient coverage of, and reimbursement for, these products by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payer restrictions on eligible patient populations and the reimbursement process, both in the United States and abroad;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(including, in the case of Praluent, the ODYSSEY OUTCOMES trial prospectively assessing the potential of Praluent to demonstrate cardiovascular benefit), and studies of other products that could implicate an entire class of products or are perceived to do so;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these products;</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these products with parties who perform fill/finish or other steps in the manufacture of these products to ensure that they meet our standards and those of regulatory authorities, including the FDA, which extensively regulate and monitor pharmaceutical manufacturing facilities.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More detailed information about the risks related to the commercialization of Dupixent, Praluent, and Kevzara is provided in the risk factors below.</w:t>
      </w:r>
    </w:p>
    <w:p>
      <w:pPr>
        <w:spacing w:after="0" w:line="29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Dupixent, Praluent, and Kevzara. If we or Sanofi fail to maintain regulatory compliance for Dupixent, Praluent, or Kevzara, the applicable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We and Sanofi are subject to significant ongoing regulatory obligations and oversight with respect to Dupixent, Praluent, and Kevzara for their currently approved indications in the United States, EU, and other countries. If we or Sanofi fail to maintain regulatory compliance for Dupixent, Praluent, or Kevzara for the currently approved indications (including because the product does not meet the relevant endpoints of any required post-approval studies, such as, in the case of Praluent, the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w:t>
      </w:r>
      <w:r>
        <w:rPr>
          <w:rFonts w:ascii="Arial" w:cs="Arial" w:eastAsia="Arial" w:hAnsi="Arial"/>
          <w:sz w:val="17"/>
          <w:szCs w:val="17"/>
          <w:color w:val="auto"/>
        </w:rPr>
        <w:t xml:space="preserve"> </w:t>
      </w:r>
      <w:r>
        <w:rPr>
          <w:rFonts w:ascii="Arial" w:cs="Arial" w:eastAsia="Arial" w:hAnsi="Arial"/>
          <w:sz w:val="17"/>
          <w:szCs w:val="17"/>
          <w:i w:val="1"/>
          <w:iCs w:val="1"/>
          <w:color w:val="auto"/>
        </w:rPr>
        <w:t>and maintaining regulatory approval for drug products is costly, time-consuming, and highly uncertain</w:t>
      </w:r>
      <w:r>
        <w:rPr>
          <w:rFonts w:ascii="Arial" w:cs="Arial" w:eastAsia="Arial" w:hAnsi="Arial"/>
          <w:sz w:val="17"/>
          <w:szCs w:val="17"/>
          <w:color w:val="auto"/>
        </w:rPr>
        <w:t>"), the applicable marketing approval may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w:t>
      </w:r>
      <w:r>
        <w:rPr>
          <w:rFonts w:ascii="Arial" w:cs="Arial" w:eastAsia="Arial" w:hAnsi="Arial"/>
          <w:sz w:val="17"/>
          <w:szCs w:val="17"/>
          <w:color w:val="auto"/>
        </w:rPr>
        <w:t xml:space="preserve"> </w:t>
      </w:r>
      <w:r>
        <w:rPr>
          <w:rFonts w:ascii="Arial" w:cs="Arial" w:eastAsia="Arial" w:hAnsi="Arial"/>
          <w:sz w:val="17"/>
          <w:szCs w:val="17"/>
          <w:i w:val="1"/>
          <w:iCs w:val="1"/>
          <w:color w:val="auto"/>
        </w:rPr>
        <w:t>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23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Dupixent, Praluent, or Kevzara could materially harm our business, prospects, operating results, and financial condition.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Dupixent, Praluent, or Kevzara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w:t>
      </w:r>
      <w:r>
        <w:rPr>
          <w:rFonts w:ascii="Arial" w:cs="Arial" w:eastAsia="Arial" w:hAnsi="Arial"/>
          <w:sz w:val="16"/>
          <w:szCs w:val="16"/>
          <w:color w:val="auto"/>
        </w:rPr>
        <w:t xml:space="preserve"> </w:t>
      </w:r>
      <w:r>
        <w:rPr>
          <w:rFonts w:ascii="Arial" w:cs="Arial" w:eastAsia="Arial" w:hAnsi="Arial"/>
          <w:sz w:val="16"/>
          <w:szCs w:val="16"/>
          <w:i w:val="1"/>
          <w:iCs w:val="1"/>
          <w:color w:val="auto"/>
        </w:rPr>
        <w:t>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Sales of Dupixent, Praluent, and Kevzara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17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in the United States of Dupixent, Praluent, and Kevzara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Dupixent, Praluent, and Kevzara in other countries are dependent, in large part, on similar reimbursement mechanisms and programs in those countries.</w:t>
      </w:r>
    </w:p>
    <w:p>
      <w:pPr>
        <w:spacing w:after="0" w:line="241"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Dupixent, Praluent, and Kevzara. If Dupixent, Praluent, or Kevzara is not included within an adequate number of formularies, adequate reimbursement levels are not provided, the eligible insured patient population for Dupixent, Praluent, or Kevzara is limited, or a key payer refuses to provide reimbursement for Dupixent, Praluent, or Kevzara in a particular jurisdiction altogether, this could have a material adverse effect on our and Sanofi's ability to commercialize the applicable product.</w:t>
      </w:r>
    </w:p>
    <w:p>
      <w:pPr>
        <w:spacing w:after="0" w:line="232"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Dupixent, Praluent, and Kevzara. Since Dupixent, Praluent, and Kevzara are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the applicable product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 marketed products, as well as our late-stage product candidates or new</w:t>
      </w:r>
      <w:r>
        <w:rPr>
          <w:rFonts w:ascii="Arial" w:cs="Arial" w:eastAsia="Arial" w:hAnsi="Arial"/>
          <w:sz w:val="17"/>
          <w:szCs w:val="17"/>
          <w:color w:val="auto"/>
        </w:rPr>
        <w:t xml:space="preserve"> </w:t>
      </w:r>
      <w:r>
        <w:rPr>
          <w:rFonts w:ascii="Arial" w:cs="Arial" w:eastAsia="Arial" w:hAnsi="Arial"/>
          <w:sz w:val="17"/>
          <w:szCs w:val="17"/>
          <w:i w:val="1"/>
          <w:iCs w:val="1"/>
          <w:color w:val="auto"/>
        </w:rPr>
        <w:t>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Dupixent, Praluent, and Kevzara is subject to strong competition.</w:t>
      </w:r>
    </w:p>
    <w:p>
      <w:pPr>
        <w:spacing w:after="0" w:line="27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There is significant actual and potential future competition for Dupixent. A number of companies are developing antibodies that, if approved, may compete with Dupixent in its current or potential future indications, including Roche (in collaboration with Dermira) (an antibody against IL-13); LEO Pharma (in collaboration with AstraZeneca ) (IL-13 antibody tralokinumab being developed in the atopic dermatitis indication); AstraZeneca (antibodies against IL-4R and IL-5R, as well as IL-13 antibody tralokinumab being developed in the asthma indication); Galderma (an antibody against IL-31R); AnaptysBio (an antibody against IL-33); and Amgen (in collaboration with AstraZeneca) (an antibody against thymic stromal lymphopoietin, or TSLP). GSK's Nucala and Teva's Cinqair, both of which are antibodies against IL-5, may also compete with Dupixent in its current or potential future indications. We are also aware of companies developing or marketing small molecules that may compete with Dupixent in its current or potential future indications. These include Pfizer's Eucrisa, a topical ointment that competes with Dupixent in the atopic dermatitis indication; and JAK inhibitors, such as AbbVie's upadacitinib, Pfizer's PF-04965842, and Eli Lilly's Olumiant.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There also is significant actual and potential future competition for Praluent. Amgen's Repatha has already received regulatory approvals in jurisdictions including the U.S., the EU, and Japan. Amgen may obtain marketing approval for Repatha in one or more additional countries before Praluent is approved in those countries. Amgen may also receive approval for additional indications, such as cardiovascular risk reduction, before Praluent. Other companies with development programs for injectables against PCSK9 include Alnylam Pharmaceuticals (in collaboration with The Medicines Company), which has a clinical program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and gemcabene, which is being developed by Gemphire Therapeutics.</w:t>
      </w:r>
    </w:p>
    <w:p>
      <w:pPr>
        <w:spacing w:after="0" w:line="246"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Kevzara also faces competition from actual and potential future products. Genentech/Roche is marketing an antibody against IL-6R (Actemra) for the treatment of rheumatoid arthritis that competes with Kevzara. In addition, several other companies, including Alder Biopharmaceuticals, Inc. (in collaboration with Vitaeris), Ablynx, R-Pharm, CJSC, and Bird Rock Bio have antibodies against IL-6 or IL-6R in clinical development. Further, oral, small-molecule JAK inhibitors such as Pfizer's Xeljanz, Eli Lilly's Olumiant, and AbbVie's upadacitinib may pose a competitive threat for Kevzara.</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Dupixent, Praluent, and Kevzara.</w:t>
      </w:r>
    </w:p>
    <w:p>
      <w:pPr>
        <w:spacing w:after="0" w:line="2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accordance with the terms of our Antibody Collaboration with Sanofi, we have elected to co-promote Dupixent, Kevzara, and Praluent with Sanofi in the United States. As such, we continue to rely in part on Sanofi's sales and marketing organization in the United States. If we and Sanofi fail to coordinate our United States sales and marketing efforts effectively, sales of Dupixent, Praluent, or Kevzara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7"/>
          <w:szCs w:val="17"/>
          <w:i w:val="1"/>
          <w:iCs w:val="1"/>
          <w:color w:val="auto"/>
        </w:rPr>
        <w:t>e.g.</w:t>
      </w:r>
      <w:r>
        <w:rPr>
          <w:rFonts w:ascii="Arial" w:cs="Arial" w:eastAsia="Arial" w:hAnsi="Arial"/>
          <w:sz w:val="17"/>
          <w:szCs w:val="17"/>
          <w:color w:val="auto"/>
        </w:rPr>
        <w:t xml:space="preserve">, is responsible for regulatory filings and negotiations relating to such products and product candidates) in the United States, and may lead negotiations with payors relating to such products and product candidates. We also rely on Sanofi for sales, marketing, and distribution of Dupixent, Praluent, and Kevzara in countries outside the United States. If we or Sanofi are unsuccessful in commercializing Dupixent, Praluent, or Kevzara,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Dupixent, Praluent, and Kevzara. Therefore, termination of our Antibody Collaboration would create substantial new and additional risks to the successful commercialization of Dupixent, Praluent, and Kevzara, particularly outside the United States. For additional information regarding our Antibody Collaboration with Sanofi, see "Risks Related to Our Reliance on Third Parties - </w:t>
      </w:r>
      <w:r>
        <w:rPr>
          <w:rFonts w:ascii="Arial" w:cs="Arial" w:eastAsia="Arial" w:hAnsi="Arial"/>
          <w:sz w:val="17"/>
          <w:szCs w:val="17"/>
          <w:i w:val="1"/>
          <w:iCs w:val="1"/>
          <w:color w:val="auto"/>
        </w:rPr>
        <w:t>If any of our collaborations with Sanofi is terminated, our business, prospects, operating results,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our ability to discover, develop, manufacture, and commercialize our pipeline of product candidates in the time expected, or at all, would be materially harmed</w:t>
      </w:r>
      <w:r>
        <w:rPr>
          <w:rFonts w:ascii="Arial" w:cs="Arial" w:eastAsia="Arial" w:hAnsi="Arial"/>
          <w:sz w:val="17"/>
          <w:szCs w:val="17"/>
          <w:color w:val="auto"/>
        </w:rPr>
        <w:t>" below.</w:t>
      </w:r>
    </w:p>
    <w:p>
      <w:pPr>
        <w:spacing w:after="0" w:line="23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Sales of Dupixent, Praluent, and Kevzara recorded by Sanofi could be reduced by imports from countries where these products may be available at lower prices.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Sales of Dupixent, Praluent, and Kevzara recorded by Sanofi in the United States and other countries (which impact our share of any profits or losses from the commercialization of these products under our Antibody Collaboration with Sanofi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Dupixent, Praluent, and Kevzara outside the United States is the responsibility of Sanofi. Prices for Dupixent, Praluent, and Kevzara in jurisdictions outside the United States are based on local market economics and competition and are likely to differ from country to country. In the United States, prices for pharmaceuticals are generally higher than in the bordering nations of Canada and Mexico and sales of Dupixent, Praluent, and Kevzara in the United States that are recorded by Sanofi may be reduced if the applicable product marketed in those bordering nations is imported into the United States. Parallel-trading practices also are of particular relevance to the EU, where they have been encouraged by the current regulatory framework. These types of imports may exert pressure on the pricing of Dupixent, Praluent, and Kevzara in a particular market or the sales recorded by Sanofi, thereby adversely affecting our results of operations. In addition, there are proposals to legalize the import of pharmaceuticals from outside the United States into the United States. If such proposals were implemented, our future revenues derived from Dupixent, Praluent, or Kevzara sales could be reduced.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example, on October 28, 2016, the FDA issued a Complete Response Letter relating to the BLA for Kevzara, which referred to certain deficiencies identified during a routine cGMP inspection of the Sanofi facility in Le Trait, France where Kevzara is filled and finished; while the BLA for Kevzara has since been approved by the FDA, this delayed the FDA approval of Kevzara. For additional information, see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 products or product</w:t>
      </w:r>
      <w:r>
        <w:rPr>
          <w:rFonts w:ascii="Arial" w:cs="Arial" w:eastAsia="Arial" w:hAnsi="Arial"/>
          <w:sz w:val="16"/>
          <w:szCs w:val="16"/>
          <w:color w:val="auto"/>
        </w:rPr>
        <w:t xml:space="preserve"> </w:t>
      </w:r>
      <w:r>
        <w:rPr>
          <w:rFonts w:ascii="Arial" w:cs="Arial" w:eastAsia="Arial" w:hAnsi="Arial"/>
          <w:sz w:val="16"/>
          <w:szCs w:val="16"/>
          <w:i w:val="1"/>
          <w:iCs w:val="1"/>
          <w:color w:val="auto"/>
        </w:rPr>
        <w:t>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Our business, prospects, operating results,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may be materially harmed as a result of noncompliance with the requirements and regulations described in this paragraph.</w:t>
      </w:r>
    </w:p>
    <w:p>
      <w:pPr>
        <w:spacing w:after="0" w:line="22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Furthermore, some of our product candidates (such as cemiplimab)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With respect to EYLEA,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These and other complications or side effects could harm further development and/or commercialization of aflibercept.</w:t>
      </w:r>
    </w:p>
    <w:p>
      <w:pPr>
        <w:spacing w:after="0" w:line="23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Dupilumab is being studied in additional indications, including atopic dermatitis in adolescent and pediatric patients, asthma in adults and adolescents, nasal polyps, and eosinophilic esophagitis. There is no guarantee that marketing approval of dupilumab in any of these indications will be successfully obtained. The side effects previously reported for dupilumab include hypersensitivity reactions, conjunctivitis and keratitis, injection-site reactions, eye and eyelid inflammation, and cold sores. These and other complications or side effects could harm further development and/or commercialization of dupilumab.</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potential of Praluent to demonstrate cardiovascular benefit is being prospectively assessed in the ODYSSEY OUTCOMES trial. There is no guarantee that Praluent will meet the relevant endpoints of this trial. In addition, there are side effects associated with PCSK9 inhibitor antibodies such as Praluent that may limit our ability to further successfully develop and/or commercialize Praluent, such as new-onset diabetes mellitus, injection-site reactions, hypersensitivity reactions, immunogenicity, demyelination, and changes in neurocognitive function.</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including Dupixent, Praluent, or Kevzara.</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38"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color w:val="auto"/>
        </w:rPr>
        <w:t>Many of our products (including Dupixent, Praluent, and Kevzara) are used and, if approved, some of our product candidates may be used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and our European Patent No. 2,264,163 is, the subject of opposition proceedings in the EPO, as described in Part I, Item 3. "Legal Proceedings" of our Annual Report on Form 10-K for the year ended December 31, 2016 and in Note 17 to our Consolidated Financial Statements included in this report, respectively. We have pending patent applications in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are currently party to patent infringement proceedings initiated by Amgen against us and Sanofi relating to Praluent and patent infringement proceedings relating to Dupixent, as described in Note 17 to our Consolidated Financial Statements. In addition, we are currently party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Note 17 to our Consolidated Financial Statements.</w:t>
      </w:r>
    </w:p>
    <w:p>
      <w:pPr>
        <w:spacing w:after="0" w:line="24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and Kevzara (sarilumab), our late-stage antibody-based pipeline includes fasinumab, an antibody to NGF; cemiplimab, an antibody to PD-1, intended for the treatment of certain cancer indications including advanced CSCC; and evinacumab, an antibody to ANGPTL3. With respect to Dupixent, we are aware of certain patents owned by Immunex Corporation, a wholly owned subsidiary of Amgen. These patents include U.S. Patent No. 8,679,487 (currently subject to the patent infringement proceedings described in Note 17 to our Consolidated Financial Statements) and European Patent No. 2,292,665 (the '665 Patent) and are generally directed to antibodies that bind to IL-4R. On September 30, 2016, Sanofi initiated a revocation proceeding to invalidate the U.K. counterpart of the '665 Patent in the United Kingdom. At the joint request of the parties to the revocation proceeding, the U.K. Patents Court ordered on January 30, 2017 that the revocation action be stayed pending the final determination of the currently pending EPO opposition proceedings initiated by us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(subject to appeal). On September 20, 2017 and September 21, 2017, respectively, we and Sanofi initiated opposition proceedings in the EPO against Immunex's European Patent No. 2,990,420 (the '420 Patent), a divisional patent of the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'665 Patent (</w:t>
      </w:r>
      <w:r>
        <w:rPr>
          <w:rFonts w:ascii="Arial" w:cs="Arial" w:eastAsia="Arial" w:hAnsi="Arial"/>
          <w:sz w:val="16"/>
          <w:szCs w:val="16"/>
          <w:i w:val="1"/>
          <w:iCs w:val="1"/>
          <w:color w:val="auto"/>
        </w:rPr>
        <w:t>i.e.</w:t>
      </w:r>
      <w:r>
        <w:rPr>
          <w:rFonts w:ascii="Arial" w:cs="Arial" w:eastAsia="Arial" w:hAnsi="Arial"/>
          <w:sz w:val="16"/>
          <w:szCs w:val="16"/>
          <w:color w:val="auto"/>
        </w:rPr>
        <w:t>, a patent that shares the same priority date, disclosure, and patent term of the parent '665 Patent but contains claims to a different invention).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original patent term of the Immunex patents is set to expire in 2021.</w:t>
      </w:r>
    </w:p>
    <w:p>
      <w:pPr>
        <w:spacing w:after="0" w:line="26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we do not believe that any of our late-stage antibody-based product candidates infringes any valid claim in these patents or patent applications, these other parties could initiate lawsuits for patent infringement and assert that their patents are valid and cover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and Kevzara and, if approved, our product candidates or other indications for our marketed products,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Dupixent, Praluent, and Kevzara, and (b) our antibody-based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antibody-based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own an approximately 445,000-square-foot facility in Limerick, Ireland, which we purchased and subsequently renovated to expand our manufacturing capacity and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while the Limerick, Ireland facility has received certain manufacturing approvals by regulatory agencies, including the FDA, the facility remains subject to securing certain other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and Kevzara, and could also delay or require us to discontinue one or more of our clinical development programs. As a result, our business, prospects, operating results, and financial condition could be materially harmed.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32"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or Kevzara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have large-scale manufacturing operations in Rensselaer, New York and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even write off such excess inventory, which could adversely affect our operating results.</w:t>
      </w:r>
    </w:p>
    <w:p>
      <w:pPr>
        <w:spacing w:after="0" w:line="23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or the facilities of any other party participating in the supply chain, would adversely affect our ability to supply our products.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currently manufacture all of our bulk drug materials at our manufacturing facilities in Rensselaer, New York and Limerick, Ireland. We would be unable to manufacture these materials if our Rensselaer and Limerick facilities were to cease production due to regulatory requirements or actions, business interruptions, labor shortages or disputes, contaminations, fire, natural disasters, acts of war or terrorism, or other problems.</w:t>
      </w:r>
    </w:p>
    <w:p>
      <w:pPr>
        <w:spacing w:after="0" w:line="22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Dupixent, Praluent, Kevzara,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a description of additional risks relating specifically to the commercialization of EYLEA, Dupixent, Praluent, and Kevzara, see above under "Risks Related to Commercialization of EYLEA" and "Risks Related to Commercialization of Our Antibody-based Products (Dupixent, Praluent, and Kevzara)" (as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Our product candidates or new indications for our marketed products, if any are approved for marketing, may face significant competition.</w:t>
      </w:r>
    </w:p>
    <w:p>
      <w:pPr>
        <w:spacing w:after="0" w:line="29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For cemiplimab, there are several competitors that are marketing or developing antibodies against PD-1 and/or PDL-1, including Bristol-Myers Squibb's Opdivo, Merck's Keytruda, Roche's Tecentriq, AstraZeneca's Imfinzi, Pfizer's Bavencio, Novartis's PDR001, and Celgene/BeiGene's BGB-A317. Competitors to evinacumab include Ionis Pharmaceuticals/Akcea Therapeutics’ AKCEA-ANGPTL3-LRx, a ligand conjugated antisense drug against ANGPTL3. We are also aware of several companies developing or marketing small molecules that may compete with our antibody-based product candidates in various indications, if such product candidates obtain regulatory approval in those indications.</w:t>
      </w:r>
    </w:p>
    <w:p>
      <w:pPr>
        <w:spacing w:after="0" w:line="22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products, we must, among other things, maintain our FDA registration and our National Drug Code, maintain formulary approval by pharmacy benefits managers, and maintain recognition by insurance companies and the Centers for Medicare &amp; Medicaid Services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PPACA and a related reconciliation bill were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products.</w:t>
      </w:r>
    </w:p>
    <w:p>
      <w:pPr>
        <w:spacing w:after="0" w:line="23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year ended December 31, 2017, product sales to three customers accounted on a combined basis for 99%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2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acceptable time frame or at all. These and other difficulties relating to commercializing our products outside the United States may severely harm our business, prospects, operating results, and financial condition.</w:t>
      </w:r>
    </w:p>
    <w:p>
      <w:pPr>
        <w:spacing w:after="0" w:line="22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For additional risks relating to commercialization of EYLEA, Dupixent, Praluent, and Kevzara outside the United States, see also "Risks Related to Commercialization of EYLEA - </w:t>
      </w:r>
      <w:r>
        <w:rPr>
          <w:rFonts w:ascii="Arial" w:cs="Arial" w:eastAsia="Arial" w:hAnsi="Arial"/>
          <w:sz w:val="18"/>
          <w:szCs w:val="18"/>
          <w:i w:val="1"/>
          <w:iCs w:val="1"/>
          <w:color w:val="auto"/>
        </w:rPr>
        <w:t>We rely on our collaboration with Bayer for commercializing EYLEA</w:t>
      </w:r>
      <w:r>
        <w:rPr>
          <w:rFonts w:ascii="Arial" w:cs="Arial" w:eastAsia="Arial" w:hAnsi="Arial"/>
          <w:sz w:val="18"/>
          <w:szCs w:val="18"/>
          <w:color w:val="auto"/>
        </w:rPr>
        <w:t xml:space="preserve">" and "Risks Related to Commercialization of Our Antibody-based Products (Dupixent, Praluent, and Kevzara) - </w:t>
      </w:r>
      <w:r>
        <w:rPr>
          <w:rFonts w:ascii="Arial" w:cs="Arial" w:eastAsia="Arial" w:hAnsi="Arial"/>
          <w:sz w:val="18"/>
          <w:szCs w:val="18"/>
          <w:i w:val="1"/>
          <w:iCs w:val="1"/>
          <w:color w:val="auto"/>
        </w:rPr>
        <w:t>We rely on our Antibody Collaboration with Sanofi for commercializing Dupixent, Praluent,</w:t>
      </w:r>
      <w:r>
        <w:rPr>
          <w:rFonts w:ascii="Arial" w:cs="Arial" w:eastAsia="Arial" w:hAnsi="Arial"/>
          <w:sz w:val="18"/>
          <w:szCs w:val="18"/>
          <w:color w:val="auto"/>
        </w:rPr>
        <w:t xml:space="preserve"> </w:t>
      </w:r>
      <w:r>
        <w:rPr>
          <w:rFonts w:ascii="Arial" w:cs="Arial" w:eastAsia="Arial" w:hAnsi="Arial"/>
          <w:sz w:val="18"/>
          <w:szCs w:val="18"/>
          <w:i w:val="1"/>
          <w:iCs w:val="1"/>
          <w:color w:val="auto"/>
        </w:rPr>
        <w:t>and Kevzara</w:t>
      </w:r>
      <w:r>
        <w:rPr>
          <w:rFonts w:ascii="Arial" w:cs="Arial" w:eastAsia="Arial" w:hAnsi="Arial"/>
          <w:sz w:val="18"/>
          <w:szCs w:val="18"/>
          <w:color w:val="auto"/>
        </w:rPr>
        <w:t>" (as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possible government reimbursement changes, and possible changes in the existing treaty and trade relationships with other countries), as evidenced by statements and recent actions of the current president and certain members of Congress.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example, on June 23, 2016, the United Kingdom held a referendum in which voters approved an exit from the EU, commonly referred to as "Brexit." As a result of the referendum, the British government has begun negotiating the terms of the United 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December 22, 2017, President Trump signed into law H.R.1., "An Act to provide for reconciliation pursuant to titles II and V of the concurrent resolution on the budget for fiscal year 2018" (also known as the "Tax Cuts and Jobs Act") (the Act). Most of the provisions of the Act went into effect on January 1, 2018. The Act includes a number of provisions that are expected to impact our operating results, cash flows, and financial condition, including reducing the U.S. federal corporate tax rate from 35% to 21%, changing the taxation of foreign earnings (including taxation of certain global intangible low-taxed income), allowing for immediate expensing of qualified assets, repealing the deduction for domestic manufacturing, and imposing further limitations on the deductibility of executive compensation.</w:t>
      </w:r>
    </w:p>
    <w:p>
      <w:pPr>
        <w:spacing w:after="0" w:line="2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(such as our consortium with AbbVie, Alnylam Pharmaceuticals, AstraZeneca, Biogen, and Pfizer to fund the generation of genetic exome sequence data from the UK Biobank health resource) may implicate international data protection laws, including the EU Data Protection Directive and the General Data Protection Regulation (GDPR) that is replacing it. Our activities outside the U.S. impose additional compliance requirements and generate additional risks of enforcement for noncompliance,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are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rely heavily on funding from Sanofi to support certain research and development programs, including our immuno-oncology research and development programs. Sanofi has committed to reimburse us for up to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Dupixent, Praluent, Kevzara, and REGN3500, which Sanofi co-develops with us under our Antibody Collaboration, or for products or product candidates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of Dupixent, Praluent, Kevzara, and REGN3500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If Sanofi does not elect to co-develop the product candidates discovered under our IO Collaboration or opts out of their development, unless we enter into a collaboration agreement with another party, we would be required to fund and conduct on our own the clinical trials, regulatory activities, and the ensuing commercialization efforts to support those antibody-based products. For example, under our Antibody Collaboration, Sanofi elected not to continue co-development of fasinumab and trevogrumab, and decided not to opt in to the evinacumab and other programs. In addition, as previously reported, we will now be required to fund all of our antibody discovery activities and the research and preclinical development activities of our drug candidates, as Sanofi’s funding obligations under the Antibody Discovery Agreement have ceased.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If Sanofi terminates the License and Collaboration Agreement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(see also "Risks Related to Commercialization of Products -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we need to establish commercial capabilities outside the United States and are unable to do so, our business, prospects, operating results, and financial condition may be adversely affected</w:t>
      </w:r>
      <w:r>
        <w:rPr>
          <w:rFonts w:ascii="Arial" w:cs="Arial" w:eastAsia="Arial" w:hAnsi="Arial"/>
          <w:sz w:val="16"/>
          <w:szCs w:val="16"/>
          <w:color w:val="auto"/>
        </w:rPr>
        <w:t>" above). Termination of the License and Collaboration Agreement would create substantial new and additional risks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successful development and commercialization of Dupixent, Praluent, and Kevzara, particularly outside the United States.</w:t>
      </w:r>
    </w:p>
    <w:p>
      <w:pPr>
        <w:spacing w:after="0" w:line="22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7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We rely heavily on Bayer to assist with the commercialization of EYLEA outside the United States. We continue to rely on Bayer to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6"/>
          <w:szCs w:val="16"/>
          <w:i w:val="1"/>
          <w:iCs w:val="1"/>
          <w:color w:val="auto"/>
        </w:rPr>
        <w:t>If we need to establish commercial capabilities outside the United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States and are unable to do so, our business, prospects, operating results, and financial condition may be adversely affected</w:t>
      </w:r>
      <w:r>
        <w:rPr>
          <w:rFonts w:ascii="Arial" w:cs="Arial" w:eastAsia="Arial" w:hAnsi="Arial"/>
          <w:sz w:val="16"/>
          <w:szCs w:val="16"/>
          <w:color w:val="auto"/>
        </w:rPr>
        <w:t>" above). 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Bayer collaboration agreement would create substantial new and additional risks to the successful commercialization of EYLEA outside the United States.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Dupixent, Praluent, and Kevzara and, assuming the receipt of required regulatory approvals, other products,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$720.0 million lease financing for our existing corporate headquarters and other rentable area consisting of approximately 170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December 31, 2017, we had $812.7 million in cash and cash equivalents and $2,083.3 million in marketable securities (including $62.8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product sales of our marketed products, in particular EYLEA and Dupixent, as well as our overall operating results;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and Dupixent;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w:t>
      </w:r>
      <w:r>
        <w:rPr>
          <w:rFonts w:ascii="Arial" w:cs="Arial" w:eastAsia="Arial" w:hAnsi="Arial"/>
          <w:sz w:val="17"/>
          <w:szCs w:val="17"/>
          <w:color w:val="auto"/>
        </w:rPr>
        <w:t xml:space="preserve"> </w:t>
      </w:r>
      <w:r>
        <w:rPr>
          <w:rFonts w:ascii="Arial" w:cs="Arial" w:eastAsia="Arial" w:hAnsi="Arial"/>
          <w:sz w:val="17"/>
          <w:szCs w:val="17"/>
          <w:i w:val="1"/>
          <w:iCs w:val="1"/>
          <w:color w:val="auto"/>
        </w:rPr>
        <w:t>our 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(note, however, that we have agreed to grant a limited waiver of the requirement that Sanofi maintain the Highest Percentage Threshold (as defined below) as a condition to its director designation right during the term of the letter agreement with Sanofi described below under "</w:t>
      </w:r>
      <w:r>
        <w:rPr>
          <w:rFonts w:ascii="Arial" w:cs="Arial" w:eastAsia="Arial" w:hAnsi="Arial"/>
          <w:sz w:val="17"/>
          <w:szCs w:val="17"/>
          <w:i w:val="1"/>
          <w:iCs w:val="1"/>
          <w:color w:val="auto"/>
        </w:rPr>
        <w:t>Our existing shareholders may be able</w:t>
      </w:r>
      <w:r>
        <w:rPr>
          <w:rFonts w:ascii="Arial" w:cs="Arial" w:eastAsia="Arial" w:hAnsi="Arial"/>
          <w:sz w:val="17"/>
          <w:szCs w:val="17"/>
          <w:color w:val="auto"/>
        </w:rPr>
        <w:t xml:space="preserve"> </w:t>
      </w:r>
      <w:r>
        <w:rPr>
          <w:rFonts w:ascii="Arial" w:cs="Arial" w:eastAsia="Arial" w:hAnsi="Arial"/>
          <w:sz w:val="17"/>
          <w:szCs w:val="17"/>
          <w:i w:val="1"/>
          <w:iCs w:val="1"/>
          <w:color w:val="auto"/>
        </w:rPr>
        <w:t>to exert significant influence over matters requiring shareholder approval and over our management</w:t>
      </w:r>
      <w:r>
        <w:rPr>
          <w:rFonts w:ascii="Arial" w:cs="Arial" w:eastAsia="Arial" w:hAnsi="Arial"/>
          <w:sz w:val="17"/>
          <w:szCs w:val="17"/>
          <w:color w:val="auto"/>
        </w:rPr>
        <w:t>"). As a result, the public float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December 31, 2017, our five largest shareholders plus Dr. Schleifer, our Chief Executive Officer, beneficially owned approximately 47.2% of our outstanding shares of Common Stock, assuming, in the case of our Chief Executive Officer, the conversion of his Class A Stock into Common Stock and the exercise of all options held by him which are exercisable within 60 days of December 31, 2017. As of December 31, 2017, Sanofi beneficially owned 23,880,537 shares of our Common Stock, representing approximately 22.6%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1,400,000 shares, as to which we have agreed to waive the lock-up during the term of the letter agreement with Sanofi described below under "</w:t>
      </w:r>
      <w:r>
        <w:rPr>
          <w:rFonts w:ascii="Arial" w:cs="Arial" w:eastAsia="Arial" w:hAnsi="Arial"/>
          <w:sz w:val="16"/>
          <w:szCs w:val="16"/>
          <w:i w:val="1"/>
          <w:iCs w:val="1"/>
          <w:color w:val="auto"/>
        </w:rPr>
        <w:t>Our existing shareholders may be able to exert significant influence over matters requiring shareholder</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and over our management</w:t>
      </w:r>
      <w:r>
        <w:rPr>
          <w:rFonts w:ascii="Arial" w:cs="Arial" w:eastAsia="Arial" w:hAnsi="Arial"/>
          <w:sz w:val="16"/>
          <w:szCs w:val="16"/>
          <w:color w:val="auto"/>
        </w:rPr>
        <w:t>"). These restrictions on dispositions are subject to earlier termination upon the occurrence of certain events, such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a 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2017, holders of Class A Stock held 15.3%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2017:</w:t>
      </w:r>
    </w:p>
    <w:p>
      <w:pPr>
        <w:spacing w:after="0" w:line="232" w:lineRule="exact"/>
        <w:rPr>
          <w:sz w:val="20"/>
          <w:szCs w:val="20"/>
          <w:color w:val="auto"/>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10.4% of our outstanding shares of Common Stock, assuming conversion of their Class A Stock into Common Stock and the exercise of all options held by such persons which are exercisable within 60 days of December 31, 2017, and 21.5% of the combined voting power of our outstanding shares of Common Stock and Class A Stock, assuming the exercise of all options held by such persons which are exercisable within 60 days of December 31, 2017;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47.2% of our outstanding shares of Common Stock, assuming, in the case of our Chief Executive Officer, the conversion of his Class A Stock into Common Stock and the exercise of all options held by him which are exercisable within 60 days of December 31, 2017. In addition, these five shareholders plus our Chief Executive Officer held approximately 53.0% of the combined voting power of our outstanding shares of Common Stock and Class A Stock, assuming the exercise of all options held by our Chief Executive Officer which are exercisable within 60 days of December 31, 2017.</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10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Effective January 7, 2018, we and Sanofi and certain of Sanofi's direct and indirect subsidiaries entered into a letter agreement in connection with (a) the increase of the development budget amount for cemiplimab set forth in the IO License and Collaboration Agreement and (b) the allocation of additional funds to certain proposed activities relating to the development of dupilumab and REGN3500 and non-approval trials of dupilumab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cemiplimab development costs under the IO License and Collaboration Agreement for the quarterly periods commencing on October 1, 2017 and ending on September 30, 2020 by selling up to 800,000 shares of our Common Stock directly or indirectly owned by Sanofi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04"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providing for a change of control involving us; (iv) 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2016 ANG2 license and collaboration agreement with Bayer,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5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 Sanofi designee currently serves on our board of directors.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A summary of our significant owned and leased properties is provided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At our Tarrytown, New York location, we lease approximately 1,467,000 square feet of laboratory and office space, of which approximately 1,180,000 square feet is occupied by Regeneron. Refer to Part II, Item 7.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for further details. We also own an approximate 100-acre parcel of undeveloped land adjacent to our Tarrytown, New York location; we intend to develop this property to accommodate and support our growth, primarily in connection with expanding our existing research and development and office space.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Sleepy Hollow, New York</w:t>
      </w:r>
    </w:p>
    <w:p>
      <w:pPr>
        <w:spacing w:after="0" w:line="2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We own an office building in Sleepy Hollow, New York, consisting of approximately 383,000 square feet, which is partially occupied by Regeneron. We intend to occupy the entire building and use it as additional office space to support the growth of our existing Tarrytown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Rensselaer, New York</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own facilities in Rensselaer, New York totaling approximately 565,000 square feet of research, manufacturing, office, and warehouse space. We also lease approximately 75,000 square feet of additional laboratory and office space. We also own approximately 130 acres of land near our Rensselaer, New York location, and began to develop this property in connection with expanding our existing manufacturing and warehouse space.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Troy, New York</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own an office building in Troy, New York, consisting of approximately 217,000 square feet, which we are utilizing as additional office space to support the growth of our existing Rensselaer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Limerick, Ireland</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own a manufacturing facility in Limerick Ireland, consisting of approximately 445,000 square feet, which was purchased and subsequently renovated to accommodate and support our growth and expand our manufacturing capacity. The facility has received certain manufacturing approvals by regulatory agencies, including the FDA, and is in the process of further validation for the manufacture of our bulk drug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17 to our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820" w:right="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our Common Stock as reported by The NASDAQ Global Select Market:</w:t>
      </w:r>
    </w:p>
    <w:p>
      <w:pPr>
        <w:spacing w:after="0" w:line="247"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Low</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340.09</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426.47</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353.14</w:t>
            </w:r>
          </w:p>
        </w:tc>
      </w:tr>
      <w:tr>
        <w:trPr>
          <w:trHeight w:val="324"/>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348.96</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329.09</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348.43</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325.35</w:t>
            </w:r>
          </w:p>
        </w:tc>
      </w:tr>
      <w:tr>
        <w:trPr>
          <w:trHeight w:val="27"/>
        </w:trPr>
        <w:tc>
          <w:tcPr>
            <w:tcW w:w="6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1, 2018, there were 177 shareholders of record of our Common Stock and 17 shareholders of record of our Class A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Set forth below is a line graph comparing the cumulative total shareholder return on Regeneron's Common Stock with the cumulative total return of (i) The NQ US Benchmark Pharma TR Index, and (ii) Standard &amp; Poor's 500 Stock Index (S&amp;P 500) for the period from December 31, 2012 through December 31, 2017. The comparison assumes that $100 was invested on December 31, 2012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153035</wp:posOffset>
            </wp:positionV>
            <wp:extent cx="5848985" cy="3430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12/31/2017</w:t>
            </w: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Regeneron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219.77</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187.47</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NQ US Pharma TR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207.54</w:t>
            </w:r>
          </w:p>
        </w:tc>
      </w:tr>
      <w:tr>
        <w:trPr>
          <w:trHeight w:val="27"/>
        </w:trPr>
        <w:tc>
          <w:tcPr>
            <w:tcW w:w="3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one of our long-term incentive plans in the fourth quarter of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(or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Units)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Part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Shares (or Units)</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Publicly</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(or</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Announced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Purchased Under</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Units)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Paid per Share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 or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(or Unit)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Programs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10/1/2017-10/31/2017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43"/>
        </w:trPr>
        <w:tc>
          <w:tcPr>
            <w:tcW w:w="2100" w:type="dxa"/>
            <w:vAlign w:val="bottom"/>
          </w:tcPr>
          <w:p>
            <w:pPr>
              <w:jc w:val="center"/>
              <w:spacing w:after="0"/>
              <w:rPr>
                <w:sz w:val="20"/>
                <w:szCs w:val="20"/>
                <w:color w:val="auto"/>
              </w:rPr>
            </w:pPr>
            <w:r>
              <w:rPr>
                <w:rFonts w:ascii="Arial" w:cs="Arial" w:eastAsia="Arial" w:hAnsi="Arial"/>
                <w:sz w:val="18"/>
                <w:szCs w:val="18"/>
                <w:color w:val="auto"/>
                <w:w w:val="90"/>
              </w:rPr>
              <w:t>11/1/2017-11/30/2017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405.27</w:t>
            </w:r>
          </w:p>
        </w:tc>
        <w:tc>
          <w:tcPr>
            <w:tcW w:w="10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27"/>
        </w:trPr>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12/1/2017-12/31/2017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37"/>
        </w:trPr>
        <w:tc>
          <w:tcPr>
            <w:tcW w:w="22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386.97</w:t>
            </w:r>
          </w:p>
        </w:tc>
        <w:tc>
          <w:tcPr>
            <w:tcW w:w="100" w:type="dxa"/>
            <w:vAlign w:val="bottom"/>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0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r>
      <w:tr>
        <w:trPr>
          <w:trHeight w:val="810"/>
        </w:trPr>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219"/>
          </w:cols>
          <w:pgMar w:left="240" w:top="130" w:right="1440"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selected financial data set forth below for the years ended December 31, 2017, 2016, and 2015 and as of December 31, 2017 and 2016 are derived from and should be read in conjunction with our audited financial statements, including the notes thereto, included elsewhere in this report. The selected financial data for the years ended December 31, 2014 and 2013 and as of December 31, 2015, 2014, and 2013 are derived from our audited financial statements not included in this report. Certain prior year amounts have been reclassified to conform to the current year's presentation.</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2,689,478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1,750,762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1,425,839</w:t>
            </w:r>
          </w:p>
        </w:tc>
      </w:tr>
      <w:tr>
        <w:trPr>
          <w:trHeight w:val="243"/>
        </w:trPr>
        <w:tc>
          <w:tcPr>
            <w:tcW w:w="4480" w:type="dxa"/>
            <w:vAlign w:val="bottom"/>
          </w:tcPr>
          <w:p>
            <w:pPr>
              <w:ind w:left="160"/>
              <w:spacing w:after="0"/>
              <w:rPr>
                <w:sz w:val="20"/>
                <w:szCs w:val="20"/>
                <w:color w:val="auto"/>
              </w:rPr>
            </w:pPr>
            <w:r>
              <w:rPr>
                <w:rFonts w:ascii="Arial" w:cs="Arial" w:eastAsia="Arial" w:hAnsi="Arial"/>
                <w:sz w:val="18"/>
                <w:szCs w:val="18"/>
                <w:color w:val="auto"/>
              </w:rPr>
              <w:t>Sanofi and Bayer collaboration revenue</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1,815,245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1,402,935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1,339,361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1,036,854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650,400</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28,506</w:t>
            </w:r>
          </w:p>
        </w:tc>
      </w:tr>
      <w:tr>
        <w:trPr>
          <w:trHeight w:val="237"/>
        </w:trPr>
        <w:tc>
          <w:tcPr>
            <w:tcW w:w="4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5,872,227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4,860,427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4,103,728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2,819,557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2,104,745</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2,075,142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2,052,295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1,620,577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1,271,353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859,947</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1,177,697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346,393</w:t>
            </w:r>
          </w:p>
        </w:tc>
      </w:tr>
      <w:tr>
        <w:trPr>
          <w:trHeight w:val="243"/>
        </w:trPr>
        <w:tc>
          <w:tcPr>
            <w:tcW w:w="44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202,507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194,624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118,048</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and contract manufacturing</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37,307</w:t>
            </w:r>
          </w:p>
        </w:tc>
      </w:tr>
      <w:tr>
        <w:trPr>
          <w:trHeight w:val="237"/>
        </w:trPr>
        <w:tc>
          <w:tcPr>
            <w:tcW w:w="4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3,792,636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3,529,686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2,851,812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1,995,638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1,361,695</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9"/>
        </w:trPr>
        <w:tc>
          <w:tcPr>
            <w:tcW w:w="4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2,079,591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1,330,741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1,251,916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823,919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743,050</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4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(46,668)</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9"/>
        </w:trPr>
        <w:tc>
          <w:tcPr>
            <w:tcW w:w="4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2,078,511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1,329,815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1,225,097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761,235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696,382</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4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70"/>
        </w:trPr>
        <w:tc>
          <w:tcPr>
            <w:tcW w:w="44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(880,000)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(434,293)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(589,041)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(423,109)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(282,644)</w:t>
            </w:r>
          </w:p>
        </w:tc>
      </w:tr>
      <w:tr>
        <w:trPr>
          <w:trHeight w:val="183"/>
        </w:trPr>
        <w:tc>
          <w:tcPr>
            <w:tcW w:w="4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30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1,198,511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895,522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636,056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338,126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413,738</w:t>
            </w:r>
          </w:p>
        </w:tc>
      </w:tr>
      <w:tr>
        <w:trPr>
          <w:trHeight w:val="163"/>
        </w:trPr>
        <w:tc>
          <w:tcPr>
            <w:tcW w:w="4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4.23</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r>
      <w:tr>
        <w:trPr>
          <w:trHeight w:val="27"/>
        </w:trPr>
        <w:tc>
          <w:tcPr>
            <w:tcW w:w="4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90"/>
              </w:rPr>
              <w:t>As of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w w:val="94"/>
              </w:rPr>
              <w:t>Cash, cash equivalents, and marketable securities (current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and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2,896,074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1,902,944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1,677,385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1,360,634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1,083,875</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8,764,286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6,973,466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5,609,132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3,837,672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2,950,130</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Convertible senior notes (current and non-current)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146,773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320,315</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and facility lease obligations (current and non-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703,453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481,126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364,708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312,291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185,323</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6,144,078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4,449,245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3,654,837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2,550,251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1,964,716</w:t>
            </w:r>
          </w:p>
        </w:tc>
      </w:tr>
    </w:tbl>
    <w:p>
      <w:pPr>
        <w:spacing w:after="0" w:line="148" w:lineRule="exact"/>
        <w:rPr>
          <w:sz w:val="20"/>
          <w:szCs w:val="20"/>
          <w:color w:val="auto"/>
        </w:rPr>
      </w:pPr>
    </w:p>
    <w:p>
      <w:pPr>
        <w:jc w:val="both"/>
        <w:ind w:left="580" w:hanging="167"/>
        <w:spacing w:after="0" w:line="232" w:lineRule="auto"/>
        <w:tabs>
          <w:tab w:leader="none" w:pos="621"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 xml:space="preserve">As a result of the Tax Cuts and Jobs Act being signed into law in December 2017, income taxes for the year ended December 31, 2017 included a charge of $326.2 million related to the re-measurement of our U.S. net deferred tax assets at the lower enacted corporate tax rate. Refer to Item 7. "Management's Discussion and Analysis of Financial Condition and Results of Operations - Results of Operations - </w:t>
      </w:r>
      <w:r>
        <w:rPr>
          <w:rFonts w:ascii="Arial" w:cs="Arial" w:eastAsia="Arial" w:hAnsi="Arial"/>
          <w:sz w:val="18"/>
          <w:szCs w:val="18"/>
          <w:i w:val="1"/>
          <w:iCs w:val="1"/>
          <w:color w:val="auto"/>
        </w:rPr>
        <w:t>Income Taxes</w:t>
      </w:r>
      <w:r>
        <w:rPr>
          <w:rFonts w:ascii="Arial" w:cs="Arial" w:eastAsia="Arial" w:hAnsi="Arial"/>
          <w:sz w:val="18"/>
          <w:szCs w:val="18"/>
          <w:color w:val="auto"/>
        </w:rPr>
        <w:t>" below for further details.</w:t>
      </w:r>
    </w:p>
    <w:p>
      <w:pPr>
        <w:sectPr>
          <w:pgSz w:w="11900" w:h="16838" w:orient="portrait"/>
          <w:cols w:equalWidth="0" w:num="1">
            <w:col w:w="11420"/>
          </w:cols>
          <w:pgMar w:left="240" w:top="13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related notes included elsewhere in this report.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a fully integrated biotechnology company that discovers, invents, develops, manufactures, and commercializes medicines for the treatment of serious diseases. Our commercialized medicines and product candidates in development are designed to help patients with eye disease, allergic and inflammatory diseases, heart disease, pain, cancer, and infectious and other serious medical conditions.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described in Part I, Item 1. "Business - General," and "Business - Marketed Products," we currently have six products that have received marketing approval: EYLEA (aflibercept) Injection, Dupixent (dupilumab) Injection, Praluent (alirocumab) Injection, Kevzara (sarilumab) Solution for Subcutaneous Injection, ARCALYST (rilonacept) Injection for Subcutaneous Use, and ZALTRAP (ziv-aflibercept) Injection for Intravenous Infusion. We also have 15 product candidates in clinical development, all of which were discovered in our research laboratories. These consist of a Trap-based clinical program and 14 fully human antibody product candidates, as summarized in Part I, Item 1. "Business - General."</w:t>
      </w:r>
    </w:p>
    <w:p>
      <w:pPr>
        <w:spacing w:after="0" w:line="24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2017 and 2018 to date were, and plans for the remainder of 2018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2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Arial" w:cs="Arial" w:eastAsia="Arial" w:hAnsi="Arial"/>
                <w:sz w:val="18"/>
                <w:szCs w:val="18"/>
                <w:b w:val="1"/>
                <w:bCs w:val="1"/>
                <w:color w:val="auto"/>
              </w:rPr>
              <w:t>2017 and 2018 Events to Date</w:t>
            </w:r>
          </w:p>
        </w:tc>
        <w:tc>
          <w:tcPr>
            <w:tcW w:w="240" w:type="dxa"/>
            <w:vAlign w:val="bottom"/>
          </w:tcPr>
          <w:p>
            <w:pPr>
              <w:spacing w:after="0"/>
              <w:rPr>
                <w:sz w:val="24"/>
                <w:szCs w:val="24"/>
                <w:color w:val="auto"/>
              </w:rPr>
            </w:pPr>
          </w:p>
        </w:tc>
        <w:tc>
          <w:tcPr>
            <w:tcW w:w="3820" w:type="dxa"/>
            <w:vAlign w:val="bottom"/>
          </w:tcPr>
          <w:p>
            <w:pPr>
              <w:ind w:left="1480"/>
              <w:spacing w:after="0"/>
              <w:rPr>
                <w:sz w:val="20"/>
                <w:szCs w:val="20"/>
                <w:color w:val="auto"/>
              </w:rPr>
            </w:pPr>
            <w:r>
              <w:rPr>
                <w:rFonts w:ascii="Arial" w:cs="Arial" w:eastAsia="Arial" w:hAnsi="Arial"/>
                <w:sz w:val="18"/>
                <w:szCs w:val="18"/>
                <w:b w:val="1"/>
                <w:bCs w:val="1"/>
                <w:color w:val="auto"/>
              </w:rPr>
              <w:t>2018 Plans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EYLEA</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Bayer received regulatory approval for EYLEA for</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FDA decision on sBLA for every 12-week dosing</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various indications and continued to pursue</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interval in wet AMD</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regulatory applications for marketing approval in</w:t>
            </w: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Submit sBLA for pre-filled syringe</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additional countries</w:t>
            </w:r>
          </w:p>
        </w:tc>
        <w:tc>
          <w:tcPr>
            <w:tcW w:w="240" w:type="dxa"/>
            <w:vAlign w:val="bottom"/>
            <w:vMerge w:val="continue"/>
            <w:shd w:val="clear" w:color="auto" w:fill="CCEEFF"/>
          </w:tcPr>
          <w:p>
            <w:pPr>
              <w:spacing w:after="0"/>
              <w:rPr>
                <w:sz w:val="14"/>
                <w:szCs w:val="14"/>
                <w:color w:val="auto"/>
              </w:rPr>
            </w:pPr>
          </w:p>
        </w:tc>
        <w:tc>
          <w:tcPr>
            <w:tcW w:w="3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CCEEFF"/>
          </w:tcPr>
          <w:p>
            <w:pPr>
              <w:spacing w:after="0"/>
              <w:rPr>
                <w:sz w:val="5"/>
                <w:szCs w:val="5"/>
                <w:color w:val="auto"/>
              </w:rPr>
            </w:pPr>
          </w:p>
        </w:tc>
        <w:tc>
          <w:tcPr>
            <w:tcW w:w="22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Completed patient enrollment in Phase 3 study for</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Bayer to submit for additional regulatory approvals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treatment of NPDR in patients without DME</w:t>
            </w: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outside the United States for various indications</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sBLA for every 12-week dosing interval in wet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agency decisions on applications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AMD filed with FDA, with a target action date of</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outside the United States for various indications,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11, 2018</w:t>
            </w: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including wet AMD and DME in China</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Report data from Phase 3 PANORAMA study for</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the treatment of NPDR in patients without DME,</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submit sBLA</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4160" w:type="dxa"/>
            <w:vAlign w:val="bottom"/>
          </w:tcPr>
          <w:p>
            <w:pPr>
              <w:spacing w:after="0"/>
              <w:rPr>
                <w:sz w:val="17"/>
                <w:szCs w:val="17"/>
                <w:color w:val="auto"/>
              </w:rPr>
            </w:pPr>
          </w:p>
        </w:tc>
      </w:tr>
      <w:tr>
        <w:trPr>
          <w:trHeight w:val="345"/>
        </w:trPr>
        <w:tc>
          <w:tcPr>
            <w:tcW w:w="4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460" w:type="dxa"/>
            <w:vAlign w:val="bottom"/>
          </w:tcPr>
          <w:p>
            <w:pPr>
              <w:ind w:left="1520"/>
              <w:spacing w:after="0"/>
              <w:rPr>
                <w:sz w:val="20"/>
                <w:szCs w:val="20"/>
                <w:color w:val="auto"/>
              </w:rPr>
            </w:pPr>
            <w:r>
              <w:rPr>
                <w:rFonts w:ascii="Arial" w:cs="Arial" w:eastAsia="Arial" w:hAnsi="Arial"/>
                <w:sz w:val="18"/>
                <w:szCs w:val="18"/>
                <w:b w:val="1"/>
                <w:bCs w:val="1"/>
                <w:color w:val="auto"/>
              </w:rPr>
              <w:t>2017 and 2018 Events to Date</w:t>
            </w:r>
          </w:p>
        </w:tc>
        <w:tc>
          <w:tcPr>
            <w:tcW w:w="4160" w:type="dxa"/>
            <w:vAlign w:val="bottom"/>
          </w:tcPr>
          <w:p>
            <w:pPr>
              <w:ind w:left="1860"/>
              <w:spacing w:after="0"/>
              <w:rPr>
                <w:sz w:val="20"/>
                <w:szCs w:val="20"/>
                <w:color w:val="auto"/>
              </w:rPr>
            </w:pPr>
            <w:r>
              <w:rPr>
                <w:rFonts w:ascii="Arial" w:cs="Arial" w:eastAsia="Arial" w:hAnsi="Arial"/>
                <w:sz w:val="18"/>
                <w:szCs w:val="18"/>
                <w:b w:val="1"/>
                <w:bCs w:val="1"/>
                <w:color w:val="auto"/>
              </w:rPr>
              <w:t>2018 Plans</w:t>
            </w:r>
          </w:p>
        </w:tc>
      </w:tr>
      <w:tr>
        <w:trPr>
          <w:trHeight w:val="27"/>
        </w:trPr>
        <w:tc>
          <w:tcPr>
            <w:tcW w:w="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22"/>
        </w:trPr>
        <w:tc>
          <w:tcPr>
            <w:tcW w:w="7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3"/>
              </w:rPr>
              <w:t xml:space="preserve">Dupixent (dupilumab; IL-4R Antibody)   </w:t>
            </w:r>
            <w:r>
              <w:rPr>
                <w:rFonts w:ascii="Arial" w:cs="Arial" w:eastAsia="Arial" w:hAnsi="Arial"/>
                <w:sz w:val="18"/>
                <w:szCs w:val="18"/>
                <w:color w:val="auto"/>
                <w:w w:val="93"/>
              </w:rPr>
              <w:t>Ÿ Presented detailed results from one-year Phase 3</w:t>
            </w:r>
          </w:p>
        </w:tc>
        <w:tc>
          <w:tcPr>
            <w:tcW w:w="4160" w:type="dxa"/>
            <w:vAlign w:val="bottom"/>
          </w:tcPr>
          <w:p>
            <w:pPr>
              <w:ind w:left="160"/>
              <w:spacing w:after="0"/>
              <w:rPr>
                <w:sz w:val="20"/>
                <w:szCs w:val="20"/>
                <w:color w:val="auto"/>
              </w:rPr>
            </w:pPr>
            <w:r>
              <w:rPr>
                <w:rFonts w:ascii="Arial" w:cs="Arial" w:eastAsia="Arial" w:hAnsi="Arial"/>
                <w:sz w:val="18"/>
                <w:szCs w:val="18"/>
                <w:color w:val="auto"/>
                <w:w w:val="94"/>
              </w:rPr>
              <w:t>Ÿ Submit for additional regulatory approvals in atopic</w:t>
            </w:r>
          </w:p>
        </w:tc>
      </w:tr>
      <w:tr>
        <w:trPr>
          <w:trHeight w:val="216"/>
        </w:trPr>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60" w:type="dxa"/>
            <w:vAlign w:val="bottom"/>
          </w:tcPr>
          <w:p>
            <w:pPr>
              <w:ind w:left="780"/>
              <w:spacing w:after="0"/>
              <w:rPr>
                <w:sz w:val="20"/>
                <w:szCs w:val="20"/>
                <w:color w:val="auto"/>
              </w:rPr>
            </w:pPr>
            <w:r>
              <w:rPr>
                <w:rFonts w:ascii="Arial" w:cs="Arial" w:eastAsia="Arial" w:hAnsi="Arial"/>
                <w:sz w:val="18"/>
                <w:szCs w:val="18"/>
                <w:color w:val="auto"/>
                <w:w w:val="98"/>
              </w:rPr>
              <w:t>CHRONOS study at the Annual Meeting of the</w:t>
            </w:r>
          </w:p>
        </w:tc>
        <w:tc>
          <w:tcPr>
            <w:tcW w:w="4160" w:type="dxa"/>
            <w:vAlign w:val="bottom"/>
          </w:tcPr>
          <w:p>
            <w:pPr>
              <w:ind w:left="400"/>
              <w:spacing w:after="0"/>
              <w:rPr>
                <w:sz w:val="20"/>
                <w:szCs w:val="20"/>
                <w:color w:val="auto"/>
              </w:rPr>
            </w:pPr>
            <w:r>
              <w:rPr>
                <w:rFonts w:ascii="Arial" w:cs="Arial" w:eastAsia="Arial" w:hAnsi="Arial"/>
                <w:sz w:val="18"/>
                <w:szCs w:val="18"/>
                <w:color w:val="auto"/>
              </w:rPr>
              <w:t>dermatitis outside the United States</w:t>
            </w:r>
          </w:p>
        </w:tc>
      </w:tr>
      <w:tr>
        <w:trPr>
          <w:trHeight w:val="230"/>
        </w:trPr>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60" w:type="dxa"/>
            <w:vAlign w:val="bottom"/>
          </w:tcPr>
          <w:p>
            <w:pPr>
              <w:ind w:left="780"/>
              <w:spacing w:after="0"/>
              <w:rPr>
                <w:sz w:val="20"/>
                <w:szCs w:val="20"/>
                <w:color w:val="auto"/>
              </w:rPr>
            </w:pPr>
            <w:r>
              <w:rPr>
                <w:rFonts w:ascii="Arial" w:cs="Arial" w:eastAsia="Arial" w:hAnsi="Arial"/>
                <w:sz w:val="18"/>
                <w:szCs w:val="18"/>
                <w:color w:val="auto"/>
              </w:rPr>
              <w:t>American Academy of Dermatology</w:t>
            </w:r>
          </w:p>
        </w:tc>
        <w:tc>
          <w:tcPr>
            <w:tcW w:w="416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1">
            <w:col w:w="11280"/>
          </w:cols>
          <w:pgMar w:left="240" w:top="130" w:right="379" w:bottom="1440" w:gutter="0" w:footer="0" w:header="0"/>
        </w:sectPr>
      </w:pPr>
    </w:p>
    <w:p>
      <w:pPr>
        <w:ind w:left="3440" w:right="20" w:hanging="235"/>
        <w:spacing w:after="0" w:line="298" w:lineRule="auto"/>
        <w:tabs>
          <w:tab w:leader="none" w:pos="3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FDA approved Dupixent for the treatment of adults with moderate-to-severe atopic dermatitis</w:t>
      </w:r>
    </w:p>
    <w:p>
      <w:pPr>
        <w:ind w:left="3440" w:hanging="235"/>
        <w:spacing w:after="0" w:line="286" w:lineRule="auto"/>
        <w:tabs>
          <w:tab w:leader="none" w:pos="3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Initiated Phase 3 studies in adolescent patients (12– 17 years of age) and pediatric patients (6–11 years of age) with atopic dermatitis</w:t>
      </w:r>
    </w:p>
    <w:p>
      <w:pPr>
        <w:spacing w:after="0" w:line="3" w:lineRule="exact"/>
        <w:rPr>
          <w:rFonts w:ascii="Arial" w:cs="Arial" w:eastAsia="Arial" w:hAnsi="Arial"/>
          <w:sz w:val="17"/>
          <w:szCs w:val="17"/>
          <w:color w:val="auto"/>
        </w:rPr>
      </w:pPr>
    </w:p>
    <w:p>
      <w:pPr>
        <w:ind w:left="3440" w:right="280" w:hanging="235"/>
        <w:spacing w:after="0" w:line="264" w:lineRule="auto"/>
        <w:tabs>
          <w:tab w:leader="none" w:pos="3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Initiated Phase 2/3 study in pediatric patients (6 months–5 years of age) with severe atopic dermatitis</w:t>
      </w:r>
    </w:p>
    <w:p>
      <w:pPr>
        <w:spacing w:after="0" w:line="20" w:lineRule="exact"/>
        <w:rPr>
          <w:sz w:val="20"/>
          <w:szCs w:val="20"/>
          <w:color w:val="auto"/>
        </w:rPr>
      </w:pPr>
      <w:r>
        <w:rPr>
          <w:sz w:val="20"/>
          <w:szCs w:val="20"/>
          <w:color w:val="auto"/>
        </w:rPr>
        <w:br w:type="column"/>
      </w:r>
    </w:p>
    <w:p>
      <w:pPr>
        <w:ind w:left="237" w:right="220" w:hanging="237"/>
        <w:spacing w:after="0" w:line="317" w:lineRule="auto"/>
        <w:tabs>
          <w:tab w:leader="none" w:pos="2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agency decisions on atopic dermatitis applications outside the United States</w:t>
      </w:r>
    </w:p>
    <w:p>
      <w:pPr>
        <w:ind w:left="237" w:right="60" w:hanging="237"/>
        <w:spacing w:after="0" w:line="342" w:lineRule="auto"/>
        <w:tabs>
          <w:tab w:leader="none" w:pos="2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Report data from Phase 3 study in adolescent patients (12–17 years of age) with atopic dermatitis</w:t>
      </w:r>
    </w:p>
    <w:p>
      <w:pPr>
        <w:spacing w:after="0" w:line="177" w:lineRule="exact"/>
        <w:rPr>
          <w:rFonts w:ascii="Arial" w:cs="Arial" w:eastAsia="Arial" w:hAnsi="Arial"/>
          <w:sz w:val="16"/>
          <w:szCs w:val="16"/>
          <w:color w:val="auto"/>
        </w:rPr>
      </w:pPr>
    </w:p>
    <w:p>
      <w:pPr>
        <w:ind w:left="237" w:right="320" w:hanging="237"/>
        <w:spacing w:after="0" w:line="277" w:lineRule="auto"/>
        <w:tabs>
          <w:tab w:leader="none" w:pos="2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filing and decision on sBLA for asthma in adult/adolescent patients</w:t>
      </w:r>
    </w:p>
    <w:p>
      <w:pPr>
        <w:spacing w:after="0" w:line="224" w:lineRule="exact"/>
        <w:rPr>
          <w:sz w:val="20"/>
          <w:szCs w:val="20"/>
          <w:color w:val="auto"/>
        </w:rPr>
      </w:pPr>
    </w:p>
    <w:p>
      <w:pPr>
        <w:sectPr>
          <w:pgSz w:w="11900" w:h="16838" w:orient="portrait"/>
          <w:cols w:equalWidth="0" w:num="2">
            <w:col w:w="7160" w:space="123"/>
            <w:col w:w="3997"/>
          </w:cols>
          <w:pgMar w:left="240" w:top="130" w:right="379" w:bottom="1440" w:gutter="0" w:footer="0" w:header="0"/>
          <w:type w:val="continuous"/>
        </w:sectPr>
      </w:pPr>
    </w:p>
    <w:p>
      <w:pPr>
        <w:jc w:val="both"/>
        <w:ind w:left="3440" w:hanging="235"/>
        <w:spacing w:after="0" w:line="264" w:lineRule="auto"/>
        <w:tabs>
          <w:tab w:leader="none" w:pos="3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applications submitted for atopic dermatitis in various jurisdictions outside the United States</w:t>
      </w:r>
    </w:p>
    <w:p>
      <w:pPr>
        <w:spacing w:after="0" w:line="20" w:lineRule="exact"/>
        <w:rPr>
          <w:sz w:val="20"/>
          <w:szCs w:val="20"/>
          <w:color w:val="auto"/>
        </w:rPr>
      </w:pPr>
      <w:r>
        <w:rPr>
          <w:sz w:val="20"/>
          <w:szCs w:val="20"/>
          <w:color w:val="auto"/>
        </w:rPr>
        <w:br w:type="column"/>
      </w:r>
    </w:p>
    <w:p>
      <w:pPr>
        <w:ind w:left="237" w:right="300" w:hanging="237"/>
        <w:spacing w:after="0" w:line="308" w:lineRule="auto"/>
        <w:tabs>
          <w:tab w:leader="none" w:pos="237"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Submit for EU and Japan regulatory approval in asthma in adult/adolescent patients</w:t>
      </w:r>
    </w:p>
    <w:p>
      <w:pPr>
        <w:spacing w:after="0" w:line="200" w:lineRule="exact"/>
        <w:rPr>
          <w:sz w:val="20"/>
          <w:szCs w:val="20"/>
          <w:color w:val="auto"/>
        </w:rPr>
      </w:pPr>
    </w:p>
    <w:p>
      <w:pPr>
        <w:sectPr>
          <w:pgSz w:w="11900" w:h="16838" w:orient="portrait"/>
          <w:cols w:equalWidth="0" w:num="2">
            <w:col w:w="6680" w:space="603"/>
            <w:col w:w="3997"/>
          </w:cols>
          <w:pgMar w:left="240" w:top="130" w:right="379" w:bottom="1440" w:gutter="0" w:footer="0" w:header="0"/>
          <w:type w:val="continuous"/>
        </w:sectPr>
      </w:pPr>
    </w:p>
    <w:p>
      <w:pPr>
        <w:ind w:left="3440" w:right="260" w:hanging="239"/>
        <w:spacing w:after="0" w:line="277" w:lineRule="auto"/>
        <w:tabs>
          <w:tab w:leader="none" w:pos="3420" w:val="left"/>
        </w:tabs>
        <w:rPr>
          <w:sz w:val="20"/>
          <w:szCs w:val="20"/>
          <w:color w:val="auto"/>
        </w:rPr>
      </w:pPr>
      <w:r>
        <w:rPr>
          <w:rFonts w:ascii="Arial" w:cs="Arial" w:eastAsia="Arial" w:hAnsi="Arial"/>
          <w:sz w:val="18"/>
          <w:szCs w:val="18"/>
          <w:color w:val="auto"/>
        </w:rPr>
        <w:t>Ÿ</w:t>
        <w:tab/>
        <w:t>Reported positive results from the LIBERTY AD Ÿ Report data from Phase 3 studies in nasal polyps CAFÉ study in atopic dermatitis</w:t>
      </w:r>
    </w:p>
    <w:p>
      <w:pPr>
        <w:sectPr>
          <w:pgSz w:w="11900" w:h="16838" w:orient="portrait"/>
          <w:cols w:equalWidth="0" w:num="1">
            <w:col w:w="11280"/>
          </w:cols>
          <w:pgMar w:left="240" w:top="130" w:right="379" w:bottom="1440" w:gutter="0" w:footer="0" w:header="0"/>
          <w:type w:val="continuous"/>
        </w:sectPr>
      </w:pPr>
    </w:p>
    <w:p>
      <w:pPr>
        <w:spacing w:after="0" w:line="8" w:lineRule="exact"/>
        <w:rPr>
          <w:sz w:val="20"/>
          <w:szCs w:val="20"/>
          <w:color w:val="auto"/>
        </w:rPr>
      </w:pPr>
    </w:p>
    <w:p>
      <w:pPr>
        <w:ind w:left="3440" w:hanging="235"/>
        <w:spacing w:after="0" w:line="286" w:lineRule="auto"/>
        <w:tabs>
          <w:tab w:leader="none" w:pos="3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European Commission granted marketing approval for Dupixent for the treatment of adults with moderate-to-severe atopic dermatitis</w:t>
      </w:r>
    </w:p>
    <w:p>
      <w:pPr>
        <w:spacing w:after="0" w:line="3" w:lineRule="exact"/>
        <w:rPr>
          <w:rFonts w:ascii="Arial" w:cs="Arial" w:eastAsia="Arial" w:hAnsi="Arial"/>
          <w:sz w:val="17"/>
          <w:szCs w:val="17"/>
          <w:color w:val="auto"/>
        </w:rPr>
      </w:pPr>
    </w:p>
    <w:p>
      <w:pPr>
        <w:ind w:left="3440" w:right="460" w:hanging="235"/>
        <w:spacing w:after="0" w:line="305" w:lineRule="auto"/>
        <w:tabs>
          <w:tab w:leader="none" w:pos="3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MHLW in Japan approved Dupixent for the treatment of atopic dermatitis in adults not adequately controlled with existing therapies</w:t>
      </w:r>
    </w:p>
    <w:p>
      <w:pPr>
        <w:spacing w:after="0" w:line="20" w:lineRule="exact"/>
        <w:rPr>
          <w:sz w:val="20"/>
          <w:szCs w:val="20"/>
          <w:color w:val="auto"/>
        </w:rPr>
      </w:pPr>
      <w:r>
        <w:rPr>
          <w:sz w:val="20"/>
          <w:szCs w:val="20"/>
          <w:color w:val="auto"/>
        </w:rPr>
        <w:br w:type="column"/>
      </w:r>
    </w:p>
    <w:p>
      <w:pPr>
        <w:ind w:left="237" w:hanging="237"/>
        <w:spacing w:after="0"/>
        <w:tabs>
          <w:tab w:leader="none" w:pos="237"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Initiate Phase 3 study in eosinophilic esophagitis</w:t>
      </w:r>
    </w:p>
    <w:p>
      <w:pPr>
        <w:spacing w:after="0" w:line="167" w:lineRule="exact"/>
        <w:rPr>
          <w:rFonts w:ascii="Arial" w:cs="Arial" w:eastAsia="Arial" w:hAnsi="Arial"/>
          <w:sz w:val="16"/>
          <w:szCs w:val="16"/>
          <w:color w:val="auto"/>
        </w:rPr>
      </w:pPr>
    </w:p>
    <w:p>
      <w:pPr>
        <w:ind w:left="237" w:hanging="237"/>
        <w:spacing w:after="0"/>
        <w:tabs>
          <w:tab w:leader="none" w:pos="2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Phase 2 study in peanut allergy</w:t>
      </w:r>
    </w:p>
    <w:p>
      <w:pPr>
        <w:spacing w:after="0" w:line="144" w:lineRule="exact"/>
        <w:rPr>
          <w:rFonts w:ascii="Arial" w:cs="Arial" w:eastAsia="Arial" w:hAnsi="Arial"/>
          <w:sz w:val="18"/>
          <w:szCs w:val="18"/>
          <w:color w:val="auto"/>
        </w:rPr>
      </w:pPr>
    </w:p>
    <w:p>
      <w:pPr>
        <w:ind w:left="237" w:right="1040" w:hanging="237"/>
        <w:spacing w:after="0" w:line="308" w:lineRule="auto"/>
        <w:tabs>
          <w:tab w:leader="none" w:pos="23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Initiate Phase 2 study as an adjunct to immunotherapy for grass allergy</w:t>
      </w:r>
    </w:p>
    <w:p>
      <w:pPr>
        <w:spacing w:after="0" w:line="200" w:lineRule="exact"/>
        <w:rPr>
          <w:sz w:val="20"/>
          <w:szCs w:val="20"/>
          <w:color w:val="auto"/>
        </w:rPr>
      </w:pPr>
    </w:p>
    <w:p>
      <w:pPr>
        <w:sectPr>
          <w:pgSz w:w="11900" w:h="16838" w:orient="portrait"/>
          <w:cols w:equalWidth="0" w:num="2">
            <w:col w:w="7120" w:space="163"/>
            <w:col w:w="3997"/>
          </w:cols>
          <w:pgMar w:left="240" w:top="130" w:right="3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7"/>
              </w:rPr>
              <w:t>Ÿ Initiated Phase 3 study in pediatric patients (6–11</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Ÿ Initiate Phase 3 program in chronic obstructive</w:t>
            </w:r>
          </w:p>
        </w:tc>
      </w:tr>
      <w:tr>
        <w:trPr>
          <w:trHeight w:val="230"/>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years of age) with asthma</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pulmonary disease (COPD)</w:t>
            </w:r>
          </w:p>
        </w:tc>
      </w:tr>
      <w:tr>
        <w:trPr>
          <w:trHeight w:val="256"/>
        </w:trPr>
        <w:tc>
          <w:tcPr>
            <w:tcW w:w="312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Ÿ Reported positive top-line results from Phase 3</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Ÿ Initiate clinical program evaluating co-morbid</w:t>
            </w:r>
          </w:p>
        </w:tc>
      </w:tr>
      <w:tr>
        <w:trPr>
          <w:trHeight w:val="230"/>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LIBERTY ASTHMA QUEST study</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allergic conditions</w:t>
            </w:r>
          </w:p>
        </w:tc>
      </w:tr>
      <w:tr>
        <w:trPr>
          <w:trHeight w:val="256"/>
        </w:trPr>
        <w:tc>
          <w:tcPr>
            <w:tcW w:w="312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780" w:type="dxa"/>
            <w:vAlign w:val="bottom"/>
          </w:tcPr>
          <w:p>
            <w:pPr>
              <w:ind w:left="20"/>
              <w:spacing w:after="0"/>
              <w:rPr>
                <w:sz w:val="20"/>
                <w:szCs w:val="20"/>
                <w:color w:val="auto"/>
              </w:rPr>
            </w:pPr>
            <w:r>
              <w:rPr>
                <w:rFonts w:ascii="Arial" w:cs="Arial" w:eastAsia="Arial" w:hAnsi="Arial"/>
                <w:sz w:val="18"/>
                <w:szCs w:val="18"/>
                <w:color w:val="auto"/>
                <w:w w:val="99"/>
              </w:rPr>
              <w:t>Reported positive top-line results from Phase 3</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LIBERTY ASTHMA VENTURE study</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780" w:type="dxa"/>
            <w:vAlign w:val="bottom"/>
          </w:tcPr>
          <w:p>
            <w:pPr>
              <w:ind w:left="20"/>
              <w:spacing w:after="0"/>
              <w:rPr>
                <w:sz w:val="20"/>
                <w:szCs w:val="20"/>
                <w:color w:val="auto"/>
              </w:rPr>
            </w:pPr>
            <w:r>
              <w:rPr>
                <w:rFonts w:ascii="Arial" w:cs="Arial" w:eastAsia="Arial" w:hAnsi="Arial"/>
                <w:sz w:val="18"/>
                <w:szCs w:val="18"/>
                <w:color w:val="auto"/>
                <w:w w:val="97"/>
              </w:rPr>
              <w:t>Submitted sBLA for asthma for patients aged 12</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and over</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780" w:type="dxa"/>
            <w:vAlign w:val="bottom"/>
          </w:tcPr>
          <w:p>
            <w:pPr>
              <w:ind w:left="20"/>
              <w:spacing w:after="0"/>
              <w:rPr>
                <w:sz w:val="20"/>
                <w:szCs w:val="20"/>
                <w:color w:val="auto"/>
              </w:rPr>
            </w:pPr>
            <w:r>
              <w:rPr>
                <w:rFonts w:ascii="Arial" w:cs="Arial" w:eastAsia="Arial" w:hAnsi="Arial"/>
                <w:sz w:val="18"/>
                <w:szCs w:val="18"/>
                <w:color w:val="auto"/>
                <w:w w:val="99"/>
              </w:rPr>
              <w:t>Reported positive results from Phase 2 study in</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EoE</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780" w:type="dxa"/>
            <w:vAlign w:val="bottom"/>
          </w:tcPr>
          <w:p>
            <w:pPr>
              <w:ind w:left="20"/>
              <w:spacing w:after="0"/>
              <w:rPr>
                <w:sz w:val="20"/>
                <w:szCs w:val="20"/>
                <w:color w:val="auto"/>
              </w:rPr>
            </w:pPr>
            <w:r>
              <w:rPr>
                <w:rFonts w:ascii="Arial" w:cs="Arial" w:eastAsia="Arial" w:hAnsi="Arial"/>
                <w:sz w:val="18"/>
                <w:szCs w:val="18"/>
                <w:color w:val="auto"/>
              </w:rPr>
              <w:t>FDA granted orphan drug designation for the</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treatment of EoE</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780" w:type="dxa"/>
            <w:vAlign w:val="bottom"/>
          </w:tcPr>
          <w:p>
            <w:pPr>
              <w:ind w:left="20"/>
              <w:spacing w:after="0"/>
              <w:rPr>
                <w:sz w:val="20"/>
                <w:szCs w:val="20"/>
                <w:color w:val="auto"/>
              </w:rPr>
            </w:pPr>
            <w:r>
              <w:rPr>
                <w:rFonts w:ascii="Arial" w:cs="Arial" w:eastAsia="Arial" w:hAnsi="Arial"/>
                <w:sz w:val="18"/>
                <w:szCs w:val="18"/>
                <w:color w:val="auto"/>
                <w:w w:val="95"/>
              </w:rPr>
              <w:t>Completed patient enrollment in Phase 3 study in</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nasal polyps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Praluent (PCSK9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Permanent injunction barring commercialization of</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results from ODYSSEY OUTCOMES</w:t>
            </w:r>
          </w:p>
        </w:tc>
      </w:tr>
      <w:tr>
        <w:trPr>
          <w:trHeight w:val="216"/>
        </w:trPr>
        <w:tc>
          <w:tcPr>
            <w:tcW w:w="3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Praluent in the United States suspended on</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study</w:t>
            </w:r>
          </w:p>
        </w:tc>
      </w:tr>
      <w:tr>
        <w:trPr>
          <w:trHeight w:val="270"/>
        </w:trPr>
        <w:tc>
          <w:tcPr>
            <w:tcW w:w="3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February 8, 2017 and vacated on October 5, 2017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Submit for additional regulatory approvals outside</w:t>
            </w:r>
          </w:p>
        </w:tc>
      </w:tr>
      <w:tr>
        <w:trPr>
          <w:trHeight w:val="230"/>
        </w:trPr>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United States</w:t>
            </w:r>
          </w:p>
        </w:tc>
      </w:tr>
      <w:tr>
        <w:trPr>
          <w:trHeight w:val="256"/>
        </w:trPr>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FDA approved sBLA for monthly dosing regimen</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Regulatory agency decisions on applications</w:t>
            </w:r>
          </w:p>
        </w:tc>
      </w:tr>
      <w:tr>
        <w:trPr>
          <w:trHeight w:val="230"/>
        </w:trPr>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outside the United States</w:t>
            </w:r>
          </w:p>
        </w:tc>
      </w:tr>
      <w:tr>
        <w:trPr>
          <w:trHeight w:val="256"/>
        </w:trPr>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FDA granted orphan drug designation for treatment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FDA decision on sBLA for use with apheresis</w:t>
            </w:r>
          </w:p>
        </w:tc>
      </w:tr>
      <w:tr>
        <w:trPr>
          <w:trHeight w:val="230"/>
        </w:trPr>
        <w:tc>
          <w:tcPr>
            <w:tcW w:w="3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HoFH</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56"/>
        </w:trPr>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positive results from two Phase 3b/4</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 Phase 3 pediatric studies in HoFH and</w:t>
            </w:r>
          </w:p>
        </w:tc>
      </w:tr>
      <w:tr>
        <w:trPr>
          <w:trHeight w:val="237"/>
        </w:trPr>
        <w:tc>
          <w:tcPr>
            <w:tcW w:w="3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studies in patients with diabetes</w:t>
            </w:r>
          </w:p>
        </w:tc>
        <w:tc>
          <w:tcPr>
            <w:tcW w:w="28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HeFH</w:t>
            </w:r>
          </w:p>
        </w:tc>
      </w:tr>
      <w:tr>
        <w:trPr>
          <w:trHeight w:val="20"/>
        </w:trPr>
        <w:tc>
          <w:tcPr>
            <w:tcW w:w="3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30" w:right="37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80"/>
          </w:cols>
          <w:pgMar w:left="240" w:top="130" w:right="37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Antibody-based Clinical Programs (continued):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780"/>
              <w:spacing w:after="0"/>
              <w:rPr>
                <w:sz w:val="20"/>
                <w:szCs w:val="20"/>
                <w:color w:val="auto"/>
              </w:rPr>
            </w:pPr>
            <w:r>
              <w:rPr>
                <w:rFonts w:ascii="Arial" w:cs="Arial" w:eastAsia="Arial" w:hAnsi="Arial"/>
                <w:sz w:val="18"/>
                <w:szCs w:val="18"/>
                <w:b w:val="1"/>
                <w:bCs w:val="1"/>
                <w:color w:val="auto"/>
              </w:rPr>
              <w:t>2017 and 2018 Events to Date</w:t>
            </w:r>
          </w:p>
        </w:tc>
        <w:tc>
          <w:tcPr>
            <w:tcW w:w="240" w:type="dxa"/>
            <w:vAlign w:val="bottom"/>
          </w:tcPr>
          <w:p>
            <w:pPr>
              <w:spacing w:after="0"/>
              <w:rPr>
                <w:sz w:val="20"/>
                <w:szCs w:val="20"/>
                <w:color w:val="auto"/>
              </w:rPr>
            </w:pPr>
          </w:p>
        </w:tc>
        <w:tc>
          <w:tcPr>
            <w:tcW w:w="3840" w:type="dxa"/>
            <w:vAlign w:val="bottom"/>
          </w:tcPr>
          <w:p>
            <w:pPr>
              <w:ind w:left="1520"/>
              <w:spacing w:after="0"/>
              <w:rPr>
                <w:sz w:val="20"/>
                <w:szCs w:val="20"/>
                <w:color w:val="auto"/>
              </w:rPr>
            </w:pPr>
            <w:r>
              <w:rPr>
                <w:rFonts w:ascii="Arial" w:cs="Arial" w:eastAsia="Arial" w:hAnsi="Arial"/>
                <w:sz w:val="18"/>
                <w:szCs w:val="18"/>
                <w:b w:val="1"/>
                <w:bCs w:val="1"/>
                <w:color w:val="auto"/>
              </w:rPr>
              <w:t>2018 Plans</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Ÿ ODYSSEY study data presented at the European</w:t>
            </w:r>
          </w:p>
        </w:tc>
        <w:tc>
          <w:tcPr>
            <w:tcW w:w="24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Society of Cardiology (ESC) Congress</w:t>
            </w: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study in HoFH</w:t>
            </w:r>
          </w:p>
        </w:tc>
        <w:tc>
          <w:tcPr>
            <w:tcW w:w="24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sBLA for use with apheresis filed with FDA, with a</w:t>
            </w: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target action date of August 24, 2018</w:t>
            </w: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w w:val="99"/>
              </w:rPr>
              <w:t>Kevzara (sarilumab; IL-6R Antibody)</w:t>
            </w:r>
          </w:p>
        </w:tc>
        <w:tc>
          <w:tcPr>
            <w:tcW w:w="40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Ÿ Regulatory applications submitted in various</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5"/>
              </w:rPr>
              <w:t>Submit for additional regulatory approvals outside</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jurisdictions outside the United States</w:t>
            </w:r>
          </w:p>
        </w:tc>
        <w:tc>
          <w:tcPr>
            <w:tcW w:w="24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of the United States</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4"/>
              </w:rPr>
              <w:t>Ÿ Health Canada approved Kevzara for the treatment</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Regulatory agency decisions on applications</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of adult patients with RA</w:t>
            </w:r>
          </w:p>
        </w:tc>
        <w:tc>
          <w:tcPr>
            <w:tcW w:w="24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outside the United States</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Resubmitted BLA and FDA accepted for review</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w w:val="99"/>
              </w:rPr>
              <w:t>Continue patient enrollment in Phase 2 study in</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pcJIA</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8"/>
              </w:rPr>
              <w:t>Ÿ FDA approved Kevzara for the treatment of adult</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Initiate Phase 3 study in giant cell arteritis</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patients with RA</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European Commission granted marketing</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w w:val="97"/>
              </w:rPr>
              <w:t>Initiate Phase 3 study in polymyalgia rheumatica</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authorization for Kevzara for the treatment of adult</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patients with RA</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MHLW in Japan approved Kevzara for the</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treatment of adult patients with RA</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Suptavumab (RSV-F Antibody)</w:t>
            </w: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Completed patient enrollment in Phase 3 study</w:t>
            </w: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spacing w:after="0"/>
              <w:rPr>
                <w:sz w:val="22"/>
                <w:szCs w:val="22"/>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Reported results from Phase 3 study, and</w:t>
            </w: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further clinical development</w:t>
            </w: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Cemiplimab (REGN2810; PD-1</w:t>
            </w:r>
          </w:p>
        </w:tc>
        <w:tc>
          <w:tcPr>
            <w:tcW w:w="40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3"/>
              </w:rPr>
              <w:t>Ÿ Continued patient enrollment in Phase 1 and Phase</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3"/>
              </w:rPr>
              <w:t>Complete rolling submission of BLA for CSCC and</w:t>
            </w:r>
          </w:p>
        </w:tc>
        <w:tc>
          <w:tcPr>
            <w:tcW w:w="0" w:type="dxa"/>
            <w:vAlign w:val="bottom"/>
          </w:tcPr>
          <w:p>
            <w:pPr>
              <w:spacing w:after="0"/>
              <w:rPr>
                <w:sz w:val="1"/>
                <w:szCs w:val="1"/>
                <w:color w:val="auto"/>
              </w:rPr>
            </w:pPr>
          </w:p>
        </w:tc>
      </w:tr>
      <w:tr>
        <w:trPr>
          <w:trHeight w:val="230"/>
        </w:trPr>
        <w:tc>
          <w:tcPr>
            <w:tcW w:w="3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Antibody)</w:t>
            </w: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2 studies</w:t>
            </w:r>
          </w:p>
        </w:tc>
        <w:tc>
          <w:tcPr>
            <w:tcW w:w="24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FDA decision on BLA</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5"/>
              </w:rPr>
              <w:t>Ÿ Reported positive preliminary results from Phase 1</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w w:val="95"/>
              </w:rPr>
              <w:t>Submit for regulatory approval in CSCC in the EU</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study in patients with advanced CSCC</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3"/>
              </w:rPr>
              <w:t>Ÿ FDA granted Breakthrough Therapy designation for</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60"/>
              <w:spacing w:after="0"/>
              <w:rPr>
                <w:sz w:val="20"/>
                <w:szCs w:val="20"/>
                <w:color w:val="auto"/>
              </w:rPr>
            </w:pPr>
            <w:r>
              <w:rPr>
                <w:rFonts w:ascii="Arial" w:cs="Arial" w:eastAsia="Arial" w:hAnsi="Arial"/>
                <w:sz w:val="18"/>
                <w:szCs w:val="18"/>
                <w:color w:val="auto"/>
              </w:rPr>
              <w:t>Initiate additional studies in non-small cell lung</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6"/>
              </w:rPr>
              <w:t>the treatment of adults with metastatic CSCC and</w:t>
            </w:r>
          </w:p>
        </w:tc>
        <w:tc>
          <w:tcPr>
            <w:tcW w:w="24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cancer and various other indications</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adults with locally advanced and unresectable</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Ÿ</w:t>
            </w:r>
          </w:p>
        </w:tc>
        <w:tc>
          <w:tcPr>
            <w:tcW w:w="3840" w:type="dxa"/>
            <w:vAlign w:val="bottom"/>
            <w:vMerge w:val="restart"/>
          </w:tcPr>
          <w:p>
            <w:pPr>
              <w:ind w:left="60"/>
              <w:spacing w:after="0"/>
              <w:rPr>
                <w:sz w:val="20"/>
                <w:szCs w:val="20"/>
                <w:color w:val="auto"/>
              </w:rPr>
            </w:pPr>
            <w:r>
              <w:rPr>
                <w:rFonts w:ascii="Arial" w:cs="Arial" w:eastAsia="Arial" w:hAnsi="Arial"/>
                <w:sz w:val="18"/>
                <w:szCs w:val="18"/>
                <w:color w:val="auto"/>
              </w:rPr>
              <w:t>Continue patient enrollment in various studies</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CSCC</w:t>
            </w:r>
          </w:p>
        </w:tc>
        <w:tc>
          <w:tcPr>
            <w:tcW w:w="240" w:type="dxa"/>
            <w:vAlign w:val="bottom"/>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Reported positive top-line results from pivotal</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Phase 2 CSCC study</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7"/>
              </w:rPr>
              <w:t>Ÿ Commenced rolling submission of BLA for CSCC</w:t>
            </w:r>
          </w:p>
        </w:tc>
        <w:tc>
          <w:tcPr>
            <w:tcW w:w="2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Initiated Phase 3 study in first-line treatment for</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non-small cell lung cancer</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8"/>
              </w:rPr>
              <w:t>Ÿ Initiated potentially pivotal Phase 2 study in BCC</w:t>
            </w:r>
          </w:p>
        </w:tc>
        <w:tc>
          <w:tcPr>
            <w:tcW w:w="2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Initiated Phase 3 study in cervical cancer</w:t>
            </w:r>
          </w:p>
        </w:tc>
        <w:tc>
          <w:tcPr>
            <w:tcW w:w="2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Ÿ Continued patient enrollment in Phase 3 long-term</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Continue patient enrollment in Phase 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 study in osteoarthritis</w:t>
            </w: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osteoarthritis studies</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Initiated Phase 3 efficacy studies in osteoarthritis</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 data from first Phase 3 efficacy study in</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osteoarthritis</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Initiated Phase 3 study in chronic low back pain in</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Advance Phase 3 program in chronic low back pain</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patients with concomitant osteoarthritis of the knee</w:t>
            </w: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hip</w:t>
            </w:r>
          </w:p>
        </w:tc>
        <w:tc>
          <w:tcPr>
            <w:tcW w:w="24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80"/>
          </w:cols>
          <w:pgMar w:left="240" w:top="130" w:right="37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24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345"/>
        </w:trPr>
        <w:tc>
          <w:tcPr>
            <w:tcW w:w="40" w:type="dxa"/>
            <w:vAlign w:val="bottom"/>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40" w:type="dxa"/>
            <w:vAlign w:val="bottom"/>
          </w:tcPr>
          <w:p>
            <w:pPr>
              <w:ind w:left="580"/>
              <w:spacing w:after="0"/>
              <w:rPr>
                <w:sz w:val="20"/>
                <w:szCs w:val="20"/>
                <w:color w:val="auto"/>
              </w:rPr>
            </w:pPr>
            <w:r>
              <w:rPr>
                <w:rFonts w:ascii="Arial" w:cs="Arial" w:eastAsia="Arial" w:hAnsi="Arial"/>
                <w:sz w:val="18"/>
                <w:szCs w:val="18"/>
                <w:b w:val="1"/>
                <w:bCs w:val="1"/>
                <w:color w:val="auto"/>
              </w:rPr>
              <w:t>2017 and 2018 Events to Date</w:t>
            </w:r>
          </w:p>
        </w:tc>
        <w:tc>
          <w:tcPr>
            <w:tcW w:w="24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Arial" w:cs="Arial" w:eastAsia="Arial" w:hAnsi="Arial"/>
                <w:sz w:val="18"/>
                <w:szCs w:val="18"/>
                <w:b w:val="1"/>
                <w:bCs w:val="1"/>
                <w:color w:val="auto"/>
              </w:rPr>
              <w:t>2018 Plans</w:t>
            </w: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r>
      <w:tr>
        <w:trPr>
          <w:trHeight w:val="222"/>
        </w:trPr>
        <w:tc>
          <w:tcPr>
            <w:tcW w:w="31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3"/>
              </w:rPr>
              <w:t>Ÿ FDA granted Breakthrough Therapy designation for</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Ÿ Initiate Phase 2 study in severe</w:t>
            </w: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w w:val="97"/>
              </w:rPr>
              <w:t>the treatment of hypercholesterolemia in patients</w:t>
            </w:r>
          </w:p>
        </w:tc>
        <w:tc>
          <w:tcPr>
            <w:tcW w:w="24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hypertriglyceridemia</w:t>
            </w: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with HoFH</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Reported positive Phase 2 results at medical</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conferences</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w w:val="99"/>
              </w:rPr>
              <w:t>Ÿ Data and analysis from genetics, preclinical, and</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 xml:space="preserve">clinical study published in the </w:t>
            </w:r>
            <w:r>
              <w:rPr>
                <w:rFonts w:ascii="Arial" w:cs="Arial" w:eastAsia="Arial" w:hAnsi="Arial"/>
                <w:sz w:val="18"/>
                <w:szCs w:val="18"/>
                <w:i w:val="1"/>
                <w:iCs w:val="1"/>
                <w:color w:val="auto"/>
              </w:rPr>
              <w:t>New England</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i w:val="1"/>
                <w:iCs w:val="1"/>
                <w:color w:val="auto"/>
              </w:rPr>
              <w:t>Journal of Medicine</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Initiated Phase 2 study in refractory</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hypercholesterolemia (both HeFH and non-FH)</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Initiated Phase 3 study in HoFH</w:t>
            </w:r>
          </w:p>
        </w:tc>
        <w:tc>
          <w:tcPr>
            <w:tcW w:w="24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2"/>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88"/>
              </w:rPr>
              <w:t>Nesvacumab/aflibercept (Ang2 Antibody</w:t>
            </w: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Completed patient enrollment in Phase 2 ONYX</w:t>
            </w:r>
          </w:p>
        </w:tc>
        <w:tc>
          <w:tcPr>
            <w:tcW w:w="24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r>
      <w:tr>
        <w:trPr>
          <w:trHeight w:val="230"/>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4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study in wet AMD</w:t>
            </w: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r>
      <w:tr>
        <w:trPr>
          <w:trHeight w:val="256"/>
        </w:trPr>
        <w:tc>
          <w:tcPr>
            <w:tcW w:w="4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Ÿ Reported results from Phase 2 ONYX and RUBY</w:t>
            </w: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r>
      <w:tr>
        <w:trPr>
          <w:trHeight w:val="216"/>
        </w:trPr>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studies, which did not provide sufficient</w:t>
            </w: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differentiation to warrant Phase 3 studies</w:t>
            </w: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22"/>
        </w:trPr>
        <w:tc>
          <w:tcPr>
            <w:tcW w:w="31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Trevogrumab (GDF8 Antibody)</w:t>
            </w:r>
          </w:p>
        </w:tc>
        <w:tc>
          <w:tcPr>
            <w:tcW w:w="40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9"/>
              </w:rPr>
              <w:t>Ÿ Initiated Phase 1 combination therapy study with</w:t>
            </w:r>
          </w:p>
        </w:tc>
        <w:tc>
          <w:tcPr>
            <w:tcW w:w="40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9"/>
              </w:rPr>
              <w:t>Ÿ Complete Phase 1 combination study and report</w:t>
            </w: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REGN2477</w:t>
            </w:r>
          </w:p>
        </w:tc>
        <w:tc>
          <w:tcPr>
            <w:tcW w:w="24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results</w:t>
            </w:r>
          </w:p>
        </w:tc>
      </w:tr>
      <w:tr>
        <w:trPr>
          <w:trHeight w:val="256"/>
        </w:trPr>
        <w:tc>
          <w:tcPr>
            <w:tcW w:w="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Completed patient enrollment in Phase 1</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combination therapy study</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r>
      <w:tr>
        <w:trPr>
          <w:trHeight w:val="269"/>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42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Ÿ Continue early stage development</w:t>
            </w:r>
          </w:p>
        </w:tc>
      </w:tr>
      <w:tr>
        <w:trPr>
          <w:trHeight w:val="237"/>
        </w:trPr>
        <w:tc>
          <w:tcPr>
            <w:tcW w:w="31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w w:val="97"/>
              </w:rPr>
              <w:t>REGN1979 (CD20 and CD3 Antibody)</w:t>
            </w:r>
          </w:p>
        </w:tc>
        <w:tc>
          <w:tcPr>
            <w:tcW w:w="40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Ÿ Continued patient enrollment in Phase 1 study</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8"/>
              </w:rPr>
              <w:t>Continue evaluation in non-Hodgkin lymphomas</w:t>
            </w:r>
          </w:p>
        </w:tc>
      </w:tr>
      <w:tr>
        <w:trPr>
          <w:trHeight w:val="256"/>
        </w:trPr>
        <w:tc>
          <w:tcPr>
            <w:tcW w:w="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FDA granted orphan drug designation in diffuse</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large B-cell lymphoma</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81"/>
        </w:trPr>
        <w:tc>
          <w:tcPr>
            <w:tcW w:w="4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r>
      <w:tr>
        <w:trPr>
          <w:trHeight w:val="222"/>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6"/>
              </w:rPr>
              <w:t>REGN3470-3471-3479 (Multi-antibody</w:t>
            </w: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Completed Phase 1 study in healthy volunteers</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Initiate additional healthy volunteer study</w:t>
            </w:r>
          </w:p>
        </w:tc>
      </w:tr>
      <w:tr>
        <w:trPr>
          <w:trHeight w:val="262"/>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therapy to Ebola virus)</w:t>
            </w:r>
          </w:p>
        </w:tc>
        <w:tc>
          <w:tcPr>
            <w:tcW w:w="42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22"/>
        </w:trPr>
        <w:tc>
          <w:tcPr>
            <w:tcW w:w="31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REGN2477 (Activin A Antibody)</w:t>
            </w:r>
          </w:p>
        </w:tc>
        <w:tc>
          <w:tcPr>
            <w:tcW w:w="40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Ÿ FDA granted orphan drug designation for the</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Initiate Phase 2 study in patients with FOP</w:t>
            </w: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treatment of FOP</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Ÿ FDA granted Fast Track designation for the</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w w:val="93"/>
              </w:rPr>
              <w:t>prevention and treatment of heterotopic ossification</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in patients with FOP</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r>
      <w:tr>
        <w:trPr>
          <w:trHeight w:val="222"/>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REGN3500 (IL-33 Antibody)</w:t>
            </w:r>
          </w:p>
        </w:tc>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Ÿ Initiated Phase 1 studies in patients with asthma</w:t>
            </w:r>
          </w:p>
        </w:tc>
        <w:tc>
          <w:tcPr>
            <w:tcW w:w="4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Ÿ Initiate Phase 2 programs in asthma, COPD, and</w:t>
            </w:r>
          </w:p>
        </w:tc>
      </w:tr>
      <w:tr>
        <w:trPr>
          <w:trHeight w:val="230"/>
        </w:trPr>
        <w:tc>
          <w:tcPr>
            <w:tcW w:w="4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atopic dermatitis</w:t>
            </w:r>
          </w:p>
        </w:tc>
      </w:tr>
      <w:tr>
        <w:trPr>
          <w:trHeight w:val="302"/>
        </w:trPr>
        <w:tc>
          <w:tcPr>
            <w:tcW w:w="40" w:type="dxa"/>
            <w:vAlign w:val="bottom"/>
            <w:tcBorders>
              <w:bottom w:val="single" w:sz="8" w:color="CCEEFF"/>
            </w:tcBorders>
            <w:shd w:val="clear" w:color="auto" w:fill="CCEEFF"/>
          </w:tcPr>
          <w:p>
            <w:pPr>
              <w:spacing w:after="0"/>
              <w:rPr>
                <w:sz w:val="24"/>
                <w:szCs w:val="24"/>
                <w:color w:val="auto"/>
              </w:rPr>
            </w:pPr>
          </w:p>
        </w:tc>
        <w:tc>
          <w:tcPr>
            <w:tcW w:w="310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Ÿ Completed Phase 1 study in healthy volunteers</w:t>
            </w:r>
          </w:p>
        </w:tc>
        <w:tc>
          <w:tcPr>
            <w:tcW w:w="240" w:type="dxa"/>
            <w:vAlign w:val="bottom"/>
            <w:tcBorders>
              <w:bottom w:val="single" w:sz="8" w:color="CCEEFF"/>
            </w:tcBorders>
            <w:shd w:val="clear" w:color="auto" w:fill="CCEEFF"/>
          </w:tcPr>
          <w:p>
            <w:pPr>
              <w:spacing w:after="0"/>
              <w:rPr>
                <w:sz w:val="24"/>
                <w:szCs w:val="24"/>
                <w:color w:val="auto"/>
              </w:rPr>
            </w:pPr>
          </w:p>
        </w:tc>
        <w:tc>
          <w:tcPr>
            <w:tcW w:w="3840" w:type="dxa"/>
            <w:vAlign w:val="bottom"/>
            <w:tcBorders>
              <w:bottom w:val="single" w:sz="8" w:color="CCEEFF"/>
            </w:tcBorders>
            <w:shd w:val="clear" w:color="auto" w:fill="CCEEFF"/>
          </w:tcPr>
          <w:p>
            <w:pPr>
              <w:spacing w:after="0"/>
              <w:rPr>
                <w:sz w:val="24"/>
                <w:szCs w:val="24"/>
                <w:color w:val="auto"/>
              </w:rPr>
            </w:pPr>
          </w:p>
        </w:tc>
      </w:tr>
      <w:tr>
        <w:trPr>
          <w:trHeight w:val="222"/>
        </w:trPr>
        <w:tc>
          <w:tcPr>
            <w:tcW w:w="31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REGN3767 (LAG-3 Antibody)</w:t>
            </w:r>
          </w:p>
        </w:tc>
        <w:tc>
          <w:tcPr>
            <w:tcW w:w="40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Ÿ Continued patient enrollment in Phase 1 study</w:t>
            </w:r>
          </w:p>
        </w:tc>
        <w:tc>
          <w:tcPr>
            <w:tcW w:w="40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4"/>
              </w:rPr>
              <w:t>Ÿ Open monotherapy expansion cohorts as well as in</w:t>
            </w: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combination with cemiplimab in multiple</w:t>
            </w:r>
          </w:p>
        </w:tc>
      </w:tr>
      <w:tr>
        <w:trPr>
          <w:trHeight w:val="230"/>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indications</w:t>
            </w:r>
          </w:p>
        </w:tc>
      </w:tr>
      <w:tr>
        <w:trPr>
          <w:trHeight w:val="27"/>
        </w:trPr>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REGN3918 (C5 Antibody)</w:t>
            </w:r>
          </w:p>
        </w:tc>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Complete Phase 1 study in healthy volunteers</w:t>
            </w:r>
          </w:p>
        </w:tc>
      </w:tr>
      <w:tr>
        <w:trPr>
          <w:trHeight w:val="20"/>
        </w:trPr>
        <w:tc>
          <w:tcPr>
            <w:tcW w:w="4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and Kevzara, as well as preparation for potential commercialization of cemiplimab and other indications of dupilumab.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06"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we have no further performance obligations, and returns can be reasonably estimated. We record revenue from product sales upon delivery to our distributors and specialty pharmacies (collectively, our customers).</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Revenue from product sales is recorded net of applicable provisions for rebates and chargebacks under governmental and other programs, such as Medicaid and Veterans' Administration (VA), distribution-related fees, and other sales-related deductions. We estimate reductions to product sales based upon contracts with customers and government agencies, statutorily-defined discounts applicable to government-funded programs, historical experience, estimated payer mix, inventory levels in the distribution channel, shelf life of the product, and other relevant factors. Calculating these provisions involves estimates and judgments. We review our estimates of rebates, chargebacks, and other applicable provisions each period and record any necessary adjustments in the current period's net product sales. The following table summarizes the provisions, and credits/payments, for sales-related deductions.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10"/>
        </w:trPr>
        <w:tc>
          <w:tcPr>
            <w:tcW w:w="1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420" w:type="dxa"/>
            <w:vAlign w:val="bottom"/>
            <w:gridSpan w:val="3"/>
          </w:tcPr>
          <w:p>
            <w:pPr>
              <w:ind w:left="106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10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08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193.2</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37"/>
        </w:trPr>
        <w:tc>
          <w:tcPr>
            <w:tcW w:w="108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2015</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Credits/payments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(287.7)</w:t>
            </w:r>
          </w:p>
        </w:tc>
      </w:tr>
      <w:tr>
        <w:trPr>
          <w:trHeight w:val="27"/>
        </w:trPr>
        <w:tc>
          <w:tcPr>
            <w:tcW w:w="10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08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408.3</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r>
      <w:tr>
        <w:trPr>
          <w:trHeight w:val="257"/>
        </w:trPr>
        <w:tc>
          <w:tcPr>
            <w:tcW w:w="1080" w:type="dxa"/>
            <w:vAlign w:val="bottom"/>
          </w:tcPr>
          <w:p>
            <w:pPr>
              <w:spacing w:after="0"/>
              <w:rPr>
                <w:sz w:val="22"/>
                <w:szCs w:val="22"/>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85.3</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earn collaboration revenue in connection with collaboration agreements to develop and commercialize product candidates and utilize our technology platforms. These arrangements may require us to deliver various rights, services, and/or goods across the entire life cycle of a product or product candidate. The terms of these agreements typically include that consideration be provided to us in the form of non-refundable up-front payments, research progress (milestone) payments, payments for development and commercialization activities, and sharing of profits or losses arising from the commercialization of products. In arrangements involving multiple deliverables, we must determine whether each deliverable qualifies as a separate unit of accounting, whether the deliverables have value to the collaborator on a standalone basis, and how the consideration should be allocated to each separate unit of accounting based on the relative selling price of each deliverable.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In determining whether a payment is deemed to be a substantive performance milestone, we take into consideration (i) the enhancement in value to the related development product candidate, (ii) our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2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we also recognize, as research and development expense in the period when our collaborator incurs development expenses, the portion of the collaborator's development expenses that we are obligated to reimburse. Our collaborators provide us with estimated development expenses for the most recent fiscal quarter. Our collaborators' estimates are reconciled to their actual expenses for such quarter in the subsequent fiscal quarter, and our portion of our collaborators' development expenses that we are obligated to reimburse is adjusted on a prospective basis accordingly, as necessary.</w:t>
      </w:r>
    </w:p>
    <w:p>
      <w:pPr>
        <w:spacing w:after="0" w:line="24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Under our collaboration agreements, product sales and cost of sales for products which are currently approved are recorded by our collaborators. We share in any profits or losses arising from the commercialization of such products. Our collaborator provides us with our estimated share of the profits or losses from commercialization of such products for the most recent fiscal quarter. Our collaborators' estimates of profits or losses for such quarter are reconciled to actual profits or losses in the subsequent fiscal quarter, and our share of the profit or loss is adjusted on a prospective basis accordingly, as necessary.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4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2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recognize stock-based compensation expense for grants of stock option and restricted stock awards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assumptions used in computing the fair value of stock option awards reflect our best estimates but involve uncertainties related to market and other conditions, many of which are outside of our control. Changes in any of these assumptions may materially affect the fair value of stock option awards granted and the amount of stock-based compensation recognized in future periods.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various factors including our historical earnings experience by taxing jurisdiction, forecasts of future operating results, and utilization of net operating losses and tax credits prior to their expiration. Significant judgment is required in making this assessment.</w:t>
      </w:r>
    </w:p>
    <w:p>
      <w:pPr>
        <w:spacing w:after="0" w:line="23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level of the liability to reflect any subsequent changes in the relevant facts and circumstances surrounding the uncertain positions.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cost of goods sold to write down such unmarketable inventory to its estimated realizable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6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01"/>
        </w:trPr>
        <w:tc>
          <w:tcPr>
            <w:tcW w:w="5840" w:type="dxa"/>
            <w:vAlign w:val="bottom"/>
            <w:gridSpan w:val="5"/>
          </w:tcPr>
          <w:p>
            <w:pPr>
              <w:spacing w:after="0"/>
              <w:rPr>
                <w:sz w:val="20"/>
                <w:szCs w:val="20"/>
                <w:color w:val="auto"/>
              </w:rPr>
            </w:pPr>
            <w:r>
              <w:rPr>
                <w:rFonts w:ascii="Arial" w:cs="Arial" w:eastAsia="Arial" w:hAnsi="Arial"/>
                <w:sz w:val="18"/>
                <w:szCs w:val="18"/>
                <w:b w:val="1"/>
                <w:bCs w:val="1"/>
                <w:color w:val="auto"/>
              </w:rPr>
              <w:t>Results of Operations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86"/>
        </w:trPr>
        <w:tc>
          <w:tcPr>
            <w:tcW w:w="58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Net Income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08"/>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4"/>
                <w:szCs w:val="24"/>
                <w:color w:val="auto"/>
              </w:rPr>
            </w:pPr>
          </w:p>
        </w:tc>
      </w:tr>
      <w:tr>
        <w:trPr>
          <w:trHeight w:val="48"/>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4,103.7</w:t>
            </w: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(2,851.8)</w:t>
            </w: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420" w:type="dxa"/>
            <w:vAlign w:val="bottom"/>
            <w:tcBorders>
              <w:right w:val="single" w:sz="8" w:color="CCEEFF"/>
            </w:tcBorders>
          </w:tcPr>
          <w:p>
            <w:pPr>
              <w:spacing w:after="0"/>
              <w:rPr>
                <w:sz w:val="23"/>
                <w:szCs w:val="23"/>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7"/>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60" w:type="dxa"/>
            <w:vAlign w:val="bottom"/>
            <w:gridSpan w:val="3"/>
          </w:tcPr>
          <w:p>
            <w:pPr>
              <w:ind w:left="26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1,225.1</w:t>
            </w: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420" w:type="dxa"/>
            <w:vAlign w:val="bottom"/>
            <w:tcBorders>
              <w:right w:val="single" w:sz="8" w:color="CCEEFF"/>
            </w:tcBorders>
          </w:tcPr>
          <w:p>
            <w:pPr>
              <w:spacing w:after="0"/>
              <w:rPr>
                <w:sz w:val="23"/>
                <w:szCs w:val="23"/>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97"/>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w:t>
            </w:r>
          </w:p>
        </w:tc>
      </w:tr>
      <w:tr>
        <w:trPr>
          <w:trHeight w:val="311"/>
        </w:trPr>
        <w:tc>
          <w:tcPr>
            <w:tcW w:w="1160" w:type="dxa"/>
            <w:vAlign w:val="bottom"/>
          </w:tcPr>
          <w:p>
            <w:pPr>
              <w:spacing w:after="0"/>
              <w:rPr>
                <w:sz w:val="24"/>
                <w:szCs w:val="24"/>
                <w:color w:val="auto"/>
              </w:rPr>
            </w:pPr>
          </w:p>
        </w:tc>
        <w:tc>
          <w:tcPr>
            <w:tcW w:w="420" w:type="dxa"/>
            <w:vAlign w:val="bottom"/>
            <w:tcBorders>
              <w:right w:val="single" w:sz="8" w:color="CCEEFF"/>
            </w:tcBorders>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513"/>
        </w:trPr>
        <w:tc>
          <w:tcPr>
            <w:tcW w:w="58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73"/>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4"/>
                <w:szCs w:val="24"/>
                <w:color w:val="auto"/>
              </w:rPr>
            </w:pPr>
          </w:p>
        </w:tc>
      </w:tr>
      <w:tr>
        <w:trPr>
          <w:trHeight w:val="48"/>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in the United States: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Arial" w:cs="Arial" w:eastAsia="Arial" w:hAnsi="Arial"/>
                <w:sz w:val="18"/>
                <w:szCs w:val="18"/>
                <w:color w:val="auto"/>
              </w:rPr>
              <w:t>EYLEA</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3,323.1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2,676.0</w:t>
            </w: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ARCALYST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Sanofi and Bayer collaboration revenue: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160" w:type="dxa"/>
            <w:vAlign w:val="bottom"/>
          </w:tcPr>
          <w:p>
            <w:pPr>
              <w:spacing w:after="0"/>
              <w:rPr>
                <w:sz w:val="21"/>
                <w:szCs w:val="21"/>
                <w:color w:val="auto"/>
              </w:rPr>
            </w:pPr>
          </w:p>
        </w:tc>
        <w:tc>
          <w:tcPr>
            <w:tcW w:w="420" w:type="dxa"/>
            <w:vAlign w:val="bottom"/>
            <w:tcBorders>
              <w:right w:val="single" w:sz="8" w:color="CCEEFF"/>
            </w:tcBorders>
          </w:tcPr>
          <w:p>
            <w:pPr>
              <w:spacing w:after="0"/>
              <w:rPr>
                <w:sz w:val="21"/>
                <w:szCs w:val="21"/>
                <w:color w:val="auto"/>
              </w:rPr>
            </w:pPr>
          </w:p>
        </w:tc>
        <w:tc>
          <w:tcPr>
            <w:tcW w:w="42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r>
      <w:tr>
        <w:trPr>
          <w:trHeight w:val="243"/>
        </w:trPr>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Arial" w:cs="Arial" w:eastAsia="Arial" w:hAnsi="Arial"/>
                <w:sz w:val="18"/>
                <w:szCs w:val="18"/>
                <w:color w:val="auto"/>
              </w:rPr>
              <w:t>Bayer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580.5</w:t>
            </w: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420" w:type="dxa"/>
            <w:vAlign w:val="bottom"/>
            <w:tcBorders>
              <w:right w:val="single" w:sz="8" w:color="CCEEFF"/>
            </w:tcBorders>
          </w:tcPr>
          <w:p>
            <w:pPr>
              <w:spacing w:after="0"/>
              <w:rPr>
                <w:sz w:val="23"/>
                <w:szCs w:val="23"/>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57"/>
        </w:trPr>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60" w:type="dxa"/>
            <w:vAlign w:val="bottom"/>
            <w:gridSpan w:val="3"/>
          </w:tcPr>
          <w:p>
            <w:pPr>
              <w:ind w:left="4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4,860.4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4,103.7</w:t>
            </w: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product sales of EYLEA in the United States increased in 2017 compared to 2016 and 2015 due to higher sales volume, partly offset by an increase in sales-related deductions primarily due to payer sales mix and new rebate programs.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18"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72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01"/>
        </w:trPr>
        <w:tc>
          <w:tcPr>
            <w:tcW w:w="5880" w:type="dxa"/>
            <w:vAlign w:val="bottom"/>
            <w:gridSpan w:val="4"/>
          </w:tcPr>
          <w:p>
            <w:pPr>
              <w:spacing w:after="0"/>
              <w:rPr>
                <w:sz w:val="20"/>
                <w:szCs w:val="20"/>
                <w:color w:val="auto"/>
              </w:rPr>
            </w:pPr>
            <w:r>
              <w:rPr>
                <w:rFonts w:ascii="Arial" w:cs="Arial" w:eastAsia="Arial" w:hAnsi="Arial"/>
                <w:sz w:val="18"/>
                <w:szCs w:val="18"/>
                <w:i w:val="1"/>
                <w:iCs w:val="1"/>
                <w:color w:val="auto"/>
              </w:rPr>
              <w:t>Sanofi Collaboration Revenue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3"/>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24"/>
                <w:szCs w:val="24"/>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4"/>
                <w:szCs w:val="24"/>
                <w:color w:val="auto"/>
              </w:rPr>
            </w:pPr>
          </w:p>
        </w:tc>
      </w:tr>
      <w:tr>
        <w:trPr>
          <w:trHeight w:val="48"/>
        </w:trPr>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0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rPr>
              <w:t>development expenses - Discovery Agreement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145.0</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4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80" w:type="dxa"/>
            <w:vAlign w:val="bottom"/>
            <w:tcBorders>
              <w:right w:val="single" w:sz="8" w:color="CCEEFF"/>
            </w:tcBorders>
          </w:tcPr>
          <w:p>
            <w:pPr>
              <w:spacing w:after="0"/>
              <w:rPr>
                <w:sz w:val="18"/>
                <w:szCs w:val="18"/>
                <w:color w:val="auto"/>
              </w:rPr>
            </w:pPr>
          </w:p>
        </w:tc>
        <w:tc>
          <w:tcPr>
            <w:tcW w:w="4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5"/>
              </w:rPr>
              <w:t>development expenses - License and Collaboration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4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Agreement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590.4</w:t>
            </w:r>
          </w:p>
        </w:tc>
      </w:tr>
      <w:tr>
        <w:trPr>
          <w:trHeight w:val="229"/>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rPr>
              <w:t>related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155.3</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4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4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43"/>
        </w:trPr>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1160" w:type="dxa"/>
            <w:vAlign w:val="bottom"/>
          </w:tcPr>
          <w:p>
            <w:pPr>
              <w:spacing w:after="0"/>
              <w:rPr>
                <w:sz w:val="22"/>
                <w:szCs w:val="22"/>
                <w:color w:val="auto"/>
              </w:rPr>
            </w:pPr>
          </w:p>
        </w:tc>
        <w:tc>
          <w:tcPr>
            <w:tcW w:w="380" w:type="dxa"/>
            <w:vAlign w:val="bottom"/>
            <w:tcBorders>
              <w:right w:val="single" w:sz="8" w:color="CCEEFF"/>
            </w:tcBorders>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663.0</w:t>
            </w:r>
          </w:p>
        </w:tc>
      </w:tr>
      <w:tr>
        <w:trPr>
          <w:trHeight w:val="237"/>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4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4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 - Discovery Agreement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29"/>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w w:val="95"/>
              </w:rPr>
              <w:t>development expenses - License and Collaboration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rPr>
              <w:t>Agreement</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380" w:type="dxa"/>
            <w:vAlign w:val="bottom"/>
            <w:tcBorders>
              <w:right w:val="single" w:sz="8" w:color="CCEEFF"/>
            </w:tcBorders>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37"/>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380" w:type="dxa"/>
            <w:vAlign w:val="bottom"/>
            <w:tcBorders>
              <w:right w:val="single" w:sz="8" w:color="CCEEFF"/>
            </w:tcBorders>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160" w:type="dxa"/>
            <w:vAlign w:val="bottom"/>
          </w:tcPr>
          <w:p>
            <w:pPr>
              <w:spacing w:after="0"/>
              <w:rPr>
                <w:sz w:val="22"/>
                <w:szCs w:val="22"/>
                <w:color w:val="auto"/>
              </w:rPr>
            </w:pPr>
          </w:p>
        </w:tc>
        <w:tc>
          <w:tcPr>
            <w:tcW w:w="380" w:type="dxa"/>
            <w:vAlign w:val="bottom"/>
            <w:tcBorders>
              <w:right w:val="single" w:sz="8" w:color="CCEEFF"/>
            </w:tcBorders>
          </w:tcPr>
          <w:p>
            <w:pPr>
              <w:spacing w:after="0"/>
              <w:rPr>
                <w:sz w:val="22"/>
                <w:szCs w:val="22"/>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758.9</w:t>
            </w:r>
          </w:p>
        </w:tc>
      </w:tr>
      <w:tr>
        <w:trPr>
          <w:trHeight w:val="20"/>
        </w:trPr>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lower reimbursement of antibody research and development costs under our License and Collaboration Agreement in 2017 compared to 2016 was primarily due to decreased reimbursement levels for Dupixent (dupilumab) subsequent to the receipt of the first positive Phase 3 trial results, and U.S. regulatory approval for, atopic dermatitis, in accordance with the terms of our collaboration agreement. The lower reimbursement of research and development costs under our License and Collaboration Agreement in 2016 compared to 2015 was primarily due to decreased collaboration development activities for Praluent, dupilumab, and REGN2222.</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commercializing Praluent, Kevzara, and Dupixent.</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accordance with the companies' License and Collaboration Agreement, we and Sanofi began sharing commercial expenses related to Praluent and Kevzara in 2014 and Dupixent in 2016. As such, during the same periods in which we recorded reimbursements from Sanofi related to our commercialization expenses, we also recorded our share of losses in connection with the companies commercializing Praluent, Kevzara, and Dupixent within Sanofi collaboration revenue. In 2017, Sanofi collaboration revenues in connection with commercialization of antibodies were positively impacted, compared to 2016, by higher sales of collaboration antibody products (see table below), higher reimbursements of Dupixent commercialization-related expenses, and a decrease in the collaborations' Praluent commercialization expenses, which were partially offset by an increase in the collaborations' Kevzara commercialization expenses. In 2016, Sanofi collaboration revenues were negatively impacted, compared to 2015, by higher commercialization expenses in connection with the launch of Praluent, and higher expenses in connection with preparing to commercialize Kevzara and Dupixent.</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global net product sales recorded by Sanofi: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Praluent in the 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Praluent outside of the United States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Praluent global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Dupixent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March 2017, the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rheumatoid arthritis in adult patients, and in June 2017, the European Commission granted marketing authorization for Kevzara for the treatment of rheumatoid arthritis in adult patients. The sales of Dupixent and Kevzara in 2017 primarily consist of U.S. sales.</w:t>
      </w:r>
    </w:p>
    <w:p>
      <w:pPr>
        <w:spacing w:after="0" w:line="24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2017, other Sanofi antibody revenue included (i) reimbursements by Sanofi in connection with commercial manufacturing activities under the terms of our collaboration agreement and (ii) an acceleration of the recognition of deferred revenue from an $85.0 million up-front payment and other payments in connection with Sanofi's decision to end our Antibody Discovery Agreement on December 31, 2017 without any extension.</w:t>
      </w:r>
    </w:p>
    <w:p>
      <w:pPr>
        <w:spacing w:after="0" w:line="22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July 2015, we and Sanofi entered into a global strategic collaboration to discover, develop, and commercialize antibody-based cancer treatments in the field of immuno-oncology. Sanofi's reimbursement of immuno-oncology research and development costs under our IO Discovery Agreement increased in 2017, compared to 2016 and 2015, primarily due to an increase in pre-clinical research activities for additional product candidates. Sanofi's reimbursement of immuno-oncology research and development costs under our IO License and Collaboration Agreement increased in 2017, compared to 2016 and 2015, as we advanced the cemiplimab clinical program into late-stage clinical development.</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2015 in connection with the execution of the IO Collaboration agreements.</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February 2015, we entered into an Amended ZALTRAP Agreement with Sanofi which amended and restated the ZALTRAP Collaboration Agreement. Under the Amended ZALTRAP Agreement, Sanofi is solely responsible for the development and commercialization of ZALTRAP. As a result, in the first quarter of 2015, we recognized $14.9 million of collaboration revenue, which was previously recorded as deferred revenue under the original ZALTRAP collaboration agreement, related to (i) amounts that were previously reimbursed by Sanofi for manufacturing commercial supplies of ZALTRAP since our risk of inventory loss no longer existed, and (ii) the unamortized portion of up-front payments from Sanofi as we had no further performance obligations.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3"/>
        </w:trPr>
        <w:tc>
          <w:tcPr>
            <w:tcW w:w="15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Bayer Collaboration Revenue</w:t>
            </w:r>
          </w:p>
        </w:tc>
        <w:tc>
          <w:tcPr>
            <w:tcW w:w="2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4"/>
                <w:szCs w:val="24"/>
                <w:color w:val="auto"/>
              </w:rPr>
            </w:pPr>
          </w:p>
        </w:tc>
      </w:tr>
      <w:tr>
        <w:trPr>
          <w:trHeight w:val="48"/>
        </w:trPr>
        <w:tc>
          <w:tcPr>
            <w:tcW w:w="154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15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15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54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154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1540" w:type="dxa"/>
            <w:vAlign w:val="bottom"/>
          </w:tcPr>
          <w:p>
            <w:pPr>
              <w:spacing w:after="0"/>
              <w:rPr>
                <w:sz w:val="18"/>
                <w:szCs w:val="18"/>
                <w:color w:val="auto"/>
              </w:rPr>
            </w:pPr>
          </w:p>
        </w:tc>
        <w:tc>
          <w:tcPr>
            <w:tcW w:w="4360" w:type="dxa"/>
            <w:vAlign w:val="bottom"/>
            <w:gridSpan w:val="2"/>
          </w:tcPr>
          <w:p>
            <w:pPr>
              <w:ind w:left="300"/>
              <w:spacing w:after="0"/>
              <w:rPr>
                <w:sz w:val="20"/>
                <w:szCs w:val="20"/>
                <w:color w:val="auto"/>
              </w:rPr>
            </w:pPr>
            <w:r>
              <w:rPr>
                <w:rFonts w:ascii="Arial" w:cs="Arial" w:eastAsia="Arial" w:hAnsi="Arial"/>
                <w:sz w:val="18"/>
                <w:szCs w:val="18"/>
                <w:color w:val="auto"/>
              </w:rPr>
              <w:t>commercialization of EYLEA outside the United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4360" w:type="dxa"/>
            <w:vAlign w:val="bottom"/>
            <w:gridSpan w:val="2"/>
          </w:tcPr>
          <w:p>
            <w:pPr>
              <w:ind w:left="300"/>
              <w:spacing w:after="0"/>
              <w:rPr>
                <w:sz w:val="20"/>
                <w:szCs w:val="20"/>
                <w:color w:val="auto"/>
              </w:rPr>
            </w:pPr>
            <w:r>
              <w:rPr>
                <w:rFonts w:ascii="Arial" w:cs="Arial" w:eastAsia="Arial" w:hAnsi="Arial"/>
                <w:sz w:val="18"/>
                <w:szCs w:val="18"/>
                <w:color w:val="auto"/>
              </w:rPr>
              <w:t>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649.2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4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1540" w:type="dxa"/>
            <w:vAlign w:val="bottom"/>
          </w:tcPr>
          <w:p>
            <w:pPr>
              <w:spacing w:after="0"/>
              <w:rPr>
                <w:sz w:val="19"/>
                <w:szCs w:val="19"/>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EYLEA development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1540" w:type="dxa"/>
            <w:vAlign w:val="bottom"/>
          </w:tcPr>
          <w:p>
            <w:pPr>
              <w:spacing w:after="0"/>
              <w:rPr>
                <w:sz w:val="20"/>
                <w:szCs w:val="20"/>
                <w:color w:val="auto"/>
              </w:rPr>
            </w:pPr>
          </w:p>
        </w:tc>
        <w:tc>
          <w:tcPr>
            <w:tcW w:w="436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540" w:type="dxa"/>
            <w:vAlign w:val="bottom"/>
            <w:tcBorders>
              <w:right w:val="single" w:sz="8" w:color="CCEEFF"/>
            </w:tcBorders>
          </w:tcPr>
          <w:p>
            <w:pPr>
              <w:spacing w:after="0"/>
              <w:rPr>
                <w:sz w:val="23"/>
                <w:szCs w:val="23"/>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7"/>
        </w:trPr>
        <w:tc>
          <w:tcPr>
            <w:tcW w:w="154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w:t>
            </w:r>
          </w:p>
        </w:tc>
      </w:tr>
      <w:tr>
        <w:trPr>
          <w:trHeight w:val="27"/>
        </w:trPr>
        <w:tc>
          <w:tcPr>
            <w:tcW w:w="15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540" w:type="dxa"/>
            <w:vAlign w:val="bottom"/>
            <w:tcBorders>
              <w:right w:val="single" w:sz="8" w:color="CCEEFF"/>
            </w:tcBorders>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Ang2 antibody and 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540" w:type="dxa"/>
            <w:vAlign w:val="bottom"/>
          </w:tcPr>
          <w:p>
            <w:pPr>
              <w:spacing w:after="0"/>
              <w:rPr>
                <w:sz w:val="21"/>
                <w:szCs w:val="21"/>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Reimbursement of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540" w:type="dxa"/>
            <w:vAlign w:val="bottom"/>
            <w:tcBorders>
              <w:right w:val="single" w:sz="8" w:color="CCEEFF"/>
            </w:tcBorders>
          </w:tcPr>
          <w:p>
            <w:pPr>
              <w:spacing w:after="0"/>
              <w:rPr>
                <w:sz w:val="23"/>
                <w:szCs w:val="23"/>
                <w:color w:val="auto"/>
              </w:rPr>
            </w:pPr>
          </w:p>
        </w:tc>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154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Total Ang2 antibody and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15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540" w:type="dxa"/>
            <w:vAlign w:val="bottom"/>
            <w:tcBorders>
              <w:right w:val="single" w:sz="8" w:color="CCEEFF"/>
            </w:tcBorders>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Bayer collaboration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0"/>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30"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Bayer records revenue from sales of EYLEA outside the United States. Regeneron's net profit in connection with commercialization of EYLEA outside the United States is summarized below.</w:t>
      </w:r>
    </w:p>
    <w:p>
      <w:pPr>
        <w:spacing w:after="0" w:line="369"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Regeneron's Net Profit from EYLEA Sales Outside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the United States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6"/>
          </w:tcPr>
          <w:p>
            <w:pPr>
              <w:jc w:val="right"/>
              <w:ind w:right="10"/>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2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Regeneron's share of collaboration profit from sales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3"/>
          </w:tcPr>
          <w:p>
            <w:pPr>
              <w:ind w:left="160"/>
              <w:spacing w:after="0"/>
              <w:rPr>
                <w:sz w:val="20"/>
                <w:szCs w:val="20"/>
                <w:color w:val="auto"/>
              </w:rPr>
            </w:pPr>
            <w:r>
              <w:rPr>
                <w:rFonts w:ascii="Arial" w:cs="Arial" w:eastAsia="Arial" w:hAnsi="Arial"/>
                <w:sz w:val="18"/>
                <w:szCs w:val="18"/>
                <w:color w:val="auto"/>
              </w:rPr>
              <w:t>outside the United States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Reimbursement of EYLEA development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incurred by Bayer in accordance with Regeneron's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649.2</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320" w:type="dxa"/>
            <w:vAlign w:val="bottom"/>
            <w:gridSpan w:val="3"/>
          </w:tcPr>
          <w:p>
            <w:pPr>
              <w:ind w:left="160"/>
              <w:spacing w:after="0"/>
              <w:rPr>
                <w:sz w:val="20"/>
                <w:szCs w:val="20"/>
                <w:color w:val="auto"/>
              </w:rPr>
            </w:pPr>
            <w:r>
              <w:rPr>
                <w:rFonts w:ascii="Arial" w:cs="Arial" w:eastAsia="Arial" w:hAnsi="Arial"/>
                <w:sz w:val="18"/>
                <w:szCs w:val="18"/>
                <w:color w:val="auto"/>
                <w:w w:val="95"/>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2015, we earned our final $15.0 million sales milestone from Bayer, upon total aggregate net sales of specific commercial supplies of EYLEA outside the United States exceeding $200.0 million over a twelve-month period.</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Other EYLEA revenue primarily consists of reimbursement of other Regeneron EYLEA expenses, including reimbursements for producing EYLEA commercial supplies for Bayer. In addition, other EYLEA revenue in the first five months of 2016 and for the full year 2015 includes Bayer's share of royalties payable to Genentech pursuant to a license and settlement agreement in connection with sales of EYLEA outside the United States; the obligation to pay Genentech royalties on such sales ended in May 2016. Other EYLEA revenue also includes recognition of deferred revenue related to the 2006 EYLEA up-front and 2007 non-substantive milestone payments from Bayer.</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March 2016, we entered into an agreement with Bayer governing the joint development and commercialization outside the United States of nesvacumab, an antibody product candidate to Ang2, including in combination with aflibercept, for the treatment of ocular diseases or disorders. In connection with the agreement, Bayer made a $50.0 million non-refundable up-front payment to us, which was recorded as deferred revenue and was being recognized as revenue over the related performance period. Bayer is also obligated to pay 25% of global development costs and 50% of development costs exclusively for the territory outside the United States. In the fourth quarter of 2017, we reported that results from two nesvacumab Phase 2 studies did not provide sufficient differentiation to warrant Phase 3 development; therefore, we recognized $37.4 million of revenue related to the acceleration of the recognition of deferred revenue from the up-front payment received from Bayer.</w:t>
      </w:r>
    </w:p>
    <w:p>
      <w:pPr>
        <w:spacing w:after="0" w:line="23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2014, we entered into a PDGFR-beta antibody collaboration agreement with Bayer. Bayer collaboration revenue also includes reimbursement of PDGFR-beta antibody development expenses related to Bayer's obligation to pay 25% of global development costs and 50% of development costs exclusively for the territory outside the United States. We discontinued clinical development of PDGFR-beta antibody in the first quarter of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89"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Other Revenue</w:t>
            </w:r>
          </w:p>
        </w:tc>
        <w:tc>
          <w:tcPr>
            <w:tcW w:w="24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Teva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rPr>
              <w:t>development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Substantive development milestones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Teva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September 2016, we and Teva entered into a collaboration agreement to develop and commercialize fasinumab. In 2017, we earned, and recognized as revenue, development milestones of $25.0 million and $35.0 million from Teva. Other Teva collaboration revenue includes recognition of a portion of deferred revenue from a $250.0 million up-front payment.</w:t>
      </w:r>
    </w:p>
    <w:p>
      <w:pPr>
        <w:sectPr>
          <w:pgSz w:w="11900" w:h="16838" w:orient="portrait"/>
          <w:cols w:equalWidth="0" w:num="1">
            <w:col w:w="11420"/>
          </w:cols>
          <w:pgMar w:left="240" w:top="13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30" w:right="2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2017, we earned, and recognized as revenue, a $30.0 million development milestone from MTPC. In addition, in 2017, MTPC made additional payments totaling $25.0 million related to development milestones achieved by MTPC, which were recorded as deferred revenue and are being recognized as revenue over the same performance period as the up-front payment. The revenue recognized in connection with the MTPC milestones are included in Other revenue in the table above.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to revenues earned in connection with our agreement with MTPC, "Other revenue" in the table above includes:</w:t>
      </w:r>
    </w:p>
    <w:p>
      <w:pPr>
        <w:spacing w:after="0" w:line="279" w:lineRule="exact"/>
        <w:rPr>
          <w:sz w:val="20"/>
          <w:szCs w:val="20"/>
          <w:color w:val="auto"/>
        </w:rPr>
      </w:pPr>
    </w:p>
    <w:p>
      <w:pPr>
        <w:ind w:left="6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terms of the Amended ZALTRAP Agreement, Sanofi's reimbursement for manufacturing commercial supplies of ZALTRAP and a percentage of aggregate net sales of ZALTRAP.</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Recognition of revenue related to amortization of the $165.0 million up-front payment we received in August 2010, which was deferred upon receipt and is being recognized as revenue through mid-2018, in connection with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addition, Astellas will make a $130.0 million second payment to us in June 2018 unless the license agreement has been terminated prior to that date. Astellas has the right to terminate the agreement at any time by providing 90 days' advance written notice.</w:t>
      </w:r>
    </w:p>
    <w:p>
      <w:pPr>
        <w:spacing w:after="0" w:line="1" w:lineRule="exact"/>
        <w:rPr>
          <w:rFonts w:ascii="Arial" w:cs="Arial" w:eastAsia="Arial" w:hAnsi="Arial"/>
          <w:sz w:val="18"/>
          <w:szCs w:val="18"/>
          <w:color w:val="auto"/>
        </w:rPr>
      </w:pPr>
    </w:p>
    <w:p>
      <w:pPr>
        <w:jc w:val="both"/>
        <w:ind w:left="660" w:hanging="328"/>
        <w:spacing w:after="0" w:line="22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13"/>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Increase (Decrease)</w:t>
            </w:r>
          </w:p>
        </w:tc>
      </w:tr>
      <w:tr>
        <w:trPr>
          <w:trHeight w:val="27"/>
        </w:trPr>
        <w:tc>
          <w:tcPr>
            <w:tcW w:w="5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5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2017 vs. 2016</w:t>
            </w:r>
          </w:p>
        </w:tc>
        <w:tc>
          <w:tcPr>
            <w:tcW w:w="16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2016 vs. 2015</w:t>
            </w:r>
          </w:p>
        </w:tc>
      </w:tr>
      <w:tr>
        <w:trPr>
          <w:trHeight w:val="27"/>
        </w:trPr>
        <w:tc>
          <w:tcPr>
            <w:tcW w:w="58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8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r>
      <w:tr>
        <w:trPr>
          <w:trHeight w:val="243"/>
        </w:trPr>
        <w:tc>
          <w:tcPr>
            <w:tcW w:w="580" w:type="dxa"/>
            <w:vAlign w:val="bottom"/>
          </w:tcPr>
          <w:p>
            <w:pPr>
              <w:spacing w:after="0"/>
              <w:rPr>
                <w:sz w:val="21"/>
                <w:szCs w:val="21"/>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339.2</w:t>
            </w:r>
          </w:p>
        </w:tc>
      </w:tr>
      <w:tr>
        <w:trPr>
          <w:trHeight w:val="27"/>
        </w:trPr>
        <w:tc>
          <w:tcPr>
            <w:tcW w:w="5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580" w:type="dxa"/>
            <w:vAlign w:val="bottom"/>
          </w:tcPr>
          <w:p>
            <w:pPr>
              <w:spacing w:after="0"/>
              <w:rPr>
                <w:sz w:val="19"/>
                <w:szCs w:val="19"/>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Cost of collaboration and contract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manufacturing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58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8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headcount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r>
      <w:tr>
        <w:trPr>
          <w:trHeight w:val="27"/>
        </w:trPr>
        <w:tc>
          <w:tcPr>
            <w:tcW w:w="58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average headcount in 2017 increased compared to 2016 principally in connection with expanding our manufacturing activities. Average headcount in 2016 increased compared to 2015 principally in connection with expanding our research and development, manufacturing, and commercialization activities.</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Operating expenses in 2017, 2016, and 2015 included a total of $507.3 million, $559.9 million, and $459.0 million, respectively, of non-cash compensation expense related to employee stock options and restricted stock. As of December 31, 2017, unrecognized non-cash compensation expense related to outstanding stock options and unvested restricted stock was $816.6 million and $34.9 million, respectively. We expect to recognize this non-cash compensation expense related to stock options and restricted stock over weighted-average periods of 1.9 years and 4.0 years,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28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588"/>
        </w:trPr>
        <w:tc>
          <w:tcPr>
            <w:tcW w:w="740" w:type="dxa"/>
            <w:vAlign w:val="bottom"/>
          </w:tcPr>
          <w:p>
            <w:pPr>
              <w:spacing w:after="0"/>
              <w:rPr>
                <w:sz w:val="24"/>
                <w:szCs w:val="24"/>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color w:val="auto"/>
                <w:w w:val="98"/>
              </w:rPr>
              <w:t>Research and Development Expenses</w:t>
            </w:r>
          </w:p>
        </w:tc>
        <w:tc>
          <w:tcPr>
            <w:tcW w:w="260" w:type="dxa"/>
            <w:vAlign w:val="bottom"/>
          </w:tcPr>
          <w:p>
            <w:pPr>
              <w:spacing w:after="0"/>
              <w:rPr>
                <w:sz w:val="24"/>
                <w:szCs w:val="24"/>
                <w:color w:val="auto"/>
              </w:rPr>
            </w:pPr>
          </w:p>
        </w:tc>
        <w:tc>
          <w:tcPr>
            <w:tcW w:w="3400" w:type="dxa"/>
            <w:vAlign w:val="bottom"/>
            <w:gridSpan w:val="8"/>
          </w:tcPr>
          <w:p>
            <w:pPr>
              <w:ind w:left="52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4"/>
                <w:szCs w:val="24"/>
                <w:color w:val="auto"/>
              </w:rPr>
            </w:pPr>
          </w:p>
        </w:tc>
        <w:tc>
          <w:tcPr>
            <w:tcW w:w="29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Increase (Decrease)</w:t>
            </w:r>
          </w:p>
        </w:tc>
      </w:tr>
      <w:tr>
        <w:trPr>
          <w:trHeight w:val="48"/>
        </w:trPr>
        <w:tc>
          <w:tcPr>
            <w:tcW w:w="7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64"/>
        </w:trPr>
        <w:tc>
          <w:tcPr>
            <w:tcW w:w="740" w:type="dxa"/>
            <w:vAlign w:val="bottom"/>
          </w:tcPr>
          <w:p>
            <w:pPr>
              <w:spacing w:after="0"/>
              <w:rPr>
                <w:sz w:val="22"/>
                <w:szCs w:val="22"/>
                <w:color w:val="auto"/>
              </w:rPr>
            </w:pPr>
          </w:p>
        </w:tc>
        <w:tc>
          <w:tcPr>
            <w:tcW w:w="3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2"/>
                <w:szCs w:val="22"/>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5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50"/>
              <w:spacing w:after="0" w:line="264"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5"/>
                <w:szCs w:val="25"/>
                <w:b w:val="1"/>
                <w:bCs w:val="1"/>
                <w:color w:val="auto"/>
                <w:vertAlign w:val="superscript"/>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2017 vs. 2016</w:t>
            </w:r>
          </w:p>
        </w:tc>
        <w:tc>
          <w:tcPr>
            <w:tcW w:w="180" w:type="dxa"/>
            <w:vAlign w:val="bottom"/>
          </w:tcPr>
          <w:p>
            <w:pPr>
              <w:spacing w:after="0"/>
              <w:rPr>
                <w:sz w:val="22"/>
                <w:szCs w:val="22"/>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2016 vs. 2015</w:t>
            </w:r>
          </w:p>
        </w:tc>
      </w:tr>
      <w:tr>
        <w:trPr>
          <w:trHeight w:val="209"/>
        </w:trPr>
        <w:tc>
          <w:tcPr>
            <w:tcW w:w="740" w:type="dxa"/>
            <w:vAlign w:val="bottom"/>
            <w:tcBorders>
              <w:right w:val="single" w:sz="8" w:color="CCEEFF"/>
            </w:tcBorders>
          </w:tcPr>
          <w:p>
            <w:pPr>
              <w:spacing w:after="0"/>
              <w:rPr>
                <w:sz w:val="18"/>
                <w:szCs w:val="18"/>
                <w:color w:val="auto"/>
              </w:rPr>
            </w:pPr>
          </w:p>
        </w:tc>
        <w:tc>
          <w:tcPr>
            <w:tcW w:w="3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Direct research and development</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37"/>
        </w:trPr>
        <w:tc>
          <w:tcPr>
            <w:tcW w:w="740" w:type="dxa"/>
            <w:vAlign w:val="bottom"/>
            <w:tcBorders>
              <w:right w:val="single" w:sz="8" w:color="CCEEFF"/>
            </w:tcBorders>
          </w:tcPr>
          <w:p>
            <w:pPr>
              <w:spacing w:after="0"/>
              <w:rPr>
                <w:sz w:val="20"/>
                <w:szCs w:val="20"/>
                <w:color w:val="auto"/>
              </w:rPr>
            </w:pPr>
          </w:p>
        </w:tc>
        <w:tc>
          <w:tcPr>
            <w:tcW w:w="32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740" w:type="dxa"/>
            <w:vAlign w:val="bottom"/>
          </w:tcPr>
          <w:p>
            <w:pPr>
              <w:spacing w:after="0"/>
              <w:rPr>
                <w:sz w:val="21"/>
                <w:szCs w:val="21"/>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Dupilumab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32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Cemiplimab</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740" w:type="dxa"/>
            <w:vAlign w:val="bottom"/>
          </w:tcPr>
          <w:p>
            <w:pPr>
              <w:spacing w:after="0"/>
              <w:rPr>
                <w:sz w:val="21"/>
                <w:szCs w:val="21"/>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Fasinumab</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32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Praluent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740" w:type="dxa"/>
            <w:vAlign w:val="bottom"/>
          </w:tcPr>
          <w:p>
            <w:pPr>
              <w:spacing w:after="0"/>
              <w:rPr>
                <w:sz w:val="21"/>
                <w:szCs w:val="21"/>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Suptavumab</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32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Sarilumab</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740" w:type="dxa"/>
            <w:vAlign w:val="bottom"/>
          </w:tcPr>
          <w:p>
            <w:pPr>
              <w:spacing w:after="0"/>
              <w:rPr>
                <w:sz w:val="19"/>
                <w:szCs w:val="19"/>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Other product candidates in clinical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3220" w:type="dxa"/>
            <w:vAlign w:val="bottom"/>
            <w:gridSpan w:val="3"/>
          </w:tcPr>
          <w:p>
            <w:pPr>
              <w:ind w:left="320"/>
              <w:spacing w:after="0"/>
              <w:rPr>
                <w:sz w:val="20"/>
                <w:szCs w:val="20"/>
                <w:color w:val="auto"/>
              </w:rPr>
            </w:pPr>
            <w:r>
              <w:rPr>
                <w:rFonts w:ascii="Arial" w:cs="Arial" w:eastAsia="Arial" w:hAnsi="Arial"/>
                <w:sz w:val="18"/>
                <w:szCs w:val="18"/>
                <w:color w:val="auto"/>
              </w:rPr>
              <w:t>development and other research</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3220" w:type="dxa"/>
            <w:vAlign w:val="bottom"/>
            <w:gridSpan w:val="3"/>
          </w:tcPr>
          <w:p>
            <w:pPr>
              <w:ind w:left="320"/>
              <w:spacing w:after="0"/>
              <w:rPr>
                <w:sz w:val="20"/>
                <w:szCs w:val="20"/>
                <w:color w:val="auto"/>
              </w:rPr>
            </w:pPr>
            <w:r>
              <w:rPr>
                <w:rFonts w:ascii="Arial" w:cs="Arial" w:eastAsia="Arial" w:hAnsi="Arial"/>
                <w:sz w:val="18"/>
                <w:szCs w:val="18"/>
                <w:color w:val="auto"/>
              </w:rPr>
              <w:t>programs</w:t>
            </w: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121.6</w:t>
            </w:r>
          </w:p>
        </w:tc>
      </w:tr>
      <w:tr>
        <w:trPr>
          <w:trHeight w:val="27"/>
        </w:trPr>
        <w:tc>
          <w:tcPr>
            <w:tcW w:w="740" w:type="dxa"/>
            <w:vAlign w:val="bottom"/>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740" w:type="dxa"/>
            <w:vAlign w:val="bottom"/>
            <w:tcBorders>
              <w:right w:val="single" w:sz="8" w:color="CCEEFF"/>
            </w:tcBorders>
          </w:tcPr>
          <w:p>
            <w:pPr>
              <w:spacing w:after="0"/>
              <w:rPr>
                <w:sz w:val="18"/>
                <w:szCs w:val="18"/>
                <w:color w:val="auto"/>
              </w:rPr>
            </w:pPr>
          </w:p>
        </w:tc>
        <w:tc>
          <w:tcPr>
            <w:tcW w:w="32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6"/>
              </w:rPr>
              <w:t>Total direct research and development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57"/>
        </w:trPr>
        <w:tc>
          <w:tcPr>
            <w:tcW w:w="740" w:type="dxa"/>
            <w:vAlign w:val="bottom"/>
            <w:tcBorders>
              <w:right w:val="single" w:sz="8" w:color="CCEEFF"/>
            </w:tcBorders>
          </w:tcPr>
          <w:p>
            <w:pPr>
              <w:spacing w:after="0"/>
              <w:rPr>
                <w:sz w:val="22"/>
                <w:szCs w:val="22"/>
                <w:color w:val="auto"/>
              </w:rPr>
            </w:pPr>
          </w:p>
        </w:tc>
        <w:tc>
          <w:tcPr>
            <w:tcW w:w="322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w:t>
            </w:r>
          </w:p>
        </w:tc>
      </w:tr>
      <w:tr>
        <w:trPr>
          <w:trHeight w:val="209"/>
        </w:trPr>
        <w:tc>
          <w:tcPr>
            <w:tcW w:w="7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Indirect research and development</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32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Payroll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r>
      <w:tr>
        <w:trPr>
          <w:trHeight w:val="243"/>
        </w:trPr>
        <w:tc>
          <w:tcPr>
            <w:tcW w:w="740" w:type="dxa"/>
            <w:vAlign w:val="bottom"/>
          </w:tcPr>
          <w:p>
            <w:pPr>
              <w:spacing w:after="0"/>
              <w:rPr>
                <w:sz w:val="21"/>
                <w:szCs w:val="21"/>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Clinical manufacturing costs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740" w:type="dxa"/>
            <w:vAlign w:val="bottom"/>
            <w:tcBorders>
              <w:right w:val="single" w:sz="8" w:color="CCEEFF"/>
            </w:tcBorders>
          </w:tcPr>
          <w:p>
            <w:pPr>
              <w:spacing w:after="0"/>
              <w:rPr>
                <w:sz w:val="19"/>
                <w:szCs w:val="19"/>
                <w:color w:val="auto"/>
              </w:rPr>
            </w:pPr>
          </w:p>
        </w:tc>
        <w:tc>
          <w:tcPr>
            <w:tcW w:w="3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Research, licensing, and other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740" w:type="dxa"/>
            <w:vAlign w:val="bottom"/>
            <w:tcBorders>
              <w:right w:val="single" w:sz="8" w:color="CCEEFF"/>
            </w:tcBorders>
          </w:tcPr>
          <w:p>
            <w:pPr>
              <w:spacing w:after="0"/>
              <w:rPr>
                <w:sz w:val="20"/>
                <w:szCs w:val="20"/>
                <w:color w:val="auto"/>
              </w:rPr>
            </w:pPr>
          </w:p>
        </w:tc>
        <w:tc>
          <w:tcPr>
            <w:tcW w:w="32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740" w:type="dxa"/>
            <w:vAlign w:val="bottom"/>
          </w:tcPr>
          <w:p>
            <w:pPr>
              <w:spacing w:after="0"/>
              <w:rPr>
                <w:sz w:val="21"/>
                <w:szCs w:val="21"/>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Occupancy and other operating costs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740" w:type="dxa"/>
            <w:vAlign w:val="bottom"/>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740" w:type="dxa"/>
            <w:vAlign w:val="bottom"/>
            <w:tcBorders>
              <w:right w:val="single" w:sz="8" w:color="CCEEFF"/>
            </w:tcBorders>
          </w:tcPr>
          <w:p>
            <w:pPr>
              <w:spacing w:after="0"/>
              <w:rPr>
                <w:sz w:val="18"/>
                <w:szCs w:val="18"/>
                <w:color w:val="auto"/>
              </w:rPr>
            </w:pPr>
          </w:p>
        </w:tc>
        <w:tc>
          <w:tcPr>
            <w:tcW w:w="32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indirect research and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57"/>
        </w:trPr>
        <w:tc>
          <w:tcPr>
            <w:tcW w:w="740" w:type="dxa"/>
            <w:vAlign w:val="bottom"/>
            <w:tcBorders>
              <w:right w:val="single" w:sz="8" w:color="CCEEFF"/>
            </w:tcBorders>
          </w:tcPr>
          <w:p>
            <w:pPr>
              <w:spacing w:after="0"/>
              <w:rPr>
                <w:sz w:val="22"/>
                <w:szCs w:val="22"/>
                <w:color w:val="auto"/>
              </w:rPr>
            </w:pPr>
          </w:p>
        </w:tc>
        <w:tc>
          <w:tcPr>
            <w:tcW w:w="322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r>
      <w:tr>
        <w:trPr>
          <w:trHeight w:val="257"/>
        </w:trPr>
        <w:tc>
          <w:tcPr>
            <w:tcW w:w="740" w:type="dxa"/>
            <w:vAlign w:val="bottom"/>
          </w:tcPr>
          <w:p>
            <w:pPr>
              <w:spacing w:after="0"/>
              <w:rPr>
                <w:sz w:val="22"/>
                <w:szCs w:val="22"/>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4"/>
              </w:rPr>
              <w:t>Total research and development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431.7</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"Direct research and development expenses - Other product candidates in clinical development and other research programs" in 2017 included a $25.0 million up-front payment made in connection with a November 2017 agreement with Decibel Therapeutics, and in 2016 included the $75.0 million and $25.0 million up-front payments made in connection with the license and collaboration agreements with Intellia and Adicet, respectively. Clinical manufacturing costs increased in 2016, compared to 2015, primarily due to costs related to manufacturing additional drug supplies of dupilumab, fasinumab, and cemiplimab, partly offset by lower costs related to manufacturing less clinical supplies of Praluent. Research and development expenses included Non-Cash Compensation Expense of $271.9 million in 2017, $313.0 million in 2016, and $255.7 million in 2015.</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 As a result of the variability in the duration and costs necessary to develop a pharmaceutical product, potential opportunities and/or uncertainties related to future indications to be studied, the estimated cost and scope of the projects, and our ultimate ability to obtain governmental approval for commercialization, we have not provided estimates of the total cost to bring our product candidates to market. Similarly, we are unable to reasonably estimate if our product candidates in clinical development will generate material product revenues and net cash inflows.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Selling, general, and administrative expenses increased in 2017, compared to 2016, primarily due to (i) an increase in commercialization-related expenses associated with Dupixent and EYLEA, and, to a lesser extent, Kevzara and cemiplimab, partly offset by lower commercialization-related expenses associated with Praluent, and (ii) higher headcount and headcount-related costs. Selling, general, and administrative expenses increased in 2016 compared to 2015 primarily due to (i) higher commercialization-related expenses associated with Praluent and higher commercialization-related expenses in connection with preparing to launch sarilumab and dupilumab, (ii) higher contributions to not-for-profit organizations, including donations to independent not-for-profit patient assistance organizations, and (iii) higher headcount and headcount-related costs. Selling, general, and administrative expenses also included $208.4 million, $231.2 million, and $193.0 million of Non-cash Compensation Expense in 2017, 2016, and 2015,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Cost of goods sold increased slightly in 2017, compared to 2016, principally due to an increase in start-up costs for our Limerick manufacturing facility, offset due to the fact that, effective May 2016, we were no longer obligated to pay royalties to Genentech based on U.S. sales of EYLEA. Cost of goods sold decreased in 2016, compared to 2015, principally due to the fact that, effective May 2016, we are no longer obligated to pay royalties to Genentech based on U.S. sales of EYLEA; this decrease was partly offset by an increase in Limerick start-up costs and an increase in U.S. EYLEA 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Cost of collaboration and contract manufacturing increased in 2017, compared to 2016, primarily due to costs we incurred in connection with validating our Limerick manufacturing commercial facility related to products that are in collaboration with Sanofi, partly offset by the fact that 2016 included royalties payable to Genentech based on sales of EYLEA outside the United States (which ended in May 2016). Cost of collaboration and contract manufacturing was also adversely impacted by inventory write-offs and reserves totaling $57.2 million in 2017 primarily related to product that no longer met quality specifications, compared to $11.2 million and $23.5 million in 2016 and 2015, respectively.</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Cost of collaboration and contract manufacturing decreased in 2016, compared to 2015, primarily due to lower royalties since our obligation to pay Genentech based on sales of EYLEA outside the United States ended in May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Other expenses in 2017 include the recognition of a $30.1 million loss on debt extinguishment related to the 2017 Tarrytown lease transaction. See Note 12 to our Consolidated Financial Statements. This expense was largely offset by investment income earned from our marketable securities in 2017.</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expenses in 2016 and 2015 included the recognition of a $0.5 million and $18.9 million loss, respectively, in connection with convertible notes which were surrendered for conversion during the respective periods. Other expenses in 2016 also included a $9.8 million other-than-temporary impairment charge related to an investment in an equity security.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589.0</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r>
    </w:tbl>
    <w:p>
      <w:pPr>
        <w:spacing w:after="0" w:line="14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December 22, 2017, the bill known as the "Tax Cuts and Jobs Act" (the Act) was signed into law. The Act, which became effective with respect to most of its provisions as of January 1, 2018, includes a number of provisions that are expected to impact us, including reducing the U.S. federal corporate income tax rate from 35% to 21%, changing the taxation of foreign earnings (including taxation of certain global intangible low-taxed income), allowing immediate expensing of the cost for qualified assets, repealing the deduction for domestic manufacturing, and imposing further limitations on the deductibility of executive compensation. Changes in tax rates and tax laws are accounted for in the period of enactment. Therefore, as a result of the Act being signed into law, we recognized a provisional charge of $326.2 million in the fourth quarter of 2017 related to the re-measurement of our U.S. net deferred tax assets at the lower enacted corporate tax rates. The 2017 effective tax rate was negatively impacted by this charge, and was partly offset by the tax benefit associated with stock-based compensation. The provisional charge recorded in the fourth quarter of 2017 is an estimate and subject to further analysis, interpretation, and clarification of the Act, which could result in changes to this estimate during 2018.</w:t>
      </w:r>
    </w:p>
    <w:p>
      <w:pPr>
        <w:spacing w:after="0" w:line="23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2016 effective tax rate was positively impacted, compared to the U.S. federal statutory rate, by the tax benefit associated with stock-based compensation, partly offset by the negative impact of losses incurred in foreign jurisdictions with rates lower than the U.S. federal statutory rate. As described in Note 1 and Note 16 of our Consolidated Financial Statements, during 2016 we adopted Accounting Standards Update 2016-09, which requires an entity to recognize all excess tax benefits and tax deficiencies in connection with stock-based compensation as income tax expense or benefit in the income statement (previously, excess tax benefits were recognized in additional paid-in capital).</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2015 effective tax rate was negatively impacted, compared to the U.S. federal statutory rate, by losses incurred in foreign jurisdictions with rates lower than the U.S. federal statutory rate, partly offset by the positive impact of the domestic manufacturing deduction.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86"/>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48"/>
        </w:trPr>
        <w:tc>
          <w:tcPr>
            <w:tcW w:w="18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30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w:t>
            </w:r>
          </w:p>
        </w:tc>
      </w:tr>
      <w:tr>
        <w:trPr>
          <w:trHeight w:val="27"/>
        </w:trPr>
        <w:tc>
          <w:tcPr>
            <w:tcW w:w="1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(Decrease)</w:t>
            </w:r>
          </w:p>
        </w:tc>
      </w:tr>
      <w:tr>
        <w:trPr>
          <w:trHeight w:val="27"/>
        </w:trPr>
        <w:tc>
          <w:tcPr>
            <w:tcW w:w="184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8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spacing w:after="0"/>
              <w:rPr>
                <w:sz w:val="21"/>
                <w:szCs w:val="21"/>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277.5</w:t>
            </w:r>
          </w:p>
        </w:tc>
      </w:tr>
      <w:tr>
        <w:trPr>
          <w:trHeight w:val="27"/>
        </w:trPr>
        <w:tc>
          <w:tcPr>
            <w:tcW w:w="1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Marketable securities - current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r>
      <w:tr>
        <w:trPr>
          <w:trHeight w:val="243"/>
        </w:trPr>
        <w:tc>
          <w:tcPr>
            <w:tcW w:w="1840" w:type="dxa"/>
            <w:vAlign w:val="bottom"/>
          </w:tcPr>
          <w:p>
            <w:pPr>
              <w:spacing w:after="0"/>
              <w:rPr>
                <w:sz w:val="21"/>
                <w:szCs w:val="21"/>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Marketable securities - non-current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622.3</w:t>
            </w:r>
          </w:p>
        </w:tc>
      </w:tr>
      <w:tr>
        <w:trPr>
          <w:trHeight w:val="27"/>
        </w:trPr>
        <w:tc>
          <w:tcPr>
            <w:tcW w:w="184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184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993.1</w:t>
            </w:r>
          </w:p>
        </w:tc>
      </w:tr>
      <w:tr>
        <w:trPr>
          <w:trHeight w:val="20"/>
        </w:trPr>
        <w:tc>
          <w:tcPr>
            <w:tcW w:w="18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8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spacing w:after="0"/>
              <w:rPr>
                <w:sz w:val="21"/>
                <w:szCs w:val="21"/>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4,335.0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1,154.8</w:t>
            </w:r>
          </w:p>
        </w:tc>
      </w:tr>
      <w:tr>
        <w:trPr>
          <w:trHeight w:val="27"/>
        </w:trPr>
        <w:tc>
          <w:tcPr>
            <w:tcW w:w="1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84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37"/>
        </w:trPr>
        <w:tc>
          <w:tcPr>
            <w:tcW w:w="18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1,260.8</w:t>
            </w:r>
          </w:p>
        </w:tc>
      </w:tr>
      <w:tr>
        <w:trPr>
          <w:trHeight w:val="27"/>
        </w:trPr>
        <w:tc>
          <w:tcPr>
            <w:tcW w:w="1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Additionally, as of December 31, 2017, we had borrowing availability of $750.0 million under a revolving credit facility (see further description under "</w:t>
      </w:r>
      <w:r>
        <w:rPr>
          <w:rFonts w:ascii="Arial" w:cs="Arial" w:eastAsia="Arial" w:hAnsi="Arial"/>
          <w:sz w:val="18"/>
          <w:szCs w:val="18"/>
          <w:i w:val="1"/>
          <w:iCs w:val="1"/>
          <w:color w:val="auto"/>
        </w:rPr>
        <w:t>Credit Facility</w:t>
      </w:r>
      <w:r>
        <w:rPr>
          <w:rFonts w:ascii="Arial" w:cs="Arial" w:eastAsia="Arial" w:hAnsi="Arial"/>
          <w:sz w:val="18"/>
          <w:szCs w:val="18"/>
          <w:color w:val="auto"/>
        </w:rPr>
        <w:t>"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2017, 2016, and 2015</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Increase (Decrease)</w:t>
            </w:r>
          </w:p>
        </w:tc>
      </w:tr>
      <w:tr>
        <w:trPr>
          <w:trHeight w:val="27"/>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2017 vs. 2016</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2016 vs. 2015</w:t>
            </w:r>
          </w:p>
        </w:tc>
      </w:tr>
      <w:tr>
        <w:trPr>
          <w:trHeight w:val="27"/>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7"/>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r>
      <w:tr>
        <w:trPr>
          <w:trHeight w:val="27"/>
        </w:trPr>
        <w:tc>
          <w:tcPr>
            <w:tcW w:w="5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u w:val="single" w:color="auto"/>
          <w:color w:val="auto"/>
        </w:rPr>
        <w:t>2017</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income in 2017 included Non-cash Compensation Expense of $507.3 million. Deferred tax assets as of December 31, 2017 decreased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$318.8 million, compared to December 31, 2016, primarily due to the re-measurement of our U.S. net deferred tax assets at the lower enacted corporate tax rates pursuant to the Act (as described above) and additional tax depreciation, partly offset by an increase in deferred tax assets related to share-based compensation. Cash flows from operating activities for the year ended December 31, 2017 were negatively impacted by $926.5 million in connection with changes in other assets and liabilities. Included in such change was a decrease in deferred revenue by $113.1 million compared to December 31, 2016, partly due to the acceleration of the recognition of deferred revenue in connection with the Sanofi Antibody Discovery Agreement and the Bayer nesvacumab agreement; see "Results of Operations" section above for further details.</w:t>
      </w:r>
    </w:p>
    <w:p>
      <w:pPr>
        <w:spacing w:after="0" w:line="22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u w:val="single" w:color="auto"/>
          <w:color w:val="auto"/>
        </w:rPr>
        <w:t>2016</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income in 2016 included Non-cash Compensation Expense of $559.9 million. Deferred tax assets as of December 31, 2016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$360.1 million, compared to December 31, 2015, primarily due to an increase in share-based compensation, the tax basis of intangible assets, and deferred revenue. Deferred revenue increased by $244.3 million as of December 31, 2016, compared to December 31, 2015, primarily due to $250.0 million and $60.0 million of payments received during 2016 from Teva and Mitsubishi, respectively, in connection with the companies' respective fasinumab collaborations, and the $50.0 million up-front payment from Bayer in connection with the companies' Ang2 collaboration, partly offset primarily by the amortization of these 2016 payments and past up-front payments from Sanofi. Accounts payable, accrued expenses, and other liabilities increased by $254.0 million as of December 31, 2016, compared to December 31, 2015, primarily due to higher tax related liabilities.</w:t>
      </w:r>
    </w:p>
    <w:p>
      <w:pPr>
        <w:spacing w:after="0" w:line="22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u w:val="single" w:color="auto"/>
          <w:color w:val="auto"/>
        </w:rPr>
        <w:t>2015</w:t>
      </w:r>
      <w:r>
        <w:rPr>
          <w:rFonts w:ascii="Arial" w:cs="Arial" w:eastAsia="Arial" w:hAnsi="Arial"/>
          <w:sz w:val="18"/>
          <w:szCs w:val="18"/>
          <w:b w:val="1"/>
          <w:bCs w:val="1"/>
          <w:color w:val="auto"/>
        </w:rPr>
        <w:t xml:space="preserve">. </w:t>
      </w:r>
      <w:r>
        <w:rPr>
          <w:rFonts w:ascii="Arial" w:cs="Arial" w:eastAsia="Arial" w:hAnsi="Arial"/>
          <w:sz w:val="18"/>
          <w:szCs w:val="18"/>
          <w:color w:val="auto"/>
        </w:rPr>
        <w:t>Our net income in 2015 included Non-cash Compensation Expense of $459.0 million. Deferred tax assets as of December 31, 2015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$121.6 million, compared to December 31, 2014, primarily due to an increase in share-based compensation, partly offset by a reduction in our deferred tax assets related to fixed assets and deferred revenue. Deferred revenue increased by $608.9 million as of December 31, 2015, compared to December 31, 2014, primarily due to $640.0 million of up-front payments received from Sanofi in connection with the companies' IO Collaboration, partly offset by related amortization which commenced in the third quarter of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Capital expenditures were $272.6 million, $511.9 million, and $677.9 million in 2017, 2016, and 2015, respectively. Capital expenditures decreased in 2017, compared to 2016, in part due to less capital expenditures in connection with renovations and additions at our Limerick, Ireland and Rensselaer, New York manufacturing facilities. Capital expenditures decreased in 2016, compared to 2015, primarily due to less capital expenditures in connection with renovations of our Limerick, Ireland manufacturing facility and 2015 included the acquisition of an approximate 100-acre parcel of undeveloped land adjacent to our current Tarrytown, New York location for an aggregate purchase price of $73.0 million.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expect to incur capital expenditures of $420 million to $500 million in 2018 primarily in connection with expanding a portion of our manufacturing facilities at our Rensselaer, New York facility, continued renovations and expansion of our Limerick, Ireland facility, and laboratory expansion and renovations at our Tarrytown, New York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In 2017, proceeds in connection with capital and facility lease obligations relate to our receipt of $57.0 million in connection with the March 2017 lease transaction as described below under "Tarrytown, New York Leases". In 2016 and 2015, $12.9 million and $166.5 million principal amount of our Notes, respectively, that was previously surrendered for conversion was settled in cash. Also during 2016 and 2015, we paid an aggregate amount of $643.4 million and $573.5 million, respectively, to warrant holders to reduce the maximum number of shares of Common Stock issuable upon exercise of the warrants. In 2015, cash flows from financing activities included $405.3 million due to utilization of excess tax benefits in connection with stock option exercises, which offset cash tax obligations. In 2016, we elected to adopt Accounting Standards Update 2016-09, </w:t>
      </w:r>
      <w:r>
        <w:rPr>
          <w:rFonts w:ascii="Arial" w:cs="Arial" w:eastAsia="Arial" w:hAnsi="Arial"/>
          <w:sz w:val="16"/>
          <w:szCs w:val="16"/>
          <w:i w:val="1"/>
          <w:iCs w:val="1"/>
          <w:color w:val="auto"/>
        </w:rPr>
        <w:t>Compensation - Stock Compensation,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Share-Based Payment Accounting</w:t>
      </w:r>
      <w:r>
        <w:rPr>
          <w:rFonts w:ascii="Arial" w:cs="Arial" w:eastAsia="Arial" w:hAnsi="Arial"/>
          <w:sz w:val="16"/>
          <w:szCs w:val="16"/>
          <w:color w:val="auto"/>
        </w:rPr>
        <w:t>; consequently, we began to record excess tax benefits as an operating activity in the statement of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2017.</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described in Part 1, Item 1. "Business - Collaborations - Collaborations with Sanofi," effective January 7, 2018, we and Sanofi entered into a Letter Agreement in connection with, among other matters, increasing the development budget amount for cemiplimab and allocating additional funds to certain proposed activities relating to the development of dupilumab and REGN3500 and non-approval trials of dupilumab. Pursuant to the Letter Agreement, we have agreed to allow Sanofi to satisfy in whole or in part its funding obligations with respect to cemiplimab development and/or Dupilumab/REGN3500 Eligible Investments by selling up to 1,400,000 shares of our Common Stock directly or indirectly owned by Sanofi through September 30, 2020. If Sanofi desires to sell shares of our Common Stock during the term of the Letter Agreement to satisfy a portion or all of its funding obligations for the cemiplimab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lease laboratory and office facilities in Tarrytown, New York. On December 30, 2016, we entered into a Purchase Agreement with BMR-Landmark at Eastview LLC and BMR-Landmark at Eastview IV LLC (collectively, BMR), pursuant to which we agreed to purchase BMR's Tarrytown, New York facilities (the Facility) for a purchase price of $720.0 million. We occupy a significant portion of the Facility, with the remaining rentable area under leases to third-party tenants. In accordance with the terms of the Purchase Agreement, we paid $57.0 million toward the purchase price to BMR in December 2016.</w:t>
      </w:r>
    </w:p>
    <w:p>
      <w:pPr>
        <w:spacing w:after="0" w:line="20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3, 2017, we entered into a Participation Agreement with Banc of America Leasing &amp; Capital LLC (BAL), as lessor, and a syndicate of lenders (collectively, the Participants). The Participation Agreement provided for lease financing in connection with the acquisition by BAL of the Facility and our lease of the Facility from BAL. On March 3, 2017, we assigned our right to take title to the Facility under the Purchase Agreement to BAL, and the Participants advanced $720.0 million, which was used by BAL to finance the purchase price for the Facility and to reimburse us for the $57.0 million payment we made to BMR in December 2016.</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3, 2017, we also entered into a lease agreement (the Lease) with BAL, pursuant to which we have leased the Facility from BAL for a five-year term. As a result of entering into the lease agreement, certain parts of the Facility became subleased from us by existing third-party tenants.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December 31,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amount required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We believe that our existing capital resources, borrowing availability under our revolving credit facility, funds generated by anticipated EYLEA net product sales, and, as described above under Part 1, Item 1. "Business - Collaborations," funding for reimbursement of research and development costs that we are entitled to receive under our collaboration agreements, will enable us to meet our projected operating needs for the foreseeable future.</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302"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Payments Due by Period</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Greater</w:t>
            </w:r>
          </w:p>
        </w:tc>
      </w:tr>
      <w:tr>
        <w:trPr>
          <w:trHeight w:val="234"/>
        </w:trPr>
        <w:tc>
          <w:tcPr>
            <w:tcW w:w="37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one year</w:t>
            </w: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1 to 3 years</w:t>
            </w: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3 to 5 years</w:t>
            </w: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than 5 years</w:t>
            </w:r>
          </w:p>
        </w:tc>
      </w:tr>
      <w:tr>
        <w:trPr>
          <w:trHeight w:val="27"/>
        </w:trPr>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7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Purchase and other obligations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70"/>
        </w:trPr>
        <w:tc>
          <w:tcPr>
            <w:tcW w:w="37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Capital and facility lease obligations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37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460" w:right="20" w:hanging="236"/>
        <w:spacing w:after="0" w:line="245" w:lineRule="auto"/>
        <w:tabs>
          <w:tab w:leader="none" w:pos="14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Purchase and other obligations primarily relate to research and development commitments, including those related to clinical trials, and capital expenditures. Our obligation to pay certain of these amounts may increase or be reduced based on relevant future events.</w:t>
      </w:r>
    </w:p>
    <w:p>
      <w:pPr>
        <w:jc w:val="both"/>
        <w:ind w:left="1460" w:hanging="236"/>
        <w:spacing w:after="0" w:line="255" w:lineRule="auto"/>
        <w:tabs>
          <w:tab w:leader="none" w:pos="14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Represents rent payments with respect to capital lease and facility lease obligations in connection with our property leases in Tarrytown, New York, as described under "</w:t>
      </w:r>
      <w:r>
        <w:rPr>
          <w:rFonts w:ascii="Arial" w:cs="Arial" w:eastAsia="Arial" w:hAnsi="Arial"/>
          <w:sz w:val="16"/>
          <w:szCs w:val="16"/>
          <w:i w:val="1"/>
          <w:iCs w:val="1"/>
          <w:color w:val="auto"/>
        </w:rPr>
        <w:t>Tarrytown, New York Leases</w:t>
      </w:r>
      <w:r>
        <w:rPr>
          <w:rFonts w:ascii="Arial" w:cs="Arial" w:eastAsia="Arial" w:hAnsi="Arial"/>
          <w:sz w:val="16"/>
          <w:szCs w:val="16"/>
          <w:color w:val="auto"/>
        </w:rPr>
        <w:t>" above and Note 12 to our Consolidated Financial Statements. Amounts in the table above exclude the purchase price we would be obligated to pay if we were to exercise our option to purchase the Facility.</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Liabilities for unrecognized tax benefits, totaling $146.2 million at December 31, 2017, are not included in the table of contractual obligations above as, due to their nature, there is a high degree of uncertainty regarding the period of potential future cash settlement with taxing authorities. See Note 16 to our Consolidated Financial Statements.</w:t>
      </w:r>
    </w:p>
    <w:p>
      <w:pPr>
        <w:spacing w:after="0" w:line="2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Under certain collaboration agreements, the amount of funding for reimbursement of research and development costs that we are entitled to receive is capped at a specified amount; therefore, we may elect to independently fund certain research and development costs in excess of such capped amounts. Pursuant to the Antibody Discovery Agreement, as amended, Sanofi was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responsible for funding up to $130.0 million of our antibody discovery activities in 2017. Our Antibody Discovery Agreement with Sanofi ended on December 31, 2017 and, therefore, there will be no funding from Sanofi under the Antibody Discovery Agreement beyond 2017.</w:t>
      </w:r>
    </w:p>
    <w:p>
      <w:pPr>
        <w:spacing w:after="0" w:line="2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w:t>
      </w:r>
    </w:p>
    <w:p>
      <w:pPr>
        <w:spacing w:after="0" w:line="8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anticipate continuing to incur substantial commercialization costs for EYLEA, Dupixent, Praluent, and Kevzara, as well as in connection with our late-stage antibody product candidates, including cemiplimab. Commercialization costs over the next few years will depend on, among other things, the market potential for product candidates, whether commercialization costs are shared with a collaborator, regulatory approval of additional product candidates, and whether we may be required to pay additional royalties or share the profits from sales of products pursuant to our license or collaboration agreements or otherwise.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Because of these factors, such payments are not included in the table of contractual obligations above. See Note 3 and Note 12 to our Consolidated Financial Statements.</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Under our Antibody and IO Collaborations with Sanofi and our collaboration with Bayer for EYLEA outside the United States,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Bayer for a defined percentage (generally 50%) of agreed-upon development expenses funded by Sanofi and Bayer. These reimbursements would be deducted each quarter, in accordance with a formula, from our share of the collaboration profits (and, for our EYLEA collaboration with Bayer, inclusive of our percentage on product sales in Japan) otherwise payable to us, unless, in the case of EYLEA, we elect to reimburse these expenses at a faster rate. As of December 31, 2017, our contingent reimbursement obligation to Bayer for EYLEA was approximately $251 million and our contingent reimbursement obligation to Sanofi in connection with the companies' Antibody Collaboration and IO Collaboration was approximately $2,558 million and $22 million, respectively. Therefore, we expect that, for the foreseeable future, a portion of our share of profits from sales of EYLEA outside the United States and a portion of our share of profits, if any, from sales of Dupixent, Praluent, Kevzara, and cemiplimab (if approved) will be used to reimburse our collaborator for these obligations.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do not have any off-balance sheet arrangements that are currently material or reasonably likely to be material to our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 to our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direct obligations of the U.S. government and its agencies and other debt securities guaranteed by the U.S. government, and municipal bonds.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$23.2 million and $20.9 million decrease in the fair value of our investment portfolio as of December 31, 2017 and 2016,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We have exposure to market risk for changes in interest rates, including the interest rate risk relating to our March 2017 variable rate Tarrytown, New York lease (as described in Item 7. "Management's Discussion and Analysis of Financial Condition and Results of Operations - Liquidity and Capital Resources - </w:t>
      </w:r>
      <w:r>
        <w:rPr>
          <w:rFonts w:ascii="Arial" w:cs="Arial" w:eastAsia="Arial" w:hAnsi="Arial"/>
          <w:sz w:val="17"/>
          <w:szCs w:val="17"/>
          <w:i w:val="1"/>
          <w:iCs w:val="1"/>
          <w:color w:val="auto"/>
        </w:rPr>
        <w:t>Tarrytown, New York Leases</w:t>
      </w:r>
      <w:r>
        <w:rPr>
          <w:rFonts w:ascii="Arial" w:cs="Arial" w:eastAsia="Arial" w:hAnsi="Arial"/>
          <w:sz w:val="17"/>
          <w:szCs w:val="17"/>
          <w:color w:val="auto"/>
        </w:rPr>
        <w:t>"). Our interest rate exposure is primarily offset by our investments in marketable securities. In addition, beginning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2017, we began to further manage our interest rate exposure through the use of derivative instruments. All of our derivative instruments are utilized for risk management purposes, and are not used for trading or speculative purposes. We continue to monitor our interest rate risk and may utilize additional derivative instruments and/or other strategies in the future to further mitigate our interest rate exposure.</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hedged a portion of our floating interest rate exposure using interest rate swap and interest rate cap contracts (see Note 6 to our Consolidated Financial Statements). We estimate that a 100 basis point, or 1%, unfavorable change in interest rates would not have a material impact on the fair value of our interest rate swap or interest rate cap contracts. The following table summarizes the notional amounts of our outstanding interest rate swap and cap contracts as of December 31, 2017:</w:t>
      </w:r>
    </w:p>
    <w:p>
      <w:pPr>
        <w:spacing w:after="0" w:line="399" w:lineRule="exact"/>
        <w:rPr>
          <w:sz w:val="20"/>
          <w:szCs w:val="20"/>
          <w:color w:val="auto"/>
        </w:rPr>
      </w:pPr>
    </w:p>
    <w:tbl>
      <w:tblPr>
        <w:tblLayout w:type="fixed"/>
        <w:tblInd w:w="3420" w:type="dxa"/>
        <w:tblCellMar>
          <w:top w:w="0" w:type="dxa"/>
          <w:left w:w="0" w:type="dxa"/>
          <w:bottom w:w="0" w:type="dxa"/>
          <w:right w:w="0" w:type="dxa"/>
        </w:tblCellMar>
      </w:tblPr>
      <w:tr>
        <w:trPr>
          <w:trHeight w:val="234"/>
        </w:trPr>
        <w:tc>
          <w:tcPr>
            <w:tcW w:w="2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Notional Amount</w:t>
            </w:r>
          </w:p>
        </w:tc>
      </w:tr>
      <w:tr>
        <w:trPr>
          <w:trHeight w:val="27"/>
        </w:trPr>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2017 and 2015, we recorded no charges for other-than-temporary impairments of our marketable securities, and in 2016, we recorded an other-than-temporary impairment charge of $9.8 million related to our investment in an equity security.</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subject to credit risk associated with the receivables due from our collaborators Bayer, Sanofi, and Teva. We are also subject to credit risk in connection with accounts receivable from our product sales of EYLEA and ARCALYST. These accounts receivable are due from several distributors and specialty pharmacies, who are our customers. We have contractual payment terms with each of our customers, and we monitor our customers' financial performance and credit worthiness so that we can properly assess and respond to any changes in their credit profile. In addition, we may insure a portion of our accounts receivables within our overall risk management practices. During 2017, 2016, and 2015, we did not recognize any charges for write-offs of accounts receivable related to our marketed products. As of December 31, 2017 and 2016, three customers accounted on a combined basis for 99% of our net trade accounts receivables.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discussed further above, Bayer markets EYLEA outside the United States and Sanofi markets Dupixent, Praluent, and Kevzara worldwide, and we share in profits and losses with these collaborators from commercialization of products (including the receipt of a percentage of EYLEA sales in Japan). In addition, pursuant to the applicable terms of the agreements with our collaborators, we also share in certain worldwide development expenses incurred by our collaborators. We also incur worldwide development expenses for clinical products we are developing independently, in addition to incurring expenses outside of the United States in connection with our international operations. Therefore, significant changes in foreign exchange rates of the countries outside the United States where our product is sold, where development expenses are incurred by us or our collaborators, or where we incur operating expenses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F-46 of this report. The supplementary financial information required by this Item is included at page F-46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2017 using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that evaluation, our management has concluded that our internal control over financial reporting was effective as of December 31, 2017. The effectiveness of the Company's internal control over financial reporting as of December 31, 2017 has been audited by PricewaterhouseCoopers LLP, an independent registered public accounting firm, as stated in their report which appears under Item 15.</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2017 that has materially affected, or is reasonably likely to materially affect, our internal control over financial reporting.</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2018 Annual Meeting of Shareholders to be filed with the SEC, and is incorporated herein by reference.</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"Investors &amp; Media"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2018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2018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2018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2018 Annual Meeting of Shareholders to be filed with the SEC, and is incorporated herein by reference.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tab/>
        <w:t>1.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7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i w:val="1"/>
                <w:iCs w:val="1"/>
                <w:color w:val="auto"/>
              </w:rPr>
              <w:t>3. Exhibits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3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1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380" w:type="dxa"/>
            <w:vAlign w:val="bottom"/>
            <w:gridSpan w:val="8"/>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3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Restated Certificate of Incorporation, as amended. (Incorporated by reference from the Form 10-Q for Regeneron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30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Pharmaceuticals, Inc. (the "Registrant"), for the quarter ended June 30, 2015, filed August 4, 2015.)</w:t>
              </w:r>
            </w:hyperlink>
          </w:p>
        </w:tc>
        <w:tc>
          <w:tcPr>
            <w:tcW w:w="120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80" w:type="dxa"/>
            <w:vAlign w:val="bottom"/>
            <w:gridSpan w:val="8"/>
          </w:tcPr>
          <w:p>
            <w:pPr>
              <w:spacing w:after="0" w:line="202"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Amended and Restated By-Laws. (Incorporated by reference from the Form 8-K for the Registrant filed December</w:t>
              </w:r>
            </w:hyperlink>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21, 2016.)</w:t>
              </w:r>
            </w:hyperlink>
          </w:p>
        </w:tc>
        <w:tc>
          <w:tcPr>
            <w:tcW w:w="190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82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00" w:type="dxa"/>
            <w:vAlign w:val="bottom"/>
            <w:tcBorders>
              <w:right w:val="single" w:sz="8" w:color="CCEEFF"/>
            </w:tcBorders>
          </w:tcPr>
          <w:p>
            <w:pPr>
              <w:spacing w:after="0"/>
              <w:rPr>
                <w:sz w:val="17"/>
                <w:szCs w:val="17"/>
                <w:color w:val="auto"/>
              </w:rPr>
            </w:pPr>
          </w:p>
        </w:tc>
        <w:tc>
          <w:tcPr>
            <w:tcW w:w="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Indenture, dated as of October 21, 2011, relating to 1.875% Convertible Senior Notes due October 1, 2016, between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300" w:type="dxa"/>
            <w:vAlign w:val="bottom"/>
            <w:tcBorders>
              <w:right w:val="single" w:sz="8" w:color="CCEEFF"/>
            </w:tcBorders>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380" w:type="dxa"/>
            <w:vAlign w:val="bottom"/>
            <w:gridSpan w:val="8"/>
            <w:shd w:val="clear" w:color="auto" w:fill="CCEEFF"/>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the Registrant and Wells Fargo Bank, National Association, as Trustee. (Incorporated by reference from the Form</w:t>
              </w:r>
            </w:hyperlink>
          </w:p>
        </w:tc>
      </w:tr>
      <w:tr>
        <w:trPr>
          <w:trHeight w:val="244"/>
        </w:trPr>
        <w:tc>
          <w:tcPr>
            <w:tcW w:w="300" w:type="dxa"/>
            <w:vAlign w:val="bottom"/>
            <w:tcBorders>
              <w:right w:val="single" w:sz="8" w:color="CCEEFF"/>
            </w:tcBorders>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36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8-K for the Registrant filed October 24, 2011.)</w:t>
              </w:r>
            </w:hyperlink>
          </w:p>
        </w:tc>
        <w:tc>
          <w:tcPr>
            <w:tcW w:w="498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8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80" w:type="dxa"/>
            <w:vAlign w:val="bottom"/>
            <w:gridSpan w:val="8"/>
          </w:tcPr>
          <w:p>
            <w:pPr>
              <w:spacing w:after="0" w:line="202"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Form of 1.875% Convertible Senior Note due October 1, 2016. (Incorporated by reference from the Form 8-K for</w:t>
              </w:r>
            </w:hyperlink>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the Registrant filed October 24, 2011.)</w:t>
              </w:r>
            </w:hyperlink>
          </w:p>
        </w:tc>
        <w:tc>
          <w:tcPr>
            <w:tcW w:w="556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9" w:right="239" w:bottom="1109"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9" w:right="239" w:bottom="1109" w:gutter="0" w:footer="0" w:header="0"/>
          <w:type w:val="continuous"/>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 +</w:t>
            </w:r>
          </w:p>
        </w:tc>
        <w:tc>
          <w:tcPr>
            <w:tcW w:w="8380" w:type="dxa"/>
            <w:vAlign w:val="bottom"/>
            <w:gridSpan w:val="12"/>
            <w:shd w:val="clear" w:color="auto" w:fill="CCEEFF"/>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Regeneron Pharmaceuticals, Inc. Second Amended and Restated 2000 Long-Term Incentive Plan. (Incorporated by</w:t>
              </w:r>
            </w:hyperlink>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8340" w:type="dxa"/>
            <w:vAlign w:val="bottom"/>
            <w:tcBorders>
              <w:top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reference from the Registration Statement on Form S-8 for the Registrant, filed June 13, 2011.)</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10.1.1 +</w:t>
            </w:r>
          </w:p>
        </w:tc>
        <w:tc>
          <w:tcPr>
            <w:tcW w:w="8380" w:type="dxa"/>
            <w:vAlign w:val="bottom"/>
            <w:tcBorders>
              <w:bottom w:val="single" w:sz="8" w:color="0000FF"/>
            </w:tcBorders>
            <w:gridSpan w:val="12"/>
          </w:tcPr>
          <w:p>
            <w:pPr>
              <w:spacing w:after="0" w:line="202"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Form of option agreement and related notice of grant for use in connection with the grant of options to the</w:t>
              </w:r>
            </w:hyperlink>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Registrant's non-employee directors and named executive officers under the Regeneron Pharmaceuticals, Inc.</w:t>
              </w:r>
            </w:hyperlink>
          </w:p>
        </w:tc>
      </w:tr>
      <w:tr>
        <w:trPr>
          <w:trHeight w:val="20"/>
        </w:trPr>
        <w:tc>
          <w:tcPr>
            <w:tcW w:w="12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3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Second Amended and Restated 2000 Long-Term Incentive Plan. (Incorporated by reference from the Form 8-K for</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the Registrant, filed December 16, 2005.)</w:t>
              </w:r>
            </w:hyperlink>
          </w:p>
        </w:tc>
      </w:tr>
      <w:tr>
        <w:trPr>
          <w:trHeight w:val="48"/>
        </w:trPr>
        <w:tc>
          <w:tcPr>
            <w:tcW w:w="1200" w:type="dxa"/>
            <w:vAlign w:val="bottom"/>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10.1.2 +</w:t>
            </w:r>
          </w:p>
        </w:tc>
        <w:tc>
          <w:tcPr>
            <w:tcW w:w="838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Form of option agreement and related notice of grant for use in connection with the grant of options to the</w:t>
              </w:r>
            </w:hyperlink>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Registrant's executive officers other than the named executive officers under the Regeneron Pharmaceuticals, Inc.</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Second Amended and Restated 2000 Long-Term Incentive Plan. (Incorporated by reference from the Form 8-K for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the Registrant, filed December 16, 2005.)</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10.1.3 +</w:t>
            </w:r>
          </w:p>
        </w:tc>
        <w:tc>
          <w:tcPr>
            <w:tcW w:w="8380" w:type="dxa"/>
            <w:vAlign w:val="bottom"/>
            <w:tcBorders>
              <w:bottom w:val="single" w:sz="8" w:color="0000FF"/>
            </w:tcBorders>
            <w:gridSpan w:val="12"/>
          </w:tcPr>
          <w:p>
            <w:pPr>
              <w:spacing w:after="0" w:line="202" w:lineRule="exact"/>
              <w:rPr>
                <w:rFonts w:ascii="Arial" w:cs="Arial" w:eastAsia="Arial" w:hAnsi="Arial"/>
                <w:sz w:val="18"/>
                <w:szCs w:val="18"/>
                <w:color w:val="0000FF"/>
                <w:w w:val="98"/>
              </w:rPr>
            </w:pPr>
            <w:hyperlink r:id="rId37">
              <w:r>
                <w:rPr>
                  <w:rFonts w:ascii="Arial" w:cs="Arial" w:eastAsia="Arial" w:hAnsi="Arial"/>
                  <w:sz w:val="18"/>
                  <w:szCs w:val="18"/>
                  <w:color w:val="0000FF"/>
                  <w:w w:val="98"/>
                </w:rPr>
                <w:t>Form of restricted stock award agreement and related notice of grant for use in connection with the grant of</w:t>
              </w:r>
            </w:hyperlink>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restricted stock awards to the Registrant's executive officers under the Regeneron Pharmaceuticals, Inc. Second</w:t>
              </w:r>
            </w:hyperlink>
          </w:p>
        </w:tc>
      </w:tr>
      <w:tr>
        <w:trPr>
          <w:trHeight w:val="196"/>
        </w:trPr>
        <w:tc>
          <w:tcPr>
            <w:tcW w:w="1200" w:type="dxa"/>
            <w:vAlign w:val="bottom"/>
          </w:tcPr>
          <w:p>
            <w:pPr>
              <w:spacing w:after="0"/>
              <w:rPr>
                <w:sz w:val="17"/>
                <w:szCs w:val="17"/>
                <w:color w:val="auto"/>
              </w:rPr>
            </w:pPr>
          </w:p>
        </w:tc>
        <w:tc>
          <w:tcPr>
            <w:tcW w:w="834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Amended and Restated 2000 Long-Term Incentive Plan. (Incorporated by reference from the Form 8-K for the</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Registrant, filed December 13, 2004.)</w:t>
              </w:r>
            </w:hyperlink>
          </w:p>
        </w:tc>
      </w:tr>
      <w:tr>
        <w:trPr>
          <w:trHeight w:val="48"/>
        </w:trPr>
        <w:tc>
          <w:tcPr>
            <w:tcW w:w="1200" w:type="dxa"/>
            <w:vAlign w:val="bottom"/>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10.1.5 +</w:t>
            </w:r>
          </w:p>
        </w:tc>
        <w:tc>
          <w:tcPr>
            <w:tcW w:w="8380" w:type="dxa"/>
            <w:vAlign w:val="bottom"/>
            <w:gridSpan w:val="12"/>
            <w:shd w:val="clear" w:color="auto" w:fill="CCEEFF"/>
          </w:tcPr>
          <w:p>
            <w:pPr>
              <w:spacing w:after="0" w:line="202"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Form of option agreement and related notice of grant for use in connection with the grant of time based vesting</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stock  options  to  the  Registrant's  non-employee  directors  and  executive  officers  under  the  Regeneron</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Pharmaceuticals, Inc. Second Amended and Restated 2000 Long-Term Incentive Plan. (Incorporated by reference</w:t>
              </w:r>
            </w:hyperlink>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718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from the Form 10-Q for the Registrant, for the quarter ended March 31, 2009, filed April 30, 2009.)</w:t>
              </w:r>
            </w:hyperlink>
          </w:p>
        </w:tc>
        <w:tc>
          <w:tcPr>
            <w:tcW w:w="1160" w:type="dxa"/>
            <w:vAlign w:val="bottom"/>
            <w:tcBorders>
              <w:top w:val="single" w:sz="8" w:color="0000FF"/>
              <w:bottom w:val="single" w:sz="8" w:color="CCEEFF"/>
              <w:right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10.1.6 +</w:t>
            </w:r>
          </w:p>
        </w:tc>
        <w:tc>
          <w:tcPr>
            <w:tcW w:w="8380" w:type="dxa"/>
            <w:vAlign w:val="bottom"/>
            <w:gridSpan w:val="12"/>
          </w:tcPr>
          <w:p>
            <w:pPr>
              <w:spacing w:after="0" w:line="202"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Form of option agreement and related notice of grant for use in connection with the grant of performance based</w:t>
              </w:r>
            </w:hyperlink>
          </w:p>
        </w:tc>
      </w:tr>
      <w:tr>
        <w:trPr>
          <w:trHeight w:val="20"/>
        </w:trPr>
        <w:tc>
          <w:tcPr>
            <w:tcW w:w="12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vesting stock options to the Registrant's executive officers under the Regeneron Pharmaceuticals, Inc. Second</w:t>
              </w:r>
            </w:hyperlink>
          </w:p>
        </w:tc>
      </w:tr>
      <w:tr>
        <w:trPr>
          <w:trHeight w:val="20"/>
        </w:trPr>
        <w:tc>
          <w:tcPr>
            <w:tcW w:w="12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Amended and Restated 2000 Long-Term Incentive Plan. (Incorporated by reference from the Form 10-Q for the</w:t>
              </w:r>
            </w:hyperlink>
          </w:p>
        </w:tc>
      </w:tr>
      <w:tr>
        <w:trPr>
          <w:trHeight w:val="196"/>
        </w:trPr>
        <w:tc>
          <w:tcPr>
            <w:tcW w:w="1200" w:type="dxa"/>
            <w:vAlign w:val="bottom"/>
          </w:tcPr>
          <w:p>
            <w:pPr>
              <w:spacing w:after="0"/>
              <w:rPr>
                <w:sz w:val="17"/>
                <w:szCs w:val="17"/>
                <w:color w:val="auto"/>
              </w:rPr>
            </w:pPr>
          </w:p>
        </w:tc>
        <w:tc>
          <w:tcPr>
            <w:tcW w:w="83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Registrant, for the quarter ended March 31, 2009, filed April 30, 2009.)</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10.1.7 +</w:t>
            </w:r>
          </w:p>
        </w:tc>
        <w:tc>
          <w:tcPr>
            <w:tcW w:w="838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8"/>
              </w:rPr>
            </w:pPr>
            <w:hyperlink r:id="rId40">
              <w:r>
                <w:rPr>
                  <w:rFonts w:ascii="Arial" w:cs="Arial" w:eastAsia="Arial" w:hAnsi="Arial"/>
                  <w:sz w:val="18"/>
                  <w:szCs w:val="18"/>
                  <w:color w:val="0000FF"/>
                  <w:w w:val="98"/>
                </w:rPr>
                <w:t>Form of restricted stock award agreement and related notice of grant for use in connection with the grant of</w:t>
              </w:r>
            </w:hyperlink>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restricted stock awards to the Registrant's executive officers under the Regeneron Pharmaceuticals, Inc. Second</w:t>
              </w:r>
            </w:hyperlink>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Amended and Restated 2000 Long-Term Incentive Plan (revised). (Incorporated by reference from the Form 10-K</w:t>
              </w:r>
            </w:hyperlink>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60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for the Registrant, for the year ended December 31, 2010, filed February 17, 2011.)</w:t>
              </w:r>
            </w:hyperlink>
          </w:p>
        </w:tc>
        <w:tc>
          <w:tcPr>
            <w:tcW w:w="2340" w:type="dxa"/>
            <w:vAlign w:val="bottom"/>
            <w:tcBorders>
              <w:top w:val="single" w:sz="8" w:color="0000FF"/>
              <w:bottom w:val="single" w:sz="8" w:color="CCEEFF"/>
              <w:right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10.1.8 +</w:t>
            </w:r>
          </w:p>
        </w:tc>
        <w:tc>
          <w:tcPr>
            <w:tcW w:w="8340" w:type="dxa"/>
            <w:vAlign w:val="bottom"/>
            <w:tcBorders>
              <w:bottom w:val="single" w:sz="8" w:color="0000FF"/>
            </w:tcBorders>
            <w:gridSpan w:val="11"/>
          </w:tcPr>
          <w:p>
            <w:pPr>
              <w:spacing w:after="0" w:line="202"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Form of option agreement and related notice of grant for use in connection with the grant of performance based</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4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vesting stock options to the Registrant's executive officers under the Regeneron Pharmaceuticals, Inc. Second</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Amended and Restated 2000 Long-Term Incentive Plan (revised). (Incorporated by reference from the Form 10-K</w:t>
              </w:r>
            </w:hyperlink>
          </w:p>
        </w:tc>
      </w:tr>
      <w:tr>
        <w:trPr>
          <w:trHeight w:val="196"/>
        </w:trPr>
        <w:tc>
          <w:tcPr>
            <w:tcW w:w="1200" w:type="dxa"/>
            <w:vAlign w:val="bottom"/>
          </w:tcPr>
          <w:p>
            <w:pPr>
              <w:spacing w:after="0"/>
              <w:rPr>
                <w:sz w:val="17"/>
                <w:szCs w:val="17"/>
                <w:color w:val="auto"/>
              </w:rPr>
            </w:pPr>
          </w:p>
        </w:tc>
        <w:tc>
          <w:tcPr>
            <w:tcW w:w="83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for the Registrant, for the year ended December 31, 2010, filed February 17, 2011.)</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10.1.9 +</w:t>
            </w:r>
          </w:p>
        </w:tc>
        <w:tc>
          <w:tcPr>
            <w:tcW w:w="8340" w:type="dxa"/>
            <w:vAlign w:val="bottom"/>
            <w:tcBorders>
              <w:bottom w:val="single" w:sz="8" w:color="0000FF"/>
              <w:right w:val="single" w:sz="8" w:color="CCEEFF"/>
            </w:tcBorders>
            <w:gridSpan w:val="11"/>
            <w:shd w:val="clear" w:color="auto" w:fill="CCEEFF"/>
          </w:tcPr>
          <w:p>
            <w:pPr>
              <w:spacing w:after="0" w:line="202"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Form of option agreement and related notice of grant for use in connection with the grant of time based vesting</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stock options to the Registrant's non-employee directors under the Regeneron Pharmaceuticals, Inc. Second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Amended and Restated 2000 Long-Term Incentive Plan (revised). (Incorporated by reference from the Form 10-K</w:t>
              </w:r>
            </w:hyperlink>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60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for the Registrant, for the year ended December 31, 2011, filed February 21, 2012.)</w:t>
              </w:r>
            </w:hyperlink>
          </w:p>
        </w:tc>
        <w:tc>
          <w:tcPr>
            <w:tcW w:w="2340" w:type="dxa"/>
            <w:vAlign w:val="bottom"/>
            <w:tcBorders>
              <w:top w:val="single" w:sz="8" w:color="0000FF"/>
              <w:bottom w:val="single" w:sz="8" w:color="CCEEFF"/>
              <w:right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10.1.10 +</w:t>
            </w:r>
          </w:p>
        </w:tc>
        <w:tc>
          <w:tcPr>
            <w:tcW w:w="8380" w:type="dxa"/>
            <w:vAlign w:val="bottom"/>
            <w:gridSpan w:val="12"/>
          </w:tcPr>
          <w:p>
            <w:pPr>
              <w:spacing w:after="0" w:line="202"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Amendment No. 1 to the Regeneron Pharmaceuticals, Inc. Second Amended and Restated 2000 Long-Term</w:t>
              </w:r>
            </w:hyperlink>
          </w:p>
        </w:tc>
      </w:tr>
      <w:tr>
        <w:trPr>
          <w:trHeight w:val="20"/>
        </w:trPr>
        <w:tc>
          <w:tcPr>
            <w:tcW w:w="120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3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Incentive Plan. (Incorporated by reference from the Form 10-K for the Registrant, for the year ended December 31,</w:t>
              </w:r>
            </w:hyperlink>
          </w:p>
        </w:tc>
      </w:tr>
      <w:tr>
        <w:trPr>
          <w:trHeight w:val="196"/>
        </w:trPr>
        <w:tc>
          <w:tcPr>
            <w:tcW w:w="1200" w:type="dxa"/>
            <w:vAlign w:val="bottom"/>
          </w:tcPr>
          <w:p>
            <w:pPr>
              <w:spacing w:after="0"/>
              <w:rPr>
                <w:sz w:val="17"/>
                <w:szCs w:val="17"/>
                <w:color w:val="auto"/>
              </w:rPr>
            </w:pPr>
          </w:p>
        </w:tc>
        <w:tc>
          <w:tcPr>
            <w:tcW w:w="83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2013, filed February 13, 2014.)</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 +</w:t>
            </w:r>
          </w:p>
        </w:tc>
        <w:tc>
          <w:tcPr>
            <w:tcW w:w="838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7"/>
              </w:rPr>
            </w:pPr>
            <w:hyperlink r:id="rId44">
              <w:r>
                <w:rPr>
                  <w:rFonts w:ascii="Arial" w:cs="Arial" w:eastAsia="Arial" w:hAnsi="Arial"/>
                  <w:sz w:val="18"/>
                  <w:szCs w:val="18"/>
                  <w:color w:val="0000FF"/>
                  <w:w w:val="97"/>
                </w:rPr>
                <w:t>Amended and Restated Regeneron Pharmaceuticals, Inc. 2014 Long-Term Incentive Plan. (Incorporated by</w:t>
              </w:r>
            </w:hyperlink>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reference from the Registration Statement on Form S-8 for the Registrant, filed June 12, 2017.)</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10.2.1 +</w:t>
            </w:r>
          </w:p>
        </w:tc>
        <w:tc>
          <w:tcPr>
            <w:tcW w:w="8340" w:type="dxa"/>
            <w:vAlign w:val="bottom"/>
            <w:tcBorders>
              <w:bottom w:val="single" w:sz="8" w:color="0000FF"/>
            </w:tcBorders>
            <w:gridSpan w:val="11"/>
          </w:tcPr>
          <w:p>
            <w:pPr>
              <w:spacing w:after="0" w:line="202"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Form of stock option agreement and related notice of grant for use in connection with the grant of non-qualified</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4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stock options to the Registrant's executive officers under the Regeneron Pharmaceuticals, Inc. 2014 Long-Term</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Incentive Plan. (Incorporated by reference from the Form 8-K for the Registrant, filed June 18, 2014.)</w:t>
              </w:r>
            </w:hyperlink>
          </w:p>
        </w:tc>
      </w:tr>
      <w:tr>
        <w:trPr>
          <w:trHeight w:val="48"/>
        </w:trPr>
        <w:tc>
          <w:tcPr>
            <w:tcW w:w="1200" w:type="dxa"/>
            <w:vAlign w:val="bottom"/>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10.2.2 +</w:t>
            </w:r>
          </w:p>
        </w:tc>
        <w:tc>
          <w:tcPr>
            <w:tcW w:w="8380" w:type="dxa"/>
            <w:vAlign w:val="bottom"/>
            <w:gridSpan w:val="12"/>
            <w:shd w:val="clear" w:color="auto" w:fill="CCEEFF"/>
          </w:tcPr>
          <w:p>
            <w:pPr>
              <w:spacing w:after="0" w:line="202"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Form of stock option agreement and related notice of grant for use in connection with the grant of incentive stock</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6620" w:type="dxa"/>
            <w:vAlign w:val="bottom"/>
            <w:gridSpan w:val="6"/>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CCEE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options to the Registrant's executive officers under the Regeneron Pharmaceuticals, Inc. 2014 Long-Term Incentive</w:t>
              </w:r>
            </w:hyperlink>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8340" w:type="dxa"/>
            <w:vAlign w:val="bottom"/>
            <w:tcBorders>
              <w:top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Plan. (Incorporated by reference from the Form 8-K for the Registrant, filed June 18, 2014.)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16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10.2.3 +</w:t>
            </w:r>
          </w:p>
        </w:tc>
        <w:tc>
          <w:tcPr>
            <w:tcW w:w="8340" w:type="dxa"/>
            <w:vAlign w:val="bottom"/>
            <w:tcBorders>
              <w:bottom w:val="single" w:sz="8" w:color="0000FF"/>
            </w:tcBorders>
            <w:gridSpan w:val="11"/>
          </w:tcPr>
          <w:p>
            <w:pPr>
              <w:spacing w:after="0" w:line="202" w:lineRule="exact"/>
              <w:rPr>
                <w:rFonts w:ascii="Arial" w:cs="Arial" w:eastAsia="Arial" w:hAnsi="Arial"/>
                <w:sz w:val="18"/>
                <w:szCs w:val="18"/>
                <w:color w:val="0000FF"/>
                <w:w w:val="97"/>
              </w:rPr>
            </w:pPr>
            <w:hyperlink r:id="rId47">
              <w:r>
                <w:rPr>
                  <w:rFonts w:ascii="Arial" w:cs="Arial" w:eastAsia="Arial" w:hAnsi="Arial"/>
                  <w:sz w:val="18"/>
                  <w:szCs w:val="18"/>
                  <w:color w:val="0000FF"/>
                  <w:w w:val="97"/>
                </w:rPr>
                <w:t>Form of restricted stock award agreement and related notice of grant for use in connection with the grant of</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2"/>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restricted stock awards to the Registrant's executive officers under the Regeneron Pharmaceuticals, Inc. 2014 Long-</w:t>
              </w:r>
            </w:hyperlink>
          </w:p>
        </w:tc>
      </w:tr>
      <w:tr>
        <w:trPr>
          <w:trHeight w:val="196"/>
        </w:trPr>
        <w:tc>
          <w:tcPr>
            <w:tcW w:w="1200" w:type="dxa"/>
            <w:vAlign w:val="bottom"/>
          </w:tcPr>
          <w:p>
            <w:pPr>
              <w:spacing w:after="0"/>
              <w:rPr>
                <w:sz w:val="17"/>
                <w:szCs w:val="17"/>
                <w:color w:val="auto"/>
              </w:rPr>
            </w:pPr>
          </w:p>
        </w:tc>
        <w:tc>
          <w:tcPr>
            <w:tcW w:w="8340" w:type="dxa"/>
            <w:vAlign w:val="bottom"/>
            <w:tcBorders>
              <w:top w:val="single" w:sz="8" w:color="0000FF"/>
            </w:tcBorders>
            <w:gridSpan w:val="11"/>
          </w:tcPr>
          <w:p>
            <w:pPr>
              <w:spacing w:after="0" w:line="196" w:lineRule="exact"/>
              <w:rPr>
                <w:rFonts w:ascii="Arial" w:cs="Arial" w:eastAsia="Arial" w:hAnsi="Arial"/>
                <w:sz w:val="18"/>
                <w:szCs w:val="18"/>
                <w:color w:val="0000FF"/>
                <w:w w:val="97"/>
              </w:rPr>
            </w:pPr>
            <w:hyperlink r:id="rId47">
              <w:r>
                <w:rPr>
                  <w:rFonts w:ascii="Arial" w:cs="Arial" w:eastAsia="Arial" w:hAnsi="Arial"/>
                  <w:sz w:val="18"/>
                  <w:szCs w:val="18"/>
                  <w:color w:val="0000FF"/>
                  <w:w w:val="97"/>
                </w:rPr>
                <w:t>Term Incentive Plan. (Incorporated by reference from the Form 8-K for the Registrant, filed June 18, 2014.)</w:t>
              </w:r>
            </w:hyperlink>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2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1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10.2.4 +</w:t>
            </w:r>
          </w:p>
        </w:tc>
        <w:tc>
          <w:tcPr>
            <w:tcW w:w="8380" w:type="dxa"/>
            <w:vAlign w:val="bottom"/>
            <w:gridSpan w:val="12"/>
            <w:shd w:val="clear" w:color="auto" w:fill="CCEEFF"/>
          </w:tcPr>
          <w:p>
            <w:pPr>
              <w:spacing w:after="0" w:line="202"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Form of stock option agreement and related notice of grant for use in connection with the grant of non-qualified</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8340" w:type="dxa"/>
            <w:vAlign w:val="bottom"/>
            <w:tcBorders>
              <w:right w:val="single" w:sz="8" w:color="0000FF"/>
            </w:tcBorders>
            <w:gridSpan w:val="11"/>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2"/>
            <w:shd w:val="clear" w:color="auto" w:fill="CCEEFF"/>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stock options to the Registrant's non-employee directors under the Regeneron Pharmaceuticals, Inc. 2014 Long-</w:t>
              </w:r>
            </w:hyperlink>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8340" w:type="dxa"/>
            <w:vAlign w:val="bottom"/>
            <w:tcBorders>
              <w:top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7"/>
              </w:rPr>
            </w:pPr>
            <w:hyperlink r:id="rId48">
              <w:r>
                <w:rPr>
                  <w:rFonts w:ascii="Arial" w:cs="Arial" w:eastAsia="Arial" w:hAnsi="Arial"/>
                  <w:sz w:val="18"/>
                  <w:szCs w:val="18"/>
                  <w:color w:val="0000FF"/>
                  <w:w w:val="97"/>
                </w:rPr>
                <w:t>Term Incentive Plan. (Incorporated by reference from the Form 8-K for the Registrant, filed June 18, 2014.)</w:t>
              </w:r>
            </w:hyperlink>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r>
      <w:tr>
        <w:trPr>
          <w:trHeight w:val="459"/>
        </w:trPr>
        <w:tc>
          <w:tcPr>
            <w:tcW w:w="1200" w:type="dxa"/>
            <w:vAlign w:val="bottom"/>
            <w:tcBorders>
              <w:top w:val="single" w:sz="8" w:color="CCEEFF"/>
            </w:tcBorders>
          </w:tcPr>
          <w:p>
            <w:pPr>
              <w:spacing w:after="0"/>
              <w:rPr>
                <w:sz w:val="24"/>
                <w:szCs w:val="24"/>
                <w:color w:val="auto"/>
              </w:rPr>
            </w:pPr>
          </w:p>
        </w:tc>
        <w:tc>
          <w:tcPr>
            <w:tcW w:w="5140" w:type="dxa"/>
            <w:vAlign w:val="bottom"/>
            <w:tcBorders>
              <w:top w:val="single" w:sz="8" w:color="0000FF"/>
            </w:tcBorders>
            <w:gridSpan w:val="4"/>
          </w:tcPr>
          <w:p>
            <w:pPr>
              <w:ind w:left="3500"/>
              <w:spacing w:after="0"/>
              <w:rPr>
                <w:sz w:val="20"/>
                <w:szCs w:val="20"/>
                <w:color w:val="auto"/>
              </w:rPr>
            </w:pPr>
            <w:r>
              <w:rPr>
                <w:rFonts w:ascii="Arial" w:cs="Arial" w:eastAsia="Arial" w:hAnsi="Arial"/>
                <w:sz w:val="18"/>
                <w:szCs w:val="18"/>
                <w:color w:val="auto"/>
              </w:rPr>
              <w:t>89</w:t>
            </w:r>
          </w:p>
        </w:tc>
        <w:tc>
          <w:tcPr>
            <w:tcW w:w="8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ectPr>
          <w:pgSz w:w="11900" w:h="16838" w:orient="portrait"/>
          <w:cols w:equalWidth="0" w:num="1">
            <w:col w:w="10500"/>
          </w:cols>
          <w:pgMar w:left="240" w:top="130" w:right="11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2120" w:type="dxa"/>
            <w:vAlign w:val="bottom"/>
            <w:gridSpan w:val="3"/>
          </w:tcPr>
          <w:p>
            <w:pPr>
              <w:ind w:left="960"/>
              <w:spacing w:after="0"/>
              <w:rPr>
                <w:sz w:val="20"/>
                <w:szCs w:val="20"/>
                <w:color w:val="auto"/>
              </w:rPr>
            </w:pPr>
            <w:r>
              <w:rPr>
                <w:rFonts w:ascii="Arial" w:cs="Arial" w:eastAsia="Arial" w:hAnsi="Arial"/>
                <w:sz w:val="18"/>
                <w:szCs w:val="18"/>
                <w:color w:val="auto"/>
              </w:rPr>
              <w:t>10.2.5 +</w:t>
            </w:r>
          </w:p>
        </w:tc>
        <w:tc>
          <w:tcPr>
            <w:tcW w:w="8340" w:type="dxa"/>
            <w:vAlign w:val="bottom"/>
            <w:tcBorders>
              <w:bottom w:val="single" w:sz="8" w:color="0000FF"/>
            </w:tcBorders>
            <w:gridSpan w:val="16"/>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Form of stock option agreement and related notice of grant for use in connection with the grant of non-qualified</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stock options to P. Roy Vagelos, M.D. under the Regeneron Pharmaceuticals, Inc. 2014 Long-Term Incentive Plan.</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(Incorporated by reference from the Form 10-K for the Registrant, for the year ended December 31, 2015, filed</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February 11, 2016.)</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10.2.6 +</w:t>
            </w:r>
          </w:p>
        </w:tc>
        <w:tc>
          <w:tcPr>
            <w:tcW w:w="8380" w:type="dxa"/>
            <w:vAlign w:val="bottom"/>
            <w:gridSpan w:val="17"/>
            <w:shd w:val="clear" w:color="auto" w:fill="CCEEFF"/>
          </w:tcPr>
          <w:p>
            <w:pPr>
              <w:spacing w:after="0" w:line="202"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Form of stock option agreement and related notice of grant for use in connection with the grant of incentive stock</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options to P. Roy Vagelos, M.D. under the Regeneron Pharmaceuticals, Inc. 2014 Long-Term Incentive Plan.</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(Incorporated by reference from the Form 10-K for the Registrant, for the year ended December 31, 2015, filed</w:t>
              </w:r>
            </w:hyperlink>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February 11, 2016.)</w:t>
              </w:r>
            </w:hyperlink>
          </w:p>
        </w:tc>
        <w:tc>
          <w:tcPr>
            <w:tcW w:w="6960" w:type="dxa"/>
            <w:vAlign w:val="bottom"/>
            <w:tcBorders>
              <w:bottom w:val="single" w:sz="8" w:color="CCEEFF"/>
            </w:tcBorders>
            <w:gridSpan w:val="13"/>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10.2.7 +</w:t>
            </w:r>
          </w:p>
        </w:tc>
        <w:tc>
          <w:tcPr>
            <w:tcW w:w="8340" w:type="dxa"/>
            <w:vAlign w:val="bottom"/>
            <w:tcBorders>
              <w:bottom w:val="single" w:sz="8" w:color="0000FF"/>
            </w:tcBorders>
            <w:gridSpan w:val="16"/>
          </w:tcPr>
          <w:p>
            <w:pPr>
              <w:spacing w:after="0" w:line="202"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Form of stock option agreement and related notice of grant for use in connection with the grant of non-qualified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stock options to the Registrant's executive officers under the Regeneron Pharmaceuticals, Inc. 2014 Long-Term</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Incentive Plan (revised). (Incorporated by reference from the Form 8-K for the Registrant, filed November 19,</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2015.</w:t>
              </w:r>
              <w:r>
                <w:rPr>
                  <w:rFonts w:ascii="Arial" w:cs="Arial" w:eastAsia="Arial" w:hAnsi="Arial"/>
                  <w:sz w:val="18"/>
                  <w:szCs w:val="18"/>
                  <w:u w:val="single" w:color="auto"/>
                  <w:color w:val="0000FF"/>
                </w:rPr>
                <w:t>)</w:t>
              </w:r>
            </w:hyperlink>
          </w:p>
        </w:tc>
        <w:tc>
          <w:tcPr>
            <w:tcW w:w="5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26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10.2.8 +</w:t>
            </w:r>
          </w:p>
        </w:tc>
        <w:tc>
          <w:tcPr>
            <w:tcW w:w="8380" w:type="dxa"/>
            <w:vAlign w:val="bottom"/>
            <w:gridSpan w:val="17"/>
            <w:shd w:val="clear" w:color="auto" w:fill="CCEEFF"/>
          </w:tcPr>
          <w:p>
            <w:pPr>
              <w:spacing w:after="0" w:line="202"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Form of stock option agreement and related notice of grant for use in connection with the grant of incentive stock</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options to the Registrant's executive officers under the Regeneron Pharmaceuticals, Inc. 2014 Long-Term Incentive</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7740" w:type="dxa"/>
            <w:vAlign w:val="bottom"/>
            <w:tcBorders>
              <w:top w:val="single" w:sz="8" w:color="0000FF"/>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Plan (revised). (Incorporated by reference from the Form 8-K for the Registrant, filed November 19, 2015.)</w:t>
              </w:r>
            </w:hyperlink>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10.2.9 +</w:t>
            </w:r>
          </w:p>
        </w:tc>
        <w:tc>
          <w:tcPr>
            <w:tcW w:w="8380" w:type="dxa"/>
            <w:vAlign w:val="bottom"/>
            <w:tcBorders>
              <w:bottom w:val="single" w:sz="8" w:color="0000FF"/>
            </w:tcBorders>
            <w:gridSpan w:val="17"/>
          </w:tcPr>
          <w:p>
            <w:pPr>
              <w:spacing w:after="0" w:line="202"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Form of restricted stock award agreement and related notice of grant for use in connection with the grant of</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restricted stock awards to the Registrant's executive officers under the Regeneron Pharmaceuticals, Inc. 2014 Long-</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Term Incentive Plan (revised). (Incorporated by reference from the Form 8-K for the Registrant, filed November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19, 2015.)</w:t>
              </w:r>
            </w:hyperlink>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26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10.2.10 +</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Form of stock option agreement and related notice of grant for use in connection with the grant of non-qualified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stock options to the Registrant's non-employee directors under the Regeneron Pharmaceuticals, Inc. 2014 Long-</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Term Incentive Plan (revised). (Incorporated by reference from the Form 10-K for the Registrant, for the year ended</w:t>
              </w:r>
            </w:hyperlink>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December 31, 2015, filed February 11, 2016.)</w:t>
              </w:r>
            </w:hyperlink>
          </w:p>
        </w:tc>
        <w:tc>
          <w:tcPr>
            <w:tcW w:w="508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10.2.11 +</w:t>
            </w:r>
          </w:p>
        </w:tc>
        <w:tc>
          <w:tcPr>
            <w:tcW w:w="8340" w:type="dxa"/>
            <w:vAlign w:val="bottom"/>
            <w:tcBorders>
              <w:bottom w:val="single" w:sz="8" w:color="0000FF"/>
            </w:tcBorders>
            <w:gridSpan w:val="16"/>
          </w:tcPr>
          <w:p>
            <w:pPr>
              <w:spacing w:after="0" w:line="202" w:lineRule="exact"/>
              <w:rPr>
                <w:rFonts w:ascii="Arial" w:cs="Arial" w:eastAsia="Arial" w:hAnsi="Arial"/>
                <w:sz w:val="18"/>
                <w:szCs w:val="18"/>
                <w:color w:val="0000FF"/>
                <w:w w:val="94"/>
              </w:rPr>
            </w:pPr>
            <w:hyperlink w:anchor="page147">
              <w:r>
                <w:rPr>
                  <w:rFonts w:ascii="Arial" w:cs="Arial" w:eastAsia="Arial" w:hAnsi="Arial"/>
                  <w:sz w:val="18"/>
                  <w:szCs w:val="18"/>
                  <w:color w:val="0000FF"/>
                  <w:w w:val="94"/>
                </w:rPr>
                <w:t>Form of stock option agreement and related notice of grant for use in connection with the grant of non-qualified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1"/>
              </w:rPr>
            </w:pPr>
            <w:hyperlink w:anchor="page147">
              <w:r>
                <w:rPr>
                  <w:rFonts w:ascii="Arial" w:cs="Arial" w:eastAsia="Arial" w:hAnsi="Arial"/>
                  <w:sz w:val="18"/>
                  <w:szCs w:val="18"/>
                  <w:color w:val="0000FF"/>
                  <w:w w:val="91"/>
                </w:rPr>
                <w:t>stock options to the Registrant's executive officers under the Amended and Restated Regeneron Pharmaceuticals,</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47">
              <w:r>
                <w:rPr>
                  <w:rFonts w:ascii="Arial" w:cs="Arial" w:eastAsia="Arial" w:hAnsi="Arial"/>
                  <w:sz w:val="18"/>
                  <w:szCs w:val="18"/>
                  <w:color w:val="0000FF"/>
                </w:rPr>
                <w:t>Inc. 2014 Long-Term Incentive Plan.</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10.2.12 +</w:t>
            </w:r>
          </w:p>
        </w:tc>
        <w:tc>
          <w:tcPr>
            <w:tcW w:w="8380" w:type="dxa"/>
            <w:vAlign w:val="bottom"/>
            <w:gridSpan w:val="17"/>
            <w:shd w:val="clear" w:color="auto" w:fill="CCEEFF"/>
          </w:tcPr>
          <w:p>
            <w:pPr>
              <w:spacing w:after="0" w:line="202"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Form of stock option agreement and related notice of grant for use in connection with the grant of incentive stock</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options to the Registrant's executive officers under the Amended and Restated Regeneron Pharmaceuticals, Inc.</w:t>
              </w:r>
            </w:hyperlink>
          </w:p>
        </w:tc>
      </w:tr>
      <w:tr>
        <w:trPr>
          <w:trHeight w:val="196"/>
        </w:trPr>
        <w:tc>
          <w:tcPr>
            <w:tcW w:w="9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3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w:anchor="page152">
              <w:r>
                <w:rPr>
                  <w:rFonts w:ascii="Arial" w:cs="Arial" w:eastAsia="Arial" w:hAnsi="Arial"/>
                  <w:sz w:val="18"/>
                  <w:szCs w:val="18"/>
                  <w:color w:val="0000FF"/>
                </w:rPr>
                <w:t>2014 Long-Term Incentive Plan.</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10.2.13 +</w:t>
            </w:r>
          </w:p>
        </w:tc>
        <w:tc>
          <w:tcPr>
            <w:tcW w:w="8340" w:type="dxa"/>
            <w:vAlign w:val="bottom"/>
            <w:tcBorders>
              <w:bottom w:val="single" w:sz="8" w:color="0000FF"/>
            </w:tcBorders>
            <w:gridSpan w:val="16"/>
          </w:tcPr>
          <w:p>
            <w:pPr>
              <w:spacing w:after="0" w:line="202" w:lineRule="exact"/>
              <w:rPr>
                <w:rFonts w:ascii="Arial" w:cs="Arial" w:eastAsia="Arial" w:hAnsi="Arial"/>
                <w:sz w:val="18"/>
                <w:szCs w:val="18"/>
                <w:color w:val="0000FF"/>
                <w:w w:val="94"/>
              </w:rPr>
            </w:pPr>
            <w:hyperlink w:anchor="page157">
              <w:r>
                <w:rPr>
                  <w:rFonts w:ascii="Arial" w:cs="Arial" w:eastAsia="Arial" w:hAnsi="Arial"/>
                  <w:sz w:val="18"/>
                  <w:szCs w:val="18"/>
                  <w:color w:val="0000FF"/>
                  <w:w w:val="94"/>
                </w:rPr>
                <w:t>Form of stock option agreement and related notice of grant for use in connection with the grant of non-qualified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w:anchor="page157">
              <w:r>
                <w:rPr>
                  <w:rFonts w:ascii="Arial" w:cs="Arial" w:eastAsia="Arial" w:hAnsi="Arial"/>
                  <w:sz w:val="18"/>
                  <w:szCs w:val="18"/>
                  <w:color w:val="0000FF"/>
                  <w:w w:val="93"/>
                </w:rPr>
                <w:t>stock options to P. Roy Vagelos, M.D. under the Amended and Restated Regeneron Pharmaceuticals, Inc. 2014</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w:anchor="page157">
              <w:r>
                <w:rPr>
                  <w:rFonts w:ascii="Arial" w:cs="Arial" w:eastAsia="Arial" w:hAnsi="Arial"/>
                  <w:sz w:val="18"/>
                  <w:szCs w:val="18"/>
                  <w:color w:val="0000FF"/>
                </w:rPr>
                <w:t>Long-Term Incentive Plan.</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10.2.14 +</w:t>
            </w:r>
          </w:p>
        </w:tc>
        <w:tc>
          <w:tcPr>
            <w:tcW w:w="8380" w:type="dxa"/>
            <w:vAlign w:val="bottom"/>
            <w:gridSpan w:val="17"/>
            <w:shd w:val="clear" w:color="auto" w:fill="CCEEFF"/>
          </w:tcPr>
          <w:p>
            <w:pPr>
              <w:spacing w:after="0" w:line="202" w:lineRule="exact"/>
              <w:rPr>
                <w:rFonts w:ascii="Arial" w:cs="Arial" w:eastAsia="Arial" w:hAnsi="Arial"/>
                <w:sz w:val="18"/>
                <w:szCs w:val="18"/>
                <w:color w:val="0000FF"/>
                <w:w w:val="93"/>
              </w:rPr>
            </w:pPr>
            <w:hyperlink w:anchor="page161">
              <w:r>
                <w:rPr>
                  <w:rFonts w:ascii="Arial" w:cs="Arial" w:eastAsia="Arial" w:hAnsi="Arial"/>
                  <w:sz w:val="18"/>
                  <w:szCs w:val="18"/>
                  <w:color w:val="0000FF"/>
                  <w:w w:val="93"/>
                </w:rPr>
                <w:t>Form of stock option agreement and related notice of grant for use in connection with the grant of incentive stock</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3"/>
              </w:rPr>
            </w:pPr>
            <w:hyperlink w:anchor="page161">
              <w:r>
                <w:rPr>
                  <w:rFonts w:ascii="Arial" w:cs="Arial" w:eastAsia="Arial" w:hAnsi="Arial"/>
                  <w:sz w:val="18"/>
                  <w:szCs w:val="18"/>
                  <w:color w:val="0000FF"/>
                  <w:w w:val="93"/>
                </w:rPr>
                <w:t>options to P. Roy Vagelos, M.D. under the Amended and Restated Regeneron Pharmaceuticals, Inc. 2014 Long-</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w:anchor="page161">
              <w:r>
                <w:rPr>
                  <w:rFonts w:ascii="Arial" w:cs="Arial" w:eastAsia="Arial" w:hAnsi="Arial"/>
                  <w:sz w:val="18"/>
                  <w:szCs w:val="18"/>
                  <w:color w:val="0000FF"/>
                  <w:w w:val="89"/>
                </w:rPr>
                <w:t>Term Incentive Plan.</w:t>
              </w:r>
            </w:hyperlink>
          </w:p>
        </w:tc>
        <w:tc>
          <w:tcPr>
            <w:tcW w:w="684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10.2.15 +</w:t>
            </w:r>
          </w:p>
        </w:tc>
        <w:tc>
          <w:tcPr>
            <w:tcW w:w="8380" w:type="dxa"/>
            <w:vAlign w:val="bottom"/>
            <w:tcBorders>
              <w:bottom w:val="single" w:sz="8" w:color="0000FF"/>
            </w:tcBorders>
            <w:gridSpan w:val="17"/>
          </w:tcPr>
          <w:p>
            <w:pPr>
              <w:spacing w:after="0" w:line="202" w:lineRule="exact"/>
              <w:rPr>
                <w:rFonts w:ascii="Arial" w:cs="Arial" w:eastAsia="Arial" w:hAnsi="Arial"/>
                <w:sz w:val="18"/>
                <w:szCs w:val="18"/>
                <w:color w:val="0000FF"/>
                <w:w w:val="98"/>
              </w:rPr>
            </w:pPr>
            <w:hyperlink w:anchor="page165">
              <w:r>
                <w:rPr>
                  <w:rFonts w:ascii="Arial" w:cs="Arial" w:eastAsia="Arial" w:hAnsi="Arial"/>
                  <w:sz w:val="18"/>
                  <w:szCs w:val="18"/>
                  <w:color w:val="0000FF"/>
                  <w:w w:val="98"/>
                </w:rPr>
                <w:t>Form of restricted stock award agreement and related notice of grant for use in connection with the grant of</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bottom w:val="single" w:sz="8" w:color="0000FF"/>
            </w:tcBorders>
            <w:gridSpan w:val="16"/>
          </w:tcPr>
          <w:p>
            <w:pPr>
              <w:spacing w:after="0" w:line="196" w:lineRule="exact"/>
              <w:rPr>
                <w:rFonts w:ascii="Arial" w:cs="Arial" w:eastAsia="Arial" w:hAnsi="Arial"/>
                <w:sz w:val="18"/>
                <w:szCs w:val="18"/>
                <w:color w:val="0000FF"/>
                <w:w w:val="98"/>
              </w:rPr>
            </w:pPr>
            <w:hyperlink w:anchor="page165">
              <w:r>
                <w:rPr>
                  <w:rFonts w:ascii="Arial" w:cs="Arial" w:eastAsia="Arial" w:hAnsi="Arial"/>
                  <w:sz w:val="18"/>
                  <w:szCs w:val="18"/>
                  <w:color w:val="0000FF"/>
                  <w:w w:val="98"/>
                </w:rPr>
                <w:t>restricted stock awards to the Registrant's executive officers under the Amended and Restated Regeneron</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w:anchor="page165">
              <w:r>
                <w:rPr>
                  <w:rFonts w:ascii="Arial" w:cs="Arial" w:eastAsia="Arial" w:hAnsi="Arial"/>
                  <w:sz w:val="18"/>
                  <w:szCs w:val="18"/>
                  <w:color w:val="0000FF"/>
                </w:rPr>
                <w:t>Pharmaceuticals, Inc. 2014 Long-Term Incentive Plan.</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10.2.16 +</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w:anchor="page170">
              <w:r>
                <w:rPr>
                  <w:rFonts w:ascii="Arial" w:cs="Arial" w:eastAsia="Arial" w:hAnsi="Arial"/>
                  <w:sz w:val="18"/>
                  <w:szCs w:val="18"/>
                  <w:color w:val="0000FF"/>
                  <w:w w:val="94"/>
                </w:rPr>
                <w:t>Form of stock option agreement and related notice of grant for use in connection with the grant of non-qualified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5"/>
              </w:rPr>
            </w:pPr>
            <w:hyperlink w:anchor="page170">
              <w:r>
                <w:rPr>
                  <w:rFonts w:ascii="Arial" w:cs="Arial" w:eastAsia="Arial" w:hAnsi="Arial"/>
                  <w:sz w:val="18"/>
                  <w:szCs w:val="18"/>
                  <w:color w:val="0000FF"/>
                  <w:w w:val="95"/>
                </w:rPr>
                <w:t>stock  options  to  the  Registrant's  non-employee  directors  under  the  Amended  and  Restated  Regeneron</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w:anchor="page170">
              <w:r>
                <w:rPr>
                  <w:rFonts w:ascii="Arial" w:cs="Arial" w:eastAsia="Arial" w:hAnsi="Arial"/>
                  <w:sz w:val="18"/>
                  <w:szCs w:val="18"/>
                  <w:color w:val="0000FF"/>
                  <w:w w:val="90"/>
                </w:rPr>
                <w:t>Pharmaceuticals, Inc. 2014 Long-Term Incentive Plan.</w:t>
              </w:r>
            </w:hyperlink>
          </w:p>
        </w:tc>
        <w:tc>
          <w:tcPr>
            <w:tcW w:w="440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10.3 +</w:t>
            </w:r>
          </w:p>
        </w:tc>
        <w:tc>
          <w:tcPr>
            <w:tcW w:w="8340" w:type="dxa"/>
            <w:vAlign w:val="bottom"/>
            <w:tcBorders>
              <w:bottom w:val="single" w:sz="8" w:color="0000FF"/>
            </w:tcBorders>
            <w:gridSpan w:val="16"/>
          </w:tcPr>
          <w:p>
            <w:pPr>
              <w:spacing w:after="0" w:line="202"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Amended and Restated Employment Agreement, dated as of November 14, 2008, between the Registrant and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Leonard S. Schleifer, M.D., Ph.D. (Incorporated by reference from the Form 10-K for the Registrant, for the year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ended December 31, 2008, filed February 26, 2009.)</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10.4* +</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Employment Agreement, dated as of December 31, 1998, between the Registrant and P. Roy Vagelos, M.D.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(Incorporated by reference from the Form 10-K for the Registrant, for the year ended December 31, 2004, filed</w:t>
              </w:r>
            </w:hyperlink>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March 11, 2005.)</w:t>
              </w:r>
            </w:hyperlink>
          </w:p>
        </w:tc>
        <w:tc>
          <w:tcPr>
            <w:tcW w:w="7140" w:type="dxa"/>
            <w:vAlign w:val="bottom"/>
            <w:tcBorders>
              <w:bottom w:val="single" w:sz="8" w:color="CCEEFF"/>
            </w:tcBorders>
            <w:gridSpan w:val="14"/>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10.5 +</w:t>
            </w:r>
          </w:p>
        </w:tc>
        <w:tc>
          <w:tcPr>
            <w:tcW w:w="8380" w:type="dxa"/>
            <w:vAlign w:val="bottom"/>
            <w:tcBorders>
              <w:bottom w:val="single" w:sz="8" w:color="0000FF"/>
            </w:tcBorders>
            <w:gridSpan w:val="17"/>
          </w:tcPr>
          <w:p>
            <w:pPr>
              <w:spacing w:after="0" w:line="202"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Offer Letter for Robert E. Landry effective September 9, 2013. (Incorporated by reference from the Form 8-K for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the Registrant, filed September 12, 2013.)</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10.6 +</w:t>
            </w:r>
          </w:p>
        </w:tc>
        <w:tc>
          <w:tcPr>
            <w:tcW w:w="8380" w:type="dxa"/>
            <w:vAlign w:val="bottom"/>
            <w:gridSpan w:val="17"/>
            <w:shd w:val="clear" w:color="auto" w:fill="CCEEFF"/>
          </w:tcPr>
          <w:p>
            <w:pPr>
              <w:spacing w:after="0" w:line="202"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Regeneron Pharmaceuticals, Inc. Change in Control Severance Plan, amended and restated effective as of</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November 14, 2008. (Incorporated by reference from the Form 10-K for the Registrant, for the year ended</w:t>
              </w:r>
            </w:hyperlink>
          </w:p>
        </w:tc>
      </w:tr>
      <w:tr>
        <w:trPr>
          <w:trHeight w:val="196"/>
        </w:trPr>
        <w:tc>
          <w:tcPr>
            <w:tcW w:w="9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3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December 31, 2008, filed February 26, 2009.)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10.7 +</w:t>
            </w:r>
          </w:p>
        </w:tc>
        <w:tc>
          <w:tcPr>
            <w:tcW w:w="8380" w:type="dxa"/>
            <w:vAlign w:val="bottom"/>
            <w:gridSpan w:val="17"/>
          </w:tcPr>
          <w:p>
            <w:pPr>
              <w:spacing w:after="0" w:line="202"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Regeneron Pharmaceuticals, Inc. Cash Incentive Bonus Plan. (Incorporated by reference from the Form 8-K for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Registrant, filed June 17, 2015.)</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10.8*</w:t>
            </w:r>
          </w:p>
        </w:tc>
        <w:tc>
          <w:tcPr>
            <w:tcW w:w="8380" w:type="dxa"/>
            <w:vAlign w:val="bottom"/>
            <w:gridSpan w:val="17"/>
            <w:shd w:val="clear" w:color="auto" w:fill="CCEEFF"/>
          </w:tcPr>
          <w:p>
            <w:pPr>
              <w:spacing w:after="0" w:line="202"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IL-1  Antibody  Termination  Agreement  by  and  between  Novartis  Pharma  AG,  Novartis  Pharmaceuticals</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060" w:type="dxa"/>
            <w:vAlign w:val="bottom"/>
            <w:gridSpan w:val="14"/>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Corporation and the Registrant, dated as of June 8, 2009. (Incorporated by reference from the Form 10-Q for the</w:t>
              </w:r>
            </w:hyperlink>
          </w:p>
        </w:tc>
      </w:tr>
      <w:tr>
        <w:trPr>
          <w:trHeight w:val="196"/>
        </w:trPr>
        <w:tc>
          <w:tcPr>
            <w:tcW w:w="9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3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Registrant, for the quarter ended June 30, 2009, filed August 4, 2009.)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500"/>
          </w:cols>
          <w:pgMar w:left="240" w:top="117" w:right="115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500"/>
          </w:cols>
          <w:pgMar w:left="240" w:top="117" w:right="115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2260" w:type="dxa"/>
            <w:vAlign w:val="bottom"/>
            <w:gridSpan w:val="3"/>
          </w:tcPr>
          <w:p>
            <w:pPr>
              <w:ind w:left="960"/>
              <w:spacing w:after="0"/>
              <w:rPr>
                <w:sz w:val="20"/>
                <w:szCs w:val="20"/>
                <w:color w:val="auto"/>
              </w:rPr>
            </w:pPr>
            <w:r>
              <w:rPr>
                <w:rFonts w:ascii="Arial" w:cs="Arial" w:eastAsia="Arial" w:hAnsi="Arial"/>
                <w:sz w:val="18"/>
                <w:szCs w:val="18"/>
                <w:color w:val="auto"/>
              </w:rPr>
              <w:t>10.9*</w:t>
            </w:r>
          </w:p>
        </w:tc>
        <w:tc>
          <w:tcPr>
            <w:tcW w:w="8240" w:type="dxa"/>
            <w:vAlign w:val="bottom"/>
            <w:tcBorders>
              <w:bottom w:val="single" w:sz="8" w:color="0000FF"/>
            </w:tcBorders>
            <w:gridSpan w:val="16"/>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Amended and Restated Collaboration Agreement, dated as of February 23, 2015, by and between Sanofi-Aventis</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US LLC and the Registrant.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ended March 31, 2015, filed May 7, 2015.)</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10.10*</w:t>
            </w:r>
          </w:p>
        </w:tc>
        <w:tc>
          <w:tcPr>
            <w:tcW w:w="8240" w:type="dxa"/>
            <w:vAlign w:val="bottom"/>
            <w:gridSpan w:val="16"/>
            <w:shd w:val="clear" w:color="auto" w:fill="CCEEFF"/>
          </w:tcPr>
          <w:p>
            <w:pPr>
              <w:spacing w:after="0" w:line="202"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License and Collaboration Agreement, dated as of October 18, 2006, by and between Bayer HealthCare LLC and</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the Registrant. (Incorporated by reference from the Form 10-Q for the Registrant, for the quarter ended</w:t>
              </w:r>
            </w:hyperlink>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September 30, 2006, filed November 6, 2006.)</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10.10.1*</w:t>
            </w:r>
          </w:p>
        </w:tc>
        <w:tc>
          <w:tcPr>
            <w:tcW w:w="824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Restated Amendment Agreement, dated December 30, 2014 and entered into effective as of May 7, 2012, by and</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0" w:type="dxa"/>
            <w:vAlign w:val="bottom"/>
            <w:tcBorders>
              <w:bottom w:val="single" w:sz="8" w:color="0000FF"/>
            </w:tcBorders>
            <w:gridSpan w:val="15"/>
          </w:tcPr>
          <w:p>
            <w:pPr>
              <w:spacing w:after="0" w:line="196" w:lineRule="exact"/>
              <w:rPr>
                <w:rFonts w:ascii="Arial" w:cs="Arial" w:eastAsia="Arial" w:hAnsi="Arial"/>
                <w:sz w:val="18"/>
                <w:szCs w:val="18"/>
                <w:color w:val="0000FF"/>
                <w:w w:val="96"/>
              </w:rPr>
            </w:pPr>
            <w:hyperlink r:id="rId63">
              <w:r>
                <w:rPr>
                  <w:rFonts w:ascii="Arial" w:cs="Arial" w:eastAsia="Arial" w:hAnsi="Arial"/>
                  <w:sz w:val="18"/>
                  <w:szCs w:val="18"/>
                  <w:color w:val="0000FF"/>
                  <w:w w:val="96"/>
                </w:rPr>
                <w:t>between Bayer HealthCare LLC and the Registrant. (Incorporated by reference from the Form 10-K for the</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Registrant, for the year ended December 31, 2014, filed February 12, 2015.)</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10.11</w:t>
            </w:r>
          </w:p>
        </w:tc>
        <w:tc>
          <w:tcPr>
            <w:tcW w:w="82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License and Collaboration Agreement, dated as of January 10, 2014, by and between Bayer HealthCare LLC and</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the Registrant. (Incorporated by reference from the Form 10-Q for the Registrant, for the quarter ended March 31,</w:t>
              </w:r>
            </w:hyperlink>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2014, filed May 8, 2014.)</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10.12</w:t>
            </w:r>
          </w:p>
        </w:tc>
        <w:tc>
          <w:tcPr>
            <w:tcW w:w="8200" w:type="dxa"/>
            <w:vAlign w:val="bottom"/>
            <w:tcBorders>
              <w:bottom w:val="single" w:sz="8" w:color="0000FF"/>
            </w:tcBorders>
            <w:gridSpan w:val="15"/>
          </w:tcPr>
          <w:p>
            <w:pPr>
              <w:spacing w:after="0" w:line="202"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Lease, dated as of December 21, 2006, by and between BMR-Landmark at Eastview LLC and the Registrant.</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(Incorporated by reference from the Form 8-K for the Registrant, filed December 22, 2006.)</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10.12.1*</w:t>
            </w:r>
          </w:p>
        </w:tc>
        <w:tc>
          <w:tcPr>
            <w:tcW w:w="82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First Amendment to Lease, by and between BMR-Landmark at Eastview LLC and the Registrant, entered into as</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of September 14, 2007. (Incorporated by reference from the Form 10-Q for the Registrant, for the quarter ended</w:t>
              </w:r>
            </w:hyperlink>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September 30, 2007, filed November 7, 2007.)</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10.12.2</w:t>
            </w:r>
          </w:p>
        </w:tc>
        <w:tc>
          <w:tcPr>
            <w:tcW w:w="824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Second Amendment to Lease, by and between BMR-Landmark at Eastview LLC and the Registrant, entered into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as of September 30, 2008.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ended September 30, 2008, filed November 5, 2008.)</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10.12.3</w:t>
            </w:r>
          </w:p>
        </w:tc>
        <w:tc>
          <w:tcPr>
            <w:tcW w:w="82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Third Amendment to Lease, by and between BMR-Landmark at Eastview LLC and the Registrant, entered into as</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of April 29, 2009. (Incorporated by reference from the Form 10-Q for the Registrant, for the quarter ended March</w:t>
              </w:r>
            </w:hyperlink>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31, 2009, filed April 30, 2009.)</w:t>
              </w:r>
            </w:hyperlink>
          </w:p>
        </w:tc>
        <w:tc>
          <w:tcPr>
            <w:tcW w:w="5980" w:type="dxa"/>
            <w:vAlign w:val="bottom"/>
            <w:tcBorders>
              <w:bottom w:val="single" w:sz="8" w:color="CCEEFF"/>
            </w:tcBorders>
            <w:gridSpan w:val="12"/>
            <w:shd w:val="clear" w:color="auto" w:fill="CCEEFF"/>
          </w:tcPr>
          <w:p>
            <w:pPr>
              <w:spacing w:after="0"/>
              <w:rPr>
                <w:sz w:val="21"/>
                <w:szCs w:val="21"/>
                <w:color w:val="auto"/>
              </w:rPr>
            </w:pPr>
          </w:p>
        </w:tc>
      </w:tr>
      <w:tr>
        <w:trPr>
          <w:trHeight w:val="203"/>
        </w:trPr>
        <w:tc>
          <w:tcPr>
            <w:tcW w:w="226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10.12.4</w:t>
            </w:r>
          </w:p>
        </w:tc>
        <w:tc>
          <w:tcPr>
            <w:tcW w:w="8200" w:type="dxa"/>
            <w:vAlign w:val="bottom"/>
            <w:tcBorders>
              <w:bottom w:val="single" w:sz="8" w:color="0000FF"/>
            </w:tcBorders>
            <w:gridSpan w:val="15"/>
          </w:tcPr>
          <w:p>
            <w:pPr>
              <w:spacing w:after="0" w:line="202"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Fourth Amendment to Lease, by and between BMR-Landmark at Eastview LLC and the Registrant, entered into</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as of December 3, 2009. (Incorporated by reference from the Form 8-K for the Registrant, filed December 8,</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gridSpan w:val="2"/>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2009.</w:t>
              </w:r>
              <w:r>
                <w:rPr>
                  <w:rFonts w:ascii="Arial" w:cs="Arial" w:eastAsia="Arial" w:hAnsi="Arial"/>
                  <w:sz w:val="18"/>
                  <w:szCs w:val="18"/>
                  <w:u w:val="single" w:color="auto"/>
                  <w:color w:val="0000FF"/>
                </w:rPr>
                <w:t>)</w:t>
              </w:r>
            </w:hyperlink>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10.12.5</w:t>
            </w:r>
          </w:p>
        </w:tc>
        <w:tc>
          <w:tcPr>
            <w:tcW w:w="8200" w:type="dxa"/>
            <w:vAlign w:val="bottom"/>
            <w:tcBorders>
              <w:bottom w:val="single" w:sz="8" w:color="0000FF"/>
              <w:right w:val="single" w:sz="8" w:color="CCEEFF"/>
            </w:tcBorders>
            <w:gridSpan w:val="15"/>
            <w:shd w:val="clear" w:color="auto" w:fill="CCEEFF"/>
          </w:tcPr>
          <w:p>
            <w:pPr>
              <w:spacing w:after="0" w:line="202"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Fifth Amendment to Lease, by and between BMR-Landmark at Eastview LLC and the Registrant, entered into as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of February 11, 2010. (Incorporated by reference from the Form 8-K for the Registrant, filed February 16, 2010.)</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10.12.6</w:t>
            </w:r>
          </w:p>
        </w:tc>
        <w:tc>
          <w:tcPr>
            <w:tcW w:w="8200" w:type="dxa"/>
            <w:vAlign w:val="bottom"/>
            <w:tcBorders>
              <w:bottom w:val="single" w:sz="8" w:color="0000FF"/>
            </w:tcBorders>
            <w:gridSpan w:val="15"/>
          </w:tcPr>
          <w:p>
            <w:pPr>
              <w:spacing w:after="0" w:line="202"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Sixth Amendment to Lease, by and between BMR-Landmark at Eastview LLC and the Registrant, entered into as</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of June 4, 2010. (Incorporated by reference from the Form 10-Q for the Registrant, for the quarter ended June 30,</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2010, filed July 28, 2010.)</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10.12.7</w:t>
            </w:r>
          </w:p>
        </w:tc>
        <w:tc>
          <w:tcPr>
            <w:tcW w:w="82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Seventh Amendment to Lease, by and between BMR-Landmark at Eastview LLC and the Registrant, entered into</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as of December 22, 2010. (Incorporated by reference from the Form 10-K for the Registrant, for the year ended</w:t>
              </w:r>
            </w:hyperlink>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December 31, 2010, filed February 17, 2011.)</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10.12.8</w:t>
            </w:r>
          </w:p>
        </w:tc>
        <w:tc>
          <w:tcPr>
            <w:tcW w:w="8200" w:type="dxa"/>
            <w:vAlign w:val="bottom"/>
            <w:tcBorders>
              <w:bottom w:val="single" w:sz="8" w:color="0000FF"/>
            </w:tcBorders>
            <w:gridSpan w:val="15"/>
          </w:tcPr>
          <w:p>
            <w:pPr>
              <w:spacing w:after="0" w:line="202"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Eighth Amendment to Lease, by and between BMR-Landmark at Eastview LLC and the Registrant, entered into</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as of August 1, 2011. (Incorporated by reference from the Form 10-Q for the Registrant for the quarter ended</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September 30, 2011, filed October 27, 2011.)</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10.12.9</w:t>
            </w:r>
          </w:p>
        </w:tc>
        <w:tc>
          <w:tcPr>
            <w:tcW w:w="8200" w:type="dxa"/>
            <w:vAlign w:val="bottom"/>
            <w:tcBorders>
              <w:bottom w:val="single" w:sz="8" w:color="0000FF"/>
              <w:right w:val="single" w:sz="8" w:color="CCEEFF"/>
            </w:tcBorders>
            <w:gridSpan w:val="15"/>
            <w:shd w:val="clear" w:color="auto" w:fill="CCEEFF"/>
          </w:tcPr>
          <w:p>
            <w:pPr>
              <w:spacing w:after="0" w:line="202"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Ninth Amendment to Lease, by and between BMR-Landmark at Eastview LLC and the Registrant, entered into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as of September 30, 2011. (Incorporated by reference from the Form 10-Q for the Registrant for the quarter ended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September 30, 2011, filed October 27, 2011.)</w:t>
              </w:r>
            </w:hyperlink>
          </w:p>
        </w:tc>
        <w:tc>
          <w:tcPr>
            <w:tcW w:w="4980" w:type="dxa"/>
            <w:vAlign w:val="bottom"/>
            <w:tcBorders>
              <w:bottom w:val="single" w:sz="8" w:color="CCEEFF"/>
            </w:tcBorders>
            <w:gridSpan w:val="7"/>
            <w:shd w:val="clear" w:color="auto" w:fill="CCEEFF"/>
          </w:tcPr>
          <w:p>
            <w:pPr>
              <w:spacing w:after="0"/>
              <w:rPr>
                <w:sz w:val="21"/>
                <w:szCs w:val="21"/>
                <w:color w:val="auto"/>
              </w:rPr>
            </w:pPr>
          </w:p>
        </w:tc>
      </w:tr>
      <w:tr>
        <w:trPr>
          <w:trHeight w:val="203"/>
        </w:trPr>
        <w:tc>
          <w:tcPr>
            <w:tcW w:w="226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10.12.10</w:t>
            </w:r>
          </w:p>
        </w:tc>
        <w:tc>
          <w:tcPr>
            <w:tcW w:w="8240" w:type="dxa"/>
            <w:vAlign w:val="bottom"/>
            <w:tcBorders>
              <w:bottom w:val="single" w:sz="8" w:color="0000FF"/>
            </w:tcBorders>
            <w:gridSpan w:val="16"/>
          </w:tcPr>
          <w:p>
            <w:pPr>
              <w:spacing w:after="0" w:line="202"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Tenth Amendment to Lease, by and between BMR-Landmark at Eastview LLC and the Registrant, entered into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as of October 25, 2012. (Incorporated by reference from the Form 10-Q for the Registrant, for the quarter ended</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June 30, 2015, filed August 4, 2015.)</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10.12.11</w:t>
            </w:r>
          </w:p>
        </w:tc>
        <w:tc>
          <w:tcPr>
            <w:tcW w:w="82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Eleventh Amendment to Lease by and between BMR-Landmark at Eastview LLC and the Registrant, entered into</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as of April 3, 2013. (Incorporated by reference from the Form 10-Q for the Registrant, for the quarter ended June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30, 2013, filed August 6, 2013.)</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10.12.12</w:t>
            </w:r>
          </w:p>
        </w:tc>
        <w:tc>
          <w:tcPr>
            <w:tcW w:w="8240" w:type="dxa"/>
            <w:vAlign w:val="bottom"/>
            <w:tcBorders>
              <w:bottom w:val="single" w:sz="8" w:color="0000FF"/>
            </w:tcBorders>
            <w:gridSpan w:val="16"/>
          </w:tcPr>
          <w:p>
            <w:pPr>
              <w:spacing w:after="0" w:line="202"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Twelfth Amendment to Lease by and between BMR-Landmark at Eastview LLC and the Registrant, entered into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as of May 31, 2013. (Incorporated by reference from the Form 10-Q for the Registrant, for the quarter ended June</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30, 2013, filed August 6, 2013.)</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10.12.13</w:t>
            </w:r>
          </w:p>
        </w:tc>
        <w:tc>
          <w:tcPr>
            <w:tcW w:w="82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Thirteenth Amendment to Lease by and between BMR-Landmark at Eastview LLC and the Registrant, entered</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into as of May 31, 2013. (Incorporated by reference from the Form 10-Q for the Registrant, for the quarter ended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June 30, 2013, filed August 6, 2013.)</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10.12.14</w:t>
            </w:r>
          </w:p>
        </w:tc>
        <w:tc>
          <w:tcPr>
            <w:tcW w:w="8240" w:type="dxa"/>
            <w:vAlign w:val="bottom"/>
            <w:gridSpan w:val="16"/>
          </w:tcPr>
          <w:p>
            <w:pPr>
              <w:spacing w:after="0" w:line="202"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Fourteenth Amendment to Lease, by and between BMR-Landmark at Eastview LLC and the Registrant, entered</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gridSpan w:val="8"/>
            <w:shd w:val="clear" w:color="auto" w:fill="0000FF"/>
          </w:tcPr>
          <w:p>
            <w:pPr>
              <w:spacing w:after="0" w:line="20" w:lineRule="exact"/>
              <w:rPr>
                <w:sz w:val="1"/>
                <w:szCs w:val="1"/>
                <w:color w:val="auto"/>
              </w:rPr>
            </w:pPr>
          </w:p>
        </w:tc>
        <w:tc>
          <w:tcPr>
            <w:tcW w:w="504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into as of October 25, 2013.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40" w:type="dxa"/>
            <w:vAlign w:val="bottom"/>
            <w:gridSpan w:val="16"/>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ended June 30, 2015, filed August 4, 2015.)</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10.12.15</w:t>
            </w:r>
          </w:p>
        </w:tc>
        <w:tc>
          <w:tcPr>
            <w:tcW w:w="82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Fifteenth Amendment to Lease, by and between BMR-Landmark at Eastview LLC and the Registrant, entered</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into as of June 12, 2014. (Incorporated by reference from the Form 10-Q for the Registrant, for the quarter ended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40" w:type="dxa"/>
            <w:vAlign w:val="bottom"/>
            <w:gridSpan w:val="16"/>
            <w:shd w:val="clear" w:color="auto" w:fill="CCEEFF"/>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June 30, 2015, filed August 4, 2015.)</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500"/>
          </w:cols>
          <w:pgMar w:left="240" w:top="118" w:right="115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500"/>
          </w:cols>
          <w:pgMar w:left="240" w:top="118" w:right="115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2120" w:type="dxa"/>
            <w:vAlign w:val="bottom"/>
            <w:gridSpan w:val="3"/>
          </w:tcPr>
          <w:p>
            <w:pPr>
              <w:ind w:left="960"/>
              <w:spacing w:after="0"/>
              <w:rPr>
                <w:sz w:val="20"/>
                <w:szCs w:val="20"/>
                <w:color w:val="auto"/>
              </w:rPr>
            </w:pPr>
            <w:r>
              <w:rPr>
                <w:rFonts w:ascii="Arial" w:cs="Arial" w:eastAsia="Arial" w:hAnsi="Arial"/>
                <w:sz w:val="18"/>
                <w:szCs w:val="18"/>
                <w:color w:val="auto"/>
              </w:rPr>
              <w:t>10.12.16</w:t>
            </w:r>
          </w:p>
        </w:tc>
        <w:tc>
          <w:tcPr>
            <w:tcW w:w="8380" w:type="dxa"/>
            <w:vAlign w:val="bottom"/>
            <w:gridSpan w:val="17"/>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Sixteenth Amendment to Lease, by and between BMR-Landmark at Eastview LLC and the Registrant, entered into</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as of June 30, 2015. (Incorporated by reference from the Form 10-Q for the Registrant, for the quarter ended June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30, 2015, filed August 4, 2015.)</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10.12.17</w:t>
            </w:r>
          </w:p>
        </w:tc>
        <w:tc>
          <w:tcPr>
            <w:tcW w:w="83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Seventeenth Amendment to Lease, by and between BMR-Landmark at Eastview LLC and the Registrant, entered</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into as of August 10, 2015. (Incorporated by reference from the Form 10-Q for the Registrant, for the quarter ended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September 30, 2015, filed November 4, 2015.)</w:t>
              </w:r>
            </w:hyperlink>
          </w:p>
        </w:tc>
        <w:tc>
          <w:tcPr>
            <w:tcW w:w="5020" w:type="dxa"/>
            <w:vAlign w:val="bottom"/>
            <w:tcBorders>
              <w:bottom w:val="single" w:sz="8" w:color="CCEEFF"/>
            </w:tcBorders>
            <w:gridSpan w:val="11"/>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10.13</w:t>
            </w:r>
          </w:p>
        </w:tc>
        <w:tc>
          <w:tcPr>
            <w:tcW w:w="8380" w:type="dxa"/>
            <w:vAlign w:val="bottom"/>
            <w:tcBorders>
              <w:bottom w:val="single" w:sz="8" w:color="0000FF"/>
            </w:tcBorders>
            <w:gridSpan w:val="17"/>
          </w:tcPr>
          <w:p>
            <w:pPr>
              <w:spacing w:after="0" w:line="202" w:lineRule="exact"/>
              <w:rPr>
                <w:rFonts w:ascii="Arial" w:cs="Arial" w:eastAsia="Arial" w:hAnsi="Arial"/>
                <w:sz w:val="18"/>
                <w:szCs w:val="18"/>
                <w:color w:val="0000FF"/>
                <w:w w:val="96"/>
              </w:rPr>
            </w:pPr>
            <w:hyperlink r:id="rId83">
              <w:r>
                <w:rPr>
                  <w:rFonts w:ascii="Arial" w:cs="Arial" w:eastAsia="Arial" w:hAnsi="Arial"/>
                  <w:sz w:val="18"/>
                  <w:szCs w:val="18"/>
                  <w:color w:val="0000FF"/>
                  <w:w w:val="96"/>
                </w:rPr>
                <w:t>Mt. Pleasant Lease by and between BMR-Landmark at Eastview LLC and the Registrant, dated April 3, 2013.</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83">
              <w:r>
                <w:rPr>
                  <w:rFonts w:ascii="Arial" w:cs="Arial" w:eastAsia="Arial" w:hAnsi="Arial"/>
                  <w:sz w:val="18"/>
                  <w:szCs w:val="18"/>
                  <w:color w:val="0000FF"/>
                  <w:w w:val="96"/>
                </w:rPr>
                <w:t>(Incorporated by reference from the Form 10-Q for the Registrant, for the quarter ended June 30, 2013, filed</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August 6, 2013.)</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10.13.1</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First Amendment to Mt. Pleasant Lease, by and between BMR-Landmark at Eastview LLC and the Registrant,</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entered into as of June 30, 2015.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ended June 30, 2015, filed August 4, 2015.)</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10.14*</w:t>
            </w:r>
          </w:p>
        </w:tc>
        <w:tc>
          <w:tcPr>
            <w:tcW w:w="8380" w:type="dxa"/>
            <w:vAlign w:val="bottom"/>
            <w:gridSpan w:val="17"/>
          </w:tcPr>
          <w:p>
            <w:pPr>
              <w:spacing w:after="0" w:line="202"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Non Exclusive License and Material Transfer Agreement, dated as of March 30, 2007, by and between Astellas</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Pharma Inc. and the Registrant.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ended March 31, 2007, filed May 4, 2007.)</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10.14.1*</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86">
              <w:r>
                <w:rPr>
                  <w:rFonts w:ascii="Arial" w:cs="Arial" w:eastAsia="Arial" w:hAnsi="Arial"/>
                  <w:sz w:val="18"/>
                  <w:szCs w:val="18"/>
                  <w:color w:val="0000FF"/>
                  <w:w w:val="93"/>
                </w:rPr>
                <w:t>Amendment to the Non Exclusive License and Material Transfer Agreement, dated as of March 30, 2007 by and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3"/>
              </w:rPr>
            </w:pPr>
            <w:hyperlink r:id="rId86">
              <w:r>
                <w:rPr>
                  <w:rFonts w:ascii="Arial" w:cs="Arial" w:eastAsia="Arial" w:hAnsi="Arial"/>
                  <w:sz w:val="18"/>
                  <w:szCs w:val="18"/>
                  <w:color w:val="0000FF"/>
                  <w:w w:val="93"/>
                </w:rPr>
                <w:t>between Astellas Pharma Inc. and the Registrant, dated as of July 28, 2010. (Incorporated by reference from the</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7020" w:type="dxa"/>
            <w:vAlign w:val="bottom"/>
            <w:tcBorders>
              <w:top w:val="single" w:sz="8" w:color="0000FF"/>
              <w:bottom w:val="single" w:sz="8" w:color="0000FF"/>
            </w:tcBorders>
            <w:gridSpan w:val="14"/>
            <w:shd w:val="clear" w:color="auto" w:fill="CCEEFF"/>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Form 10-Q for the Registrant, for the quarter ended September 30, 2010, filed October 28, 2010.)</w:t>
              </w:r>
            </w:hyperlink>
          </w:p>
        </w:tc>
        <w:tc>
          <w:tcPr>
            <w:tcW w:w="132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10.15*</w:t>
            </w:r>
          </w:p>
        </w:tc>
        <w:tc>
          <w:tcPr>
            <w:tcW w:w="8380" w:type="dxa"/>
            <w:vAlign w:val="bottom"/>
            <w:tcBorders>
              <w:bottom w:val="single" w:sz="8" w:color="0000FF"/>
            </w:tcBorders>
            <w:gridSpan w:val="17"/>
          </w:tcPr>
          <w:p>
            <w:pPr>
              <w:spacing w:after="0" w:line="202"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Amended and Restated Discovery and Preclinical Development Agreement, dated as of November 10, 2009, by and</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between Aventis Pharmaceuticals Inc. and the Registrant. (Incorporated by reference from the Form 10-K/A for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Registrant, for the year ended December 31, 2009, filed June 2, 2010.)</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10.15.1*</w:t>
            </w:r>
          </w:p>
        </w:tc>
        <w:tc>
          <w:tcPr>
            <w:tcW w:w="8380" w:type="dxa"/>
            <w:vAlign w:val="bottom"/>
            <w:gridSpan w:val="17"/>
            <w:shd w:val="clear" w:color="auto" w:fill="CCEEFF"/>
          </w:tcPr>
          <w:p>
            <w:pPr>
              <w:spacing w:after="0" w:line="202"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Amendment No. 1 to Amended and Restated Discovery and Preclinical Development Agreement, dated July 27,</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2015 and entered into effective as of July 1, 2015, by and between the Registrant and Sanofi Biotechnology SAS,</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as successor-in-interest to Aventis Pharmaceuticals, Inc. (Incorporated by reference from the Form 10-Q for the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Registrant, for the quarter ended September 30, 2015, filed November 4, 2015.)</w:t>
              </w:r>
            </w:hyperlink>
          </w:p>
        </w:tc>
        <w:tc>
          <w:tcPr>
            <w:tcW w:w="264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10.16*</w:t>
            </w:r>
          </w:p>
        </w:tc>
        <w:tc>
          <w:tcPr>
            <w:tcW w:w="8380" w:type="dxa"/>
            <w:vAlign w:val="bottom"/>
            <w:gridSpan w:val="17"/>
          </w:tcPr>
          <w:p>
            <w:pPr>
              <w:spacing w:after="0" w:line="202"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Amended and Restated License and Collaboration Agreement, dated as of November 10, 2009, by and among</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Aventis Pharmaceuticals Inc., sanofi-aventis Amerique du Nord, and the Registrant. (Incorporated by reference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from the Form 10-K/A for the Registrant, for the year ended December 31, 2009, filed June 2, 2010.)</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10.16.1*</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First Amendment to Amended and Restated License and Collaboration Agreement by and between the Registrant</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6"/>
              </w:rPr>
            </w:pPr>
            <w:hyperlink r:id="rId90">
              <w:r>
                <w:rPr>
                  <w:rFonts w:ascii="Arial" w:cs="Arial" w:eastAsia="Arial" w:hAnsi="Arial"/>
                  <w:sz w:val="18"/>
                  <w:szCs w:val="18"/>
                  <w:color w:val="0000FF"/>
                  <w:w w:val="96"/>
                </w:rPr>
                <w:t>and Aventis Pharmaceuticals Inc., dated May 1, 2013. (Incorporated by reference from the Form 10-Q for the</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506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Registrant, for the quarter ended June 30, 2013, filed August 6, 2013.)</w:t>
              </w:r>
            </w:hyperlink>
          </w:p>
        </w:tc>
        <w:tc>
          <w:tcPr>
            <w:tcW w:w="328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10.16.2*</w:t>
            </w:r>
          </w:p>
        </w:tc>
        <w:tc>
          <w:tcPr>
            <w:tcW w:w="8380" w:type="dxa"/>
            <w:vAlign w:val="bottom"/>
            <w:tcBorders>
              <w:bottom w:val="single" w:sz="8" w:color="0000FF"/>
            </w:tcBorders>
            <w:gridSpan w:val="17"/>
          </w:tcPr>
          <w:p>
            <w:pPr>
              <w:spacing w:after="0" w:line="202" w:lineRule="exact"/>
              <w:rPr>
                <w:rFonts w:ascii="Arial" w:cs="Arial" w:eastAsia="Arial" w:hAnsi="Arial"/>
                <w:sz w:val="18"/>
                <w:szCs w:val="18"/>
                <w:color w:val="0000FF"/>
                <w:w w:val="96"/>
              </w:rPr>
            </w:pPr>
            <w:hyperlink r:id="rId91">
              <w:r>
                <w:rPr>
                  <w:rFonts w:ascii="Arial" w:cs="Arial" w:eastAsia="Arial" w:hAnsi="Arial"/>
                  <w:sz w:val="18"/>
                  <w:szCs w:val="18"/>
                  <w:color w:val="0000FF"/>
                  <w:w w:val="96"/>
                </w:rPr>
                <w:t>Amendment No. 2 to Amended and Restated License and Collaboration Agreement, dated July 27, 2015 and</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8"/>
              </w:rPr>
            </w:pPr>
            <w:hyperlink r:id="rId91">
              <w:r>
                <w:rPr>
                  <w:rFonts w:ascii="Arial" w:cs="Arial" w:eastAsia="Arial" w:hAnsi="Arial"/>
                  <w:sz w:val="18"/>
                  <w:szCs w:val="18"/>
                  <w:color w:val="0000FF"/>
                  <w:w w:val="98"/>
                </w:rPr>
                <w:t>entered into effective as of July 1, 2015, by and between the Registrant and Sanofi Biotechnology SAS, as</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6"/>
              </w:rPr>
            </w:pPr>
            <w:hyperlink r:id="rId91">
              <w:r>
                <w:rPr>
                  <w:rFonts w:ascii="Arial" w:cs="Arial" w:eastAsia="Arial" w:hAnsi="Arial"/>
                  <w:sz w:val="18"/>
                  <w:szCs w:val="18"/>
                  <w:color w:val="0000FF"/>
                  <w:w w:val="96"/>
                </w:rPr>
                <w:t>successor-in-interest to Aventis Pharmaceuticals, Inc. (Incorporated by reference from the Form 10-Q for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Registrant, for the quarter ended September 30, 2015, filed November 4, 2015.)</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10.17</w:t>
            </w:r>
          </w:p>
        </w:tc>
        <w:tc>
          <w:tcPr>
            <w:tcW w:w="83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Amended and Restated Investor Agreement, dated as of January 11, 2014, by and among Sanofi, sanofi-aventis US</w:t>
              </w:r>
            </w:hyperlink>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8"/>
              </w:rPr>
            </w:pPr>
            <w:hyperlink r:id="rId92">
              <w:r>
                <w:rPr>
                  <w:rFonts w:ascii="Arial" w:cs="Arial" w:eastAsia="Arial" w:hAnsi="Arial"/>
                  <w:sz w:val="18"/>
                  <w:szCs w:val="18"/>
                  <w:color w:val="0000FF"/>
                  <w:w w:val="98"/>
                </w:rPr>
                <w:t>LLC, Aventis Pharmaceuticals Inc., sanofi-aventis Amerique du Nord, and the Registrant. (Incorporated by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reference from the Form 8-K for the Registrant, filed January 13, 2014.)</w:t>
              </w:r>
            </w:hyperlink>
          </w:p>
        </w:tc>
        <w:tc>
          <w:tcPr>
            <w:tcW w:w="318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10.18</w:t>
            </w:r>
          </w:p>
        </w:tc>
        <w:tc>
          <w:tcPr>
            <w:tcW w:w="8380" w:type="dxa"/>
            <w:vAlign w:val="bottom"/>
            <w:tcBorders>
              <w:bottom w:val="single" w:sz="8" w:color="0000FF"/>
            </w:tcBorders>
            <w:gridSpan w:val="17"/>
          </w:tcPr>
          <w:p>
            <w:pPr>
              <w:spacing w:after="0" w:line="202" w:lineRule="exact"/>
              <w:rPr>
                <w:rFonts w:ascii="Arial" w:cs="Arial" w:eastAsia="Arial" w:hAnsi="Arial"/>
                <w:sz w:val="18"/>
                <w:szCs w:val="18"/>
                <w:color w:val="0000FF"/>
              </w:rPr>
            </w:pPr>
            <w:hyperlink r:id="rId93">
              <w:r>
                <w:rPr>
                  <w:rFonts w:ascii="Arial" w:cs="Arial" w:eastAsia="Arial" w:hAnsi="Arial"/>
                  <w:sz w:val="18"/>
                  <w:szCs w:val="18"/>
                  <w:color w:val="0000FF"/>
                </w:rPr>
                <w:t>Purchase Agreement, dated as of October 18, 2011, between the Registrant and Goldman, Sachs &amp; Co.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(Incorporated by reference from the Form 8-K for the Registrant filed October 24, 2011.)</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10.19</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7"/>
              </w:rPr>
            </w:pPr>
            <w:hyperlink r:id="rId94">
              <w:r>
                <w:rPr>
                  <w:rFonts w:ascii="Arial" w:cs="Arial" w:eastAsia="Arial" w:hAnsi="Arial"/>
                  <w:sz w:val="18"/>
                  <w:szCs w:val="18"/>
                  <w:color w:val="0000FF"/>
                  <w:w w:val="97"/>
                </w:rPr>
                <w:t>Master Terms and Conditions for Convertible Note Hedging Transactions, dated as of October 18, 2011, as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supplemented by a confirmation dated October 18, 2011, between Goldman, Sachs &amp; Co. and the Registrant.</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(Incorporated by reference from the Form 8-K for the Registrant filed October 24, 2011.)</w:t>
              </w:r>
            </w:hyperlink>
          </w:p>
        </w:tc>
        <w:tc>
          <w:tcPr>
            <w:tcW w:w="196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10.20</w:t>
            </w:r>
          </w:p>
        </w:tc>
        <w:tc>
          <w:tcPr>
            <w:tcW w:w="834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Master Terms and Conditions for Base Warrants, dated as of October 18, 2011, as supplemented by a confirmation</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dated October 18, 2011, between Goldman, Sachs &amp; Co. and the Registrant. (Incorporated by reference from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Form 8-K for the Registrant filed October 24, 2011.)</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10.20.1</w:t>
            </w:r>
          </w:p>
        </w:tc>
        <w:tc>
          <w:tcPr>
            <w:tcW w:w="83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Amendment, dated as of May 15, 2014, to the Master Terms and Conditions for Warrants, between Goldman, Sachs</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8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&amp; Co. and the Registrant. (Incorporated by reference from the Form 10-Q for the Registrant, for the quarter ended</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June 30, 2014, filed August 5, 2014.)</w:t>
              </w:r>
            </w:hyperlink>
          </w:p>
        </w:tc>
        <w:tc>
          <w:tcPr>
            <w:tcW w:w="5660" w:type="dxa"/>
            <w:vAlign w:val="bottom"/>
            <w:tcBorders>
              <w:top w:val="single" w:sz="8" w:color="0000FF"/>
              <w:bottom w:val="single" w:sz="8" w:color="CCEEFF"/>
            </w:tcBorders>
            <w:gridSpan w:val="1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10.20.2</w:t>
            </w:r>
          </w:p>
        </w:tc>
        <w:tc>
          <w:tcPr>
            <w:tcW w:w="8380" w:type="dxa"/>
            <w:vAlign w:val="bottom"/>
            <w:gridSpan w:val="17"/>
          </w:tcPr>
          <w:p>
            <w:pPr>
              <w:spacing w:after="0" w:line="202"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Second Amendment, dated as of November 25, 2014, to the Master Terms and Conditions for Warrants, between</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0" w:type="dxa"/>
            <w:vAlign w:val="bottom"/>
            <w:gridSpan w:val="8"/>
            <w:shd w:val="clear" w:color="auto" w:fill="0000FF"/>
          </w:tcPr>
          <w:p>
            <w:pPr>
              <w:spacing w:after="0" w:line="20" w:lineRule="exact"/>
              <w:rPr>
                <w:sz w:val="1"/>
                <w:szCs w:val="1"/>
                <w:color w:val="auto"/>
              </w:rPr>
            </w:pPr>
          </w:p>
        </w:tc>
        <w:tc>
          <w:tcPr>
            <w:tcW w:w="394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Goldman, Sachs &amp; Co. and the Registrant. (Incorporated by reference from the Form 10-K for the Registrant, for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380" w:type="dxa"/>
            <w:vAlign w:val="bottom"/>
            <w:gridSpan w:val="17"/>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the year ended December 31, 2014, filed February 12, 2015.)</w:t>
              </w:r>
            </w:hyperlink>
          </w:p>
        </w:tc>
      </w:tr>
      <w:tr>
        <w:trPr>
          <w:trHeight w:val="507"/>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80" w:type="dxa"/>
            <w:vAlign w:val="bottom"/>
            <w:tcBorders>
              <w:top w:val="single" w:sz="8" w:color="0000FF"/>
            </w:tcBorders>
            <w:gridSpan w:val="7"/>
          </w:tcPr>
          <w:p>
            <w:pPr>
              <w:ind w:left="3500"/>
              <w:spacing w:after="0"/>
              <w:rPr>
                <w:sz w:val="20"/>
                <w:szCs w:val="20"/>
                <w:color w:val="auto"/>
              </w:rPr>
            </w:pPr>
            <w:r>
              <w:rPr>
                <w:rFonts w:ascii="Arial" w:cs="Arial" w:eastAsia="Arial" w:hAnsi="Arial"/>
                <w:sz w:val="18"/>
                <w:szCs w:val="18"/>
                <w:color w:val="auto"/>
              </w:rPr>
              <w:t>92</w:t>
            </w:r>
          </w:p>
        </w:tc>
        <w:tc>
          <w:tcPr>
            <w:tcW w:w="6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00"/>
          </w:cols>
          <w:pgMar w:left="240" w:top="118" w:right="11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10.20.3</w:t>
            </w:r>
          </w:p>
        </w:tc>
        <w:tc>
          <w:tcPr>
            <w:tcW w:w="8380" w:type="dxa"/>
            <w:vAlign w:val="bottom"/>
            <w:tcBorders>
              <w:bottom w:val="single" w:sz="8" w:color="0000FF"/>
            </w:tcBorders>
            <w:gridSpan w:val="16"/>
            <w:shd w:val="clear" w:color="auto" w:fill="CCEEFF"/>
          </w:tcPr>
          <w:p>
            <w:pPr>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Third Amendment, dated as of February 27, 2015, to the Master Terms and Conditions for Warrants, between</w:t>
              </w:r>
            </w:hyperlink>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Goldman, Sachs &amp; Co. and the Registrant. (Incorporated by reference from the Form 10-Q for the Registrant, for</w:t>
              </w:r>
            </w:hyperlink>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the quarter ended March 31, 2015, filed May 7, 2015.)</w:t>
              </w:r>
            </w:hyperlink>
          </w:p>
        </w:tc>
        <w:tc>
          <w:tcPr>
            <w:tcW w:w="446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10.20.4</w:t>
            </w:r>
          </w:p>
        </w:tc>
        <w:tc>
          <w:tcPr>
            <w:tcW w:w="8380" w:type="dxa"/>
            <w:vAlign w:val="bottom"/>
            <w:tcBorders>
              <w:bottom w:val="single" w:sz="8" w:color="0000FF"/>
            </w:tcBorders>
            <w:gridSpan w:val="16"/>
          </w:tcPr>
          <w:p>
            <w:pPr>
              <w:spacing w:after="0" w:line="202"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Termination Agreement, dated as of November 23, 2016, between Goldman, Sachs &amp; Co. and the Registrant.</w:t>
              </w:r>
            </w:hyperlink>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(Incorporated by reference from the Form 10-K for the Registrant, for the year ended December 31, 2016, filed</w:t>
              </w:r>
            </w:hyperlink>
          </w:p>
        </w:tc>
      </w:tr>
      <w:tr>
        <w:trPr>
          <w:trHeight w:val="196"/>
        </w:trPr>
        <w:tc>
          <w:tcPr>
            <w:tcW w:w="1200" w:type="dxa"/>
            <w:vAlign w:val="bottom"/>
          </w:tcPr>
          <w:p>
            <w:pPr>
              <w:spacing w:after="0"/>
              <w:rPr>
                <w:sz w:val="17"/>
                <w:szCs w:val="17"/>
                <w:color w:val="auto"/>
              </w:rPr>
            </w:pPr>
          </w:p>
        </w:tc>
        <w:tc>
          <w:tcPr>
            <w:tcW w:w="8380" w:type="dxa"/>
            <w:vAlign w:val="bottom"/>
            <w:gridSpan w:val="16"/>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February 9, 2017.)</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10.21</w:t>
            </w:r>
          </w:p>
        </w:tc>
        <w:tc>
          <w:tcPr>
            <w:tcW w:w="8380" w:type="dxa"/>
            <w:vAlign w:val="bottom"/>
            <w:gridSpan w:val="16"/>
            <w:shd w:val="clear" w:color="auto" w:fill="CCEEFF"/>
          </w:tcPr>
          <w:p>
            <w:pPr>
              <w:spacing w:after="0" w:line="202"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Master Terms and Conditions for Convertible Note Hedging Transactions, dated as of October 18, 2011, as</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supplemented by a confirmation dated October 18, 2011, between Citibank, N.A. and the Registrant. (Incorporated</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6"/>
            <w:shd w:val="clear" w:color="auto" w:fill="CCEEFF"/>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by reference from the Form 8-K for the Registrant filed October 24, 2011.)</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10.22</w:t>
            </w:r>
          </w:p>
        </w:tc>
        <w:tc>
          <w:tcPr>
            <w:tcW w:w="838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Master Terms and Conditions for Base Warrants, dated as of October 18, 2011, as supplemented by a confirmation</w:t>
              </w:r>
            </w:hyperlink>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dated October 18, 2011, between Citibank, N.A. and the Registrant. (Incorporated by reference from the Form 8-K</w:t>
              </w:r>
            </w:hyperlink>
          </w:p>
        </w:tc>
      </w:tr>
      <w:tr>
        <w:trPr>
          <w:trHeight w:val="196"/>
        </w:trPr>
        <w:tc>
          <w:tcPr>
            <w:tcW w:w="1200" w:type="dxa"/>
            <w:vAlign w:val="bottom"/>
          </w:tcPr>
          <w:p>
            <w:pPr>
              <w:spacing w:after="0"/>
              <w:rPr>
                <w:sz w:val="17"/>
                <w:szCs w:val="17"/>
                <w:color w:val="auto"/>
              </w:rPr>
            </w:pPr>
          </w:p>
        </w:tc>
        <w:tc>
          <w:tcPr>
            <w:tcW w:w="8380" w:type="dxa"/>
            <w:vAlign w:val="bottom"/>
            <w:gridSpan w:val="16"/>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for the Registrant filed October 24, 2011.)</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10.22.1</w:t>
            </w:r>
          </w:p>
        </w:tc>
        <w:tc>
          <w:tcPr>
            <w:tcW w:w="83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Amendment, dated as of May 13, 2014, to the Master Terms and Conditions for Warrants, between Citibank, N.A.</w:t>
              </w:r>
            </w:hyperlink>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3"/>
              </w:rPr>
            </w:pPr>
            <w:hyperlink r:id="rId102">
              <w:r>
                <w:rPr>
                  <w:rFonts w:ascii="Arial" w:cs="Arial" w:eastAsia="Arial" w:hAnsi="Arial"/>
                  <w:sz w:val="18"/>
                  <w:szCs w:val="18"/>
                  <w:color w:val="0000FF"/>
                  <w:w w:val="93"/>
                </w:rPr>
                <w:t>and the Registrant. (Incorporated by reference from the Form 10-Q for the Registrant, for the quarter ended June</w:t>
              </w:r>
            </w:hyperlink>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30, 2014, filed August 5, 2014.)</w:t>
              </w:r>
            </w:hyperlink>
          </w:p>
        </w:tc>
        <w:tc>
          <w:tcPr>
            <w:tcW w:w="6080" w:type="dxa"/>
            <w:vAlign w:val="bottom"/>
            <w:tcBorders>
              <w:bottom w:val="single" w:sz="8" w:color="CCEEFF"/>
            </w:tcBorders>
            <w:gridSpan w:val="13"/>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10.22.2</w:t>
            </w:r>
          </w:p>
        </w:tc>
        <w:tc>
          <w:tcPr>
            <w:tcW w:w="8380" w:type="dxa"/>
            <w:vAlign w:val="bottom"/>
            <w:gridSpan w:val="16"/>
          </w:tcPr>
          <w:p>
            <w:pPr>
              <w:spacing w:after="0" w:line="202"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Second Amendment, dated as of February 22, 2016, to the Master Terms and Conditions for Warrants, between</w:t>
              </w:r>
            </w:hyperlink>
          </w:p>
        </w:tc>
      </w:tr>
      <w:tr>
        <w:trPr>
          <w:trHeight w:val="20"/>
        </w:trPr>
        <w:tc>
          <w:tcPr>
            <w:tcW w:w="1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Citibank, N.A. and the Registrant. (Incorporated by reference from the Form 10-Q for the Registrant, for the quarter</w:t>
              </w:r>
            </w:hyperlink>
          </w:p>
        </w:tc>
      </w:tr>
      <w:tr>
        <w:trPr>
          <w:trHeight w:val="196"/>
        </w:trPr>
        <w:tc>
          <w:tcPr>
            <w:tcW w:w="1200" w:type="dxa"/>
            <w:vAlign w:val="bottom"/>
          </w:tcPr>
          <w:p>
            <w:pPr>
              <w:spacing w:after="0"/>
              <w:rPr>
                <w:sz w:val="17"/>
                <w:szCs w:val="17"/>
                <w:color w:val="auto"/>
              </w:rPr>
            </w:pPr>
          </w:p>
        </w:tc>
        <w:tc>
          <w:tcPr>
            <w:tcW w:w="8380" w:type="dxa"/>
            <w:vAlign w:val="bottom"/>
            <w:gridSpan w:val="16"/>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ended March 31, 2016, filed May 5, 2016.)</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10.22.3</w:t>
            </w:r>
          </w:p>
        </w:tc>
        <w:tc>
          <w:tcPr>
            <w:tcW w:w="83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Third Amendment, dated as of November 10, 2016, to the Master Terms and Conditions for Warrants, between</w:t>
              </w:r>
            </w:hyperlink>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Citibank, N.A. and the Registrant. (Incorporated by reference from the Form 10-K for the Registrant, for the year</w:t>
              </w:r>
            </w:hyperlink>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6"/>
            <w:shd w:val="clear" w:color="auto" w:fill="CCEEFF"/>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ended December 31, 2016, filed February 9, 2017.)</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10.22.4</w:t>
            </w:r>
          </w:p>
        </w:tc>
        <w:tc>
          <w:tcPr>
            <w:tcW w:w="838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Termination Agreement, dated as of November 14, 2016, between Citibank, N.A. and the Registrant. (Incorporated</w:t>
              </w:r>
            </w:hyperlink>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105">
              <w:r>
                <w:rPr>
                  <w:rFonts w:ascii="Arial" w:cs="Arial" w:eastAsia="Arial" w:hAnsi="Arial"/>
                  <w:sz w:val="18"/>
                  <w:szCs w:val="18"/>
                  <w:color w:val="0000FF"/>
                  <w:w w:val="96"/>
                </w:rPr>
                <w:t>by reference from the Form 10-K for the Registrant, for the year ended December 31, 2016, filed February 9,</w:t>
              </w:r>
            </w:hyperlink>
          </w:p>
        </w:tc>
      </w:tr>
      <w:tr>
        <w:trPr>
          <w:trHeight w:val="196"/>
        </w:trPr>
        <w:tc>
          <w:tcPr>
            <w:tcW w:w="1200" w:type="dxa"/>
            <w:vAlign w:val="bottom"/>
          </w:tcPr>
          <w:p>
            <w:pPr>
              <w:spacing w:after="0"/>
              <w:rPr>
                <w:sz w:val="17"/>
                <w:szCs w:val="17"/>
                <w:color w:val="auto"/>
              </w:rPr>
            </w:pPr>
          </w:p>
        </w:tc>
        <w:tc>
          <w:tcPr>
            <w:tcW w:w="1340" w:type="dxa"/>
            <w:vAlign w:val="bottom"/>
            <w:gridSpan w:val="2"/>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2017.</w:t>
              </w:r>
              <w:r>
                <w:rPr>
                  <w:rFonts w:ascii="Arial" w:cs="Arial" w:eastAsia="Arial" w:hAnsi="Arial"/>
                  <w:sz w:val="18"/>
                  <w:szCs w:val="18"/>
                  <w:u w:val="single" w:color="auto"/>
                  <w:color w:val="0000FF"/>
                </w:rPr>
                <w:t>)</w:t>
              </w:r>
            </w:hyperlink>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10.23</w:t>
            </w:r>
          </w:p>
        </w:tc>
        <w:tc>
          <w:tcPr>
            <w:tcW w:w="8380" w:type="dxa"/>
            <w:vAlign w:val="bottom"/>
            <w:gridSpan w:val="16"/>
            <w:shd w:val="clear" w:color="auto" w:fill="CCEEFF"/>
          </w:tcPr>
          <w:p>
            <w:pPr>
              <w:spacing w:after="0" w:line="202" w:lineRule="exact"/>
              <w:rPr>
                <w:rFonts w:ascii="Arial" w:cs="Arial" w:eastAsia="Arial" w:hAnsi="Arial"/>
                <w:sz w:val="18"/>
                <w:szCs w:val="18"/>
                <w:color w:val="0000FF"/>
                <w:w w:val="97"/>
              </w:rPr>
            </w:pPr>
            <w:hyperlink r:id="rId106">
              <w:r>
                <w:rPr>
                  <w:rFonts w:ascii="Arial" w:cs="Arial" w:eastAsia="Arial" w:hAnsi="Arial"/>
                  <w:sz w:val="18"/>
                  <w:szCs w:val="18"/>
                  <w:color w:val="0000FF"/>
                  <w:w w:val="97"/>
                </w:rPr>
                <w:t>Master Terms and Conditions for Convertible Note Hedging Transactions, dated as of October 18, 2011, as</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40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6"/>
            <w:shd w:val="clear" w:color="auto" w:fill="CCEEFF"/>
          </w:tcPr>
          <w:p>
            <w:pPr>
              <w:spacing w:after="0" w:line="19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supplemented by a confirmation dated October 18, 2011, between Credit Suisse International and the Registrant.</w:t>
              </w:r>
            </w:hyperlink>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6420" w:type="dxa"/>
            <w:vAlign w:val="bottom"/>
            <w:tcBorders>
              <w:top w:val="single" w:sz="8" w:color="0000FF"/>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(Incorporated by reference from the Form 8-K for the Registrant filed October 24, 2011.)</w:t>
              </w:r>
            </w:hyperlink>
          </w:p>
        </w:tc>
        <w:tc>
          <w:tcPr>
            <w:tcW w:w="192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10.24</w:t>
            </w:r>
          </w:p>
        </w:tc>
        <w:tc>
          <w:tcPr>
            <w:tcW w:w="838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Master Terms and Conditions for Base Warrants, dated as of October 18, 2011, as supplemented by a confirmation</w:t>
              </w:r>
            </w:hyperlink>
          </w:p>
        </w:tc>
      </w:tr>
      <w:tr>
        <w:trPr>
          <w:trHeight w:val="196"/>
        </w:trPr>
        <w:tc>
          <w:tcPr>
            <w:tcW w:w="1200" w:type="dxa"/>
            <w:vAlign w:val="bottom"/>
          </w:tcPr>
          <w:p>
            <w:pPr>
              <w:spacing w:after="0"/>
              <w:rPr>
                <w:sz w:val="17"/>
                <w:szCs w:val="17"/>
                <w:color w:val="auto"/>
              </w:rPr>
            </w:pPr>
          </w:p>
        </w:tc>
        <w:tc>
          <w:tcPr>
            <w:tcW w:w="834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dated October 18, 2011, between Credit Suisse International and the Registrant. (Incorporated by reference from</w:t>
              </w:r>
            </w:hyperlink>
          </w:p>
        </w:tc>
        <w:tc>
          <w:tcPr>
            <w:tcW w:w="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380" w:type="dxa"/>
            <w:vAlign w:val="bottom"/>
            <w:gridSpan w:val="16"/>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the Form 8-K for the Registrant filed October 24, 2011.)</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10.24.1</w:t>
            </w:r>
          </w:p>
        </w:tc>
        <w:tc>
          <w:tcPr>
            <w:tcW w:w="83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Amendment, dated as of May 14, 2014, to the Master Terms and Conditions for Warrants, between Credit Suisse</w:t>
              </w:r>
            </w:hyperlink>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Capital LLC (as assignee of Credit Suisse International) and the Registrant. (Incorporated by reference from the</w:t>
              </w:r>
            </w:hyperlink>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6"/>
            <w:shd w:val="clear" w:color="auto" w:fill="CCEEFF"/>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Form 10-Q for the Registrant, for the quarter ended June 30, 2014, filed August 5, 2014.)</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10.24.2</w:t>
            </w:r>
          </w:p>
        </w:tc>
        <w:tc>
          <w:tcPr>
            <w:tcW w:w="8380" w:type="dxa"/>
            <w:vAlign w:val="bottom"/>
            <w:gridSpan w:val="16"/>
          </w:tcPr>
          <w:p>
            <w:pPr>
              <w:spacing w:after="0" w:line="202"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Second Amendment, dated as of November 18, 2014, to the Master Terms and Conditions for Warrants, between</w:t>
              </w:r>
            </w:hyperlink>
          </w:p>
        </w:tc>
      </w:tr>
      <w:tr>
        <w:trPr>
          <w:trHeight w:val="20"/>
        </w:trPr>
        <w:tc>
          <w:tcPr>
            <w:tcW w:w="1200" w:type="dxa"/>
            <w:vAlign w:val="bottom"/>
          </w:tcPr>
          <w:p>
            <w:pPr>
              <w:spacing w:after="0" w:line="20" w:lineRule="exact"/>
              <w:rPr>
                <w:sz w:val="1"/>
                <w:szCs w:val="1"/>
                <w:color w:val="auto"/>
              </w:rPr>
            </w:pPr>
          </w:p>
        </w:tc>
        <w:tc>
          <w:tcPr>
            <w:tcW w:w="4040" w:type="dxa"/>
            <w:vAlign w:val="bottom"/>
            <w:gridSpan w:val="8"/>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8"/>
              </w:rPr>
            </w:pPr>
            <w:hyperlink r:id="rId109">
              <w:r>
                <w:rPr>
                  <w:rFonts w:ascii="Arial" w:cs="Arial" w:eastAsia="Arial" w:hAnsi="Arial"/>
                  <w:sz w:val="18"/>
                  <w:szCs w:val="18"/>
                  <w:color w:val="0000FF"/>
                  <w:w w:val="98"/>
                </w:rPr>
                <w:t>Credit Suisse Capital LLC (as assignee of Credit Suisse International) and the Registrant. (Incorporated by</w:t>
              </w:r>
            </w:hyperlink>
          </w:p>
        </w:tc>
      </w:tr>
      <w:tr>
        <w:trPr>
          <w:trHeight w:val="196"/>
        </w:trPr>
        <w:tc>
          <w:tcPr>
            <w:tcW w:w="1200" w:type="dxa"/>
            <w:vAlign w:val="bottom"/>
          </w:tcPr>
          <w:p>
            <w:pPr>
              <w:spacing w:after="0"/>
              <w:rPr>
                <w:sz w:val="17"/>
                <w:szCs w:val="17"/>
                <w:color w:val="auto"/>
              </w:rPr>
            </w:pPr>
          </w:p>
        </w:tc>
        <w:tc>
          <w:tcPr>
            <w:tcW w:w="8380" w:type="dxa"/>
            <w:vAlign w:val="bottom"/>
            <w:gridSpan w:val="16"/>
          </w:tcPr>
          <w:p>
            <w:pPr>
              <w:spacing w:after="0" w:line="19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reference from the Form 10-K for the Registrant, for the year ended December 31, 2014, filed February 12, 2015.)</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10.24.3</w:t>
            </w:r>
          </w:p>
        </w:tc>
        <w:tc>
          <w:tcPr>
            <w:tcW w:w="83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110">
              <w:r>
                <w:rPr>
                  <w:rFonts w:ascii="Arial" w:cs="Arial" w:eastAsia="Arial" w:hAnsi="Arial"/>
                  <w:sz w:val="18"/>
                  <w:szCs w:val="18"/>
                  <w:color w:val="0000FF"/>
                  <w:w w:val="94"/>
                </w:rPr>
                <w:t>Third Amendment, dated as of November 24, 2014, to the Master Terms and Conditions for Warrants, between</w:t>
              </w:r>
            </w:hyperlink>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Credit Suisse Capital LLC (as assignee of Credit Suisse International) and the Registrant. (Incorporated by</w:t>
              </w:r>
            </w:hyperlink>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6"/>
            <w:shd w:val="clear" w:color="auto" w:fill="CCEEFF"/>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reference from the Form 10-K for the Registrant, for the year ended December 31, 2014, filed February 12, 2015.)</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10.24.4</w:t>
            </w:r>
          </w:p>
        </w:tc>
        <w:tc>
          <w:tcPr>
            <w:tcW w:w="8380" w:type="dxa"/>
            <w:vAlign w:val="bottom"/>
            <w:tcBorders>
              <w:bottom w:val="single" w:sz="8" w:color="0000FF"/>
            </w:tcBorders>
            <w:gridSpan w:val="16"/>
          </w:tcPr>
          <w:p>
            <w:pPr>
              <w:spacing w:after="0" w:line="202"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Fourth Amendment, dated as of November 15, 2015, to the Master Terms and Conditions for Warrants, between</w:t>
              </w:r>
            </w:hyperlink>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8"/>
              </w:rPr>
            </w:pPr>
            <w:hyperlink r:id="rId111">
              <w:r>
                <w:rPr>
                  <w:rFonts w:ascii="Arial" w:cs="Arial" w:eastAsia="Arial" w:hAnsi="Arial"/>
                  <w:sz w:val="18"/>
                  <w:szCs w:val="18"/>
                  <w:color w:val="0000FF"/>
                  <w:w w:val="98"/>
                </w:rPr>
                <w:t>Credit Suisse Capital LLC (as assignee of Credit Suisse International) and the Registrant. (Incorporated by</w:t>
              </w:r>
            </w:hyperlink>
          </w:p>
        </w:tc>
      </w:tr>
      <w:tr>
        <w:trPr>
          <w:trHeight w:val="196"/>
        </w:trPr>
        <w:tc>
          <w:tcPr>
            <w:tcW w:w="1200" w:type="dxa"/>
            <w:vAlign w:val="bottom"/>
          </w:tcPr>
          <w:p>
            <w:pPr>
              <w:spacing w:after="0"/>
              <w:rPr>
                <w:sz w:val="17"/>
                <w:szCs w:val="17"/>
                <w:color w:val="auto"/>
              </w:rPr>
            </w:pPr>
          </w:p>
        </w:tc>
        <w:tc>
          <w:tcPr>
            <w:tcW w:w="8380" w:type="dxa"/>
            <w:vAlign w:val="bottom"/>
            <w:gridSpan w:val="16"/>
          </w:tcPr>
          <w:p>
            <w:pPr>
              <w:spacing w:after="0" w:line="19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reference from the Form 10-K for the Registrant, for the year ended December 31, 2015, filed February 11, 2016.)</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10.24.5</w:t>
            </w:r>
          </w:p>
        </w:tc>
        <w:tc>
          <w:tcPr>
            <w:tcW w:w="8380" w:type="dxa"/>
            <w:vAlign w:val="bottom"/>
            <w:gridSpan w:val="16"/>
            <w:shd w:val="clear" w:color="auto" w:fill="CCEEFF"/>
          </w:tcPr>
          <w:p>
            <w:pPr>
              <w:spacing w:after="0" w:line="202"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Termination Agreement, dated as of November 15, 2016, between Credit Suisse Capital LLC (as assignee of Credit</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4040" w:type="dxa"/>
            <w:vAlign w:val="bottom"/>
            <w:gridSpan w:val="8"/>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6"/>
            <w:shd w:val="clear" w:color="auto" w:fill="CCEEFF"/>
          </w:tcPr>
          <w:p>
            <w:pPr>
              <w:spacing w:after="0" w:line="19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Suisse International) and the Registrant. (Incorporated by reference from the Form 10-K for the Registrant, for the</w:t>
              </w:r>
            </w:hyperlink>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834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year ended December 31, 2016, filed February 9, 2017.)</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10.25</w:t>
            </w:r>
          </w:p>
        </w:tc>
        <w:tc>
          <w:tcPr>
            <w:tcW w:w="8380" w:type="dxa"/>
            <w:vAlign w:val="bottom"/>
            <w:gridSpan w:val="16"/>
          </w:tcPr>
          <w:p>
            <w:pPr>
              <w:spacing w:after="0" w:line="202"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Master Terms and Conditions for Convertible Note Hedging Transactions, dated as of October 18, 2011, as</w:t>
              </w:r>
            </w:hyperlink>
          </w:p>
        </w:tc>
      </w:tr>
      <w:tr>
        <w:trPr>
          <w:trHeight w:val="20"/>
        </w:trPr>
        <w:tc>
          <w:tcPr>
            <w:tcW w:w="1200" w:type="dxa"/>
            <w:vAlign w:val="bottom"/>
          </w:tcPr>
          <w:p>
            <w:pPr>
              <w:spacing w:after="0" w:line="20" w:lineRule="exact"/>
              <w:rPr>
                <w:sz w:val="1"/>
                <w:szCs w:val="1"/>
                <w:color w:val="auto"/>
              </w:rPr>
            </w:pPr>
          </w:p>
        </w:tc>
        <w:tc>
          <w:tcPr>
            <w:tcW w:w="5160" w:type="dxa"/>
            <w:vAlign w:val="bottom"/>
            <w:gridSpan w:val="10"/>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supplemented by a confirmation dated October 18, 2011, between Morgan Stanley &amp; Co. International plc and the</w:t>
              </w:r>
            </w:hyperlink>
          </w:p>
        </w:tc>
      </w:tr>
      <w:tr>
        <w:trPr>
          <w:trHeight w:val="196"/>
        </w:trPr>
        <w:tc>
          <w:tcPr>
            <w:tcW w:w="1200" w:type="dxa"/>
            <w:vAlign w:val="bottom"/>
          </w:tcPr>
          <w:p>
            <w:pPr>
              <w:spacing w:after="0"/>
              <w:rPr>
                <w:sz w:val="17"/>
                <w:szCs w:val="17"/>
                <w:color w:val="auto"/>
              </w:rPr>
            </w:pPr>
          </w:p>
        </w:tc>
        <w:tc>
          <w:tcPr>
            <w:tcW w:w="8380" w:type="dxa"/>
            <w:vAlign w:val="bottom"/>
            <w:gridSpan w:val="16"/>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Registrant. (Incorporated by reference from the Form 8-K for the Registrant filed October 24, 2011.)</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10.26</w:t>
            </w:r>
          </w:p>
        </w:tc>
        <w:tc>
          <w:tcPr>
            <w:tcW w:w="834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Master Terms and Conditions for Base Warrants, dated as of October 18, 2011, as supplemented by a confirmation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gridSpan w:val="16"/>
            <w:shd w:val="clear" w:color="auto" w:fill="CCEEFF"/>
          </w:tcPr>
          <w:p>
            <w:pPr>
              <w:spacing w:after="0" w:line="196" w:lineRule="exact"/>
              <w:rPr>
                <w:rFonts w:ascii="Arial" w:cs="Arial" w:eastAsia="Arial" w:hAnsi="Arial"/>
                <w:sz w:val="18"/>
                <w:szCs w:val="18"/>
                <w:color w:val="0000FF"/>
                <w:w w:val="95"/>
              </w:rPr>
            </w:pPr>
            <w:hyperlink r:id="rId114">
              <w:r>
                <w:rPr>
                  <w:rFonts w:ascii="Arial" w:cs="Arial" w:eastAsia="Arial" w:hAnsi="Arial"/>
                  <w:sz w:val="18"/>
                  <w:szCs w:val="18"/>
                  <w:color w:val="0000FF"/>
                  <w:w w:val="95"/>
                </w:rPr>
                <w:t>dated October 18, 2011, between Morgan Stanley &amp; Co. International plc and the Registrant. (Incorporated by</w:t>
              </w:r>
            </w:hyperlink>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834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reference from the Form 8-K for the Registrant filed October 24, 2011.)</w:t>
              </w:r>
            </w:hyperlink>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r>
      <w:tr>
        <w:trPr>
          <w:trHeight w:val="459"/>
        </w:trPr>
        <w:tc>
          <w:tcPr>
            <w:tcW w:w="1200" w:type="dxa"/>
            <w:vAlign w:val="bottom"/>
            <w:tcBorders>
              <w:top w:val="single" w:sz="8" w:color="CCEEFF"/>
            </w:tcBorders>
          </w:tcPr>
          <w:p>
            <w:pPr>
              <w:spacing w:after="0"/>
              <w:rPr>
                <w:sz w:val="24"/>
                <w:szCs w:val="24"/>
                <w:color w:val="auto"/>
              </w:rPr>
            </w:pPr>
          </w:p>
        </w:tc>
        <w:tc>
          <w:tcPr>
            <w:tcW w:w="3680" w:type="dxa"/>
            <w:vAlign w:val="bottom"/>
            <w:tcBorders>
              <w:top w:val="single" w:sz="8" w:color="0000FF"/>
            </w:tcBorders>
            <w:gridSpan w:val="6"/>
          </w:tcPr>
          <w:p>
            <w:pPr>
              <w:ind w:left="3500"/>
              <w:spacing w:after="0"/>
              <w:rPr>
                <w:sz w:val="20"/>
                <w:szCs w:val="20"/>
                <w:color w:val="auto"/>
              </w:rPr>
            </w:pPr>
            <w:r>
              <w:rPr>
                <w:rFonts w:ascii="Arial" w:cs="Arial" w:eastAsia="Arial" w:hAnsi="Arial"/>
                <w:sz w:val="18"/>
                <w:szCs w:val="18"/>
                <w:color w:val="auto"/>
                <w:w w:val="79"/>
              </w:rPr>
              <w:t>93</w:t>
            </w: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ectPr>
          <w:pgSz w:w="11900" w:h="16838" w:orient="portrait"/>
          <w:cols w:equalWidth="0" w:num="1">
            <w:col w:w="10500"/>
          </w:cols>
          <w:pgMar w:left="240" w:top="130" w:right="115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2280" w:type="dxa"/>
            <w:vAlign w:val="bottom"/>
            <w:gridSpan w:val="3"/>
          </w:tcPr>
          <w:p>
            <w:pPr>
              <w:ind w:left="960"/>
              <w:spacing w:after="0"/>
              <w:rPr>
                <w:sz w:val="20"/>
                <w:szCs w:val="20"/>
                <w:color w:val="auto"/>
              </w:rPr>
            </w:pPr>
            <w:r>
              <w:rPr>
                <w:rFonts w:ascii="Arial" w:cs="Arial" w:eastAsia="Arial" w:hAnsi="Arial"/>
                <w:sz w:val="18"/>
                <w:szCs w:val="18"/>
                <w:color w:val="auto"/>
              </w:rPr>
              <w:t>10.26.1</w:t>
            </w:r>
          </w:p>
        </w:tc>
        <w:tc>
          <w:tcPr>
            <w:tcW w:w="8220" w:type="dxa"/>
            <w:vAlign w:val="bottom"/>
            <w:gridSpan w:val="14"/>
          </w:tcPr>
          <w:p>
            <w:pPr>
              <w:spacing w:after="0"/>
              <w:rPr>
                <w:rFonts w:ascii="Arial" w:cs="Arial" w:eastAsia="Arial" w:hAnsi="Arial"/>
                <w:sz w:val="18"/>
                <w:szCs w:val="18"/>
                <w:color w:val="0000FF"/>
                <w:w w:val="95"/>
              </w:rPr>
            </w:pPr>
            <w:hyperlink r:id="rId115">
              <w:r>
                <w:rPr>
                  <w:rFonts w:ascii="Arial" w:cs="Arial" w:eastAsia="Arial" w:hAnsi="Arial"/>
                  <w:sz w:val="18"/>
                  <w:szCs w:val="18"/>
                  <w:color w:val="0000FF"/>
                  <w:w w:val="95"/>
                </w:rPr>
                <w:t>Amendment, dated as of May 16, 2014, to the Master Terms and Conditions for Warrants, between Morgan</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Stanley &amp; Co. International plc and the Registrant. (Incorporated by reference from the Form 10-Q for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Registrant, for the quarter ended June 30, 2014, filed August 5, 2014.)</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10.26.2</w:t>
            </w:r>
          </w:p>
        </w:tc>
        <w:tc>
          <w:tcPr>
            <w:tcW w:w="818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Second Amendment, dated as of August 5, 2015, to the Master Terms and Conditions for Warrants, between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18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Morgan Stanley &amp; Co. International plc and the Registrant. (Incorporated by reference from the Form 10-Q for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the Registrant, for the quarter ended September 30, 2015, filed November 4, 2015.)</w:t>
              </w:r>
            </w:hyperlink>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10.26.3</w:t>
            </w:r>
          </w:p>
        </w:tc>
        <w:tc>
          <w:tcPr>
            <w:tcW w:w="8220" w:type="dxa"/>
            <w:vAlign w:val="bottom"/>
            <w:gridSpan w:val="14"/>
          </w:tcPr>
          <w:p>
            <w:pPr>
              <w:spacing w:after="0" w:line="202"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Termination Agreement, dated as of November 21, 2016, between Morgan Stanley &amp; Co. International plc and</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the Registrant. (Incorporated by reference from the Form 10-K for the Registrant, for the year ended December</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31, 2016, filed February 9, 2017.)</w:t>
              </w:r>
            </w:hyperlink>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10.27*</w:t>
            </w:r>
          </w:p>
        </w:tc>
        <w:tc>
          <w:tcPr>
            <w:tcW w:w="8220" w:type="dxa"/>
            <w:vAlign w:val="bottom"/>
            <w:gridSpan w:val="14"/>
            <w:shd w:val="clear" w:color="auto" w:fill="CCEEFF"/>
          </w:tcPr>
          <w:p>
            <w:pPr>
              <w:spacing w:after="0" w:line="202"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Non-exclusive License and Partial Settlement Agreement with Genentech, Inc. (Incorporated by reference from</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7120" w:type="dxa"/>
            <w:vAlign w:val="bottom"/>
            <w:tcBorders>
              <w:top w:val="single" w:sz="8" w:color="0000FF"/>
              <w:bottom w:val="single" w:sz="8" w:color="0000FF"/>
            </w:tcBorders>
            <w:gridSpan w:val="12"/>
            <w:shd w:val="clear" w:color="auto" w:fill="CCEEFF"/>
          </w:tcPr>
          <w:p>
            <w:pPr>
              <w:spacing w:after="0" w:line="19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the Form 10-K for the Registrant, for the year ended December 31, 2011, filed February 21, 2012.)</w:t>
              </w:r>
            </w:hyperlink>
          </w:p>
        </w:tc>
        <w:tc>
          <w:tcPr>
            <w:tcW w:w="10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28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10.27.1*</w:t>
            </w:r>
          </w:p>
        </w:tc>
        <w:tc>
          <w:tcPr>
            <w:tcW w:w="8220" w:type="dxa"/>
            <w:vAlign w:val="bottom"/>
            <w:tcBorders>
              <w:bottom w:val="single" w:sz="8" w:color="0000FF"/>
            </w:tcBorders>
            <w:gridSpan w:val="14"/>
          </w:tcPr>
          <w:p>
            <w:pPr>
              <w:spacing w:after="0" w:line="202"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Amended and Restated Non-Exclusive License and Settlement Agreement by and between Genentech, Inc. and</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the Registrant, effective May 17, 2013. (Incorporated by reference from the Form 10-Q for the Registrant, for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quarter ended June 30, 2013, filed August 6, 2013.)</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10.27.2*</w:t>
            </w:r>
          </w:p>
        </w:tc>
        <w:tc>
          <w:tcPr>
            <w:tcW w:w="8220" w:type="dxa"/>
            <w:vAlign w:val="bottom"/>
            <w:gridSpan w:val="14"/>
            <w:shd w:val="clear" w:color="auto" w:fill="CCEEFF"/>
          </w:tcPr>
          <w:p>
            <w:pPr>
              <w:spacing w:after="0" w:line="202"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Non-Exclusive License and Settlement Agreement by and between Genentech, Inc., the Registrant, Sanofi U.S.</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Services, Inc., and Sanofi-Aventis U.S. LLC, effective May 17, 2013. (Incorporated by reference from the Form</w:t>
              </w:r>
            </w:hyperlink>
          </w:p>
        </w:tc>
      </w:tr>
      <w:tr>
        <w:trPr>
          <w:trHeight w:val="244"/>
        </w:trPr>
        <w:tc>
          <w:tcPr>
            <w:tcW w:w="920" w:type="dxa"/>
            <w:vAlign w:val="bottom"/>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600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10-Q for the Registrant, for the quarter ended June 30, 2013, filed August 6, 2013.)</w:t>
              </w:r>
            </w:hyperlink>
          </w:p>
        </w:tc>
        <w:tc>
          <w:tcPr>
            <w:tcW w:w="218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28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10.27.3</w:t>
            </w:r>
          </w:p>
        </w:tc>
        <w:tc>
          <w:tcPr>
            <w:tcW w:w="8220" w:type="dxa"/>
            <w:vAlign w:val="bottom"/>
            <w:gridSpan w:val="14"/>
          </w:tcPr>
          <w:p>
            <w:pPr>
              <w:spacing w:after="0" w:line="202"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Agreement dated May 17, 2013 between Bayer Pharma AG, Bayer Australia Limited, the Registrant, Regeneron</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w w:val="94"/>
              </w:rPr>
            </w:pPr>
            <w:hyperlink r:id="rId121">
              <w:r>
                <w:rPr>
                  <w:rFonts w:ascii="Arial" w:cs="Arial" w:eastAsia="Arial" w:hAnsi="Arial"/>
                  <w:sz w:val="18"/>
                  <w:szCs w:val="18"/>
                  <w:color w:val="0000FF"/>
                  <w:w w:val="94"/>
                </w:rPr>
                <w:t>UK Ltd and Genentech Inc.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ended June 30, 2013, filed August 6, 2013.)</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10.28*</w:t>
            </w:r>
          </w:p>
        </w:tc>
        <w:tc>
          <w:tcPr>
            <w:tcW w:w="818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8"/>
              </w:rPr>
            </w:pPr>
            <w:hyperlink r:id="rId122">
              <w:r>
                <w:rPr>
                  <w:rFonts w:ascii="Arial" w:cs="Arial" w:eastAsia="Arial" w:hAnsi="Arial"/>
                  <w:sz w:val="18"/>
                  <w:szCs w:val="18"/>
                  <w:color w:val="0000FF"/>
                  <w:w w:val="98"/>
                </w:rPr>
                <w:t>Letter Agreement by and between the Registrant and Aventis Pharmaceuticals Inc., dated May 2, 2013.</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(Incorporated by reference from the Form 10-Q for the Registrant, for the quarter ended June 30, 2013, filed</w:t>
              </w:r>
            </w:hyperlink>
          </w:p>
        </w:tc>
      </w:tr>
      <w:tr>
        <w:trPr>
          <w:trHeight w:val="196"/>
        </w:trPr>
        <w:tc>
          <w:tcPr>
            <w:tcW w:w="9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18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122">
              <w:r>
                <w:rPr>
                  <w:rFonts w:ascii="Arial" w:cs="Arial" w:eastAsia="Arial" w:hAnsi="Arial"/>
                  <w:sz w:val="18"/>
                  <w:szCs w:val="18"/>
                  <w:color w:val="0000FF"/>
                </w:rPr>
                <w:t>August 6, 2013.)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10.29</w:t>
            </w:r>
          </w:p>
        </w:tc>
        <w:tc>
          <w:tcPr>
            <w:tcW w:w="8220" w:type="dxa"/>
            <w:vAlign w:val="bottom"/>
            <w:gridSpan w:val="14"/>
          </w:tcPr>
          <w:p>
            <w:pPr>
              <w:spacing w:after="0" w:line="202" w:lineRule="exact"/>
              <w:rPr>
                <w:rFonts w:ascii="Arial" w:cs="Arial" w:eastAsia="Arial" w:hAnsi="Arial"/>
                <w:sz w:val="18"/>
                <w:szCs w:val="18"/>
                <w:color w:val="0000FF"/>
                <w:w w:val="96"/>
              </w:rPr>
            </w:pPr>
            <w:hyperlink r:id="rId123">
              <w:r>
                <w:rPr>
                  <w:rFonts w:ascii="Arial" w:cs="Arial" w:eastAsia="Arial" w:hAnsi="Arial"/>
                  <w:sz w:val="18"/>
                  <w:szCs w:val="18"/>
                  <w:color w:val="0000FF"/>
                  <w:w w:val="96"/>
                </w:rPr>
                <w:t>Credit Agreement, dated as of March 19, 2015, by and among the Registrant, as a borrower and guarantor;</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certain direct and indirect subsidiaries of the Registrant, as the initial subsidiary borrowers; JPMorgan Chase</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Bank, N.A., as administrative agent; Bank of America, N.A. and U.S. Bank National Association, as co-</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syndication agents; Barclays Bank PLC, Citibank, N.A., Credit Suisse AG, Cayman Islands Branch, Fifth Third</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Bank and Morgan Stanley MUFG Loan Partners, LLC, as co-documentation agents; JPMorgan Chase Bank,</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N.A., Bank of America, N.A. and U.S. Bank National Association, as the issuing banks; JPMorgan Chase Bank,</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N.A., as the swingline lender; and the other lenders party thereto from time to time. (Incorporated by reference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from the Form 8-K for the Registrant, filed March 23, 2015.)</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10.29.1</w:t>
            </w:r>
          </w:p>
        </w:tc>
        <w:tc>
          <w:tcPr>
            <w:tcW w:w="8220" w:type="dxa"/>
            <w:vAlign w:val="bottom"/>
            <w:gridSpan w:val="14"/>
            <w:shd w:val="clear" w:color="auto" w:fill="CCEEFF"/>
          </w:tcPr>
          <w:p>
            <w:pPr>
              <w:spacing w:after="0" w:line="202"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Consent and Amendment No. 1 Memorandum, dated as of February 2, 2017, by and among the Registrant, as a</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borrower and guarantor; Regeneron Healthcare Solutions, Inc., Regeneron Genetics Center LLC, Regeneron</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International  Unlimited  Company,  Regeneron  Ireland  Holdings  Unlimited  Company,  Regeneron  Ireland</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18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Unlimited Company, and Regeneron Capital International B.V., as subsidiary borrowers; JPMorgan Chase Bank,</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N.A., as administrative agent; and the lenders party thereto. (Incorporated by reference from the Form 8-K for the</w:t>
              </w:r>
            </w:hyperlink>
          </w:p>
        </w:tc>
      </w:tr>
      <w:tr>
        <w:trPr>
          <w:trHeight w:val="196"/>
        </w:trPr>
        <w:tc>
          <w:tcPr>
            <w:tcW w:w="9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18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Registrant, filed February 7, 2017.)</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10.30*</w:t>
            </w:r>
          </w:p>
        </w:tc>
        <w:tc>
          <w:tcPr>
            <w:tcW w:w="8220" w:type="dxa"/>
            <w:vAlign w:val="bottom"/>
            <w:gridSpan w:val="14"/>
          </w:tcPr>
          <w:p>
            <w:pPr>
              <w:spacing w:after="0" w:line="202"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Immuno-oncology Discovery and Development Agreement, dated July 27, 2015 and entered into effective as of</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July 1, 2015, by and between the Registrant and Sanofi Biotechnology SAS. (Incorporated by reference from the</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Form 10-Q for the Registrant, for the quarter ended September 30, 2015, filed November 4, 2015.)</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10.31*</w:t>
            </w:r>
          </w:p>
        </w:tc>
        <w:tc>
          <w:tcPr>
            <w:tcW w:w="8220" w:type="dxa"/>
            <w:vAlign w:val="bottom"/>
            <w:gridSpan w:val="14"/>
            <w:shd w:val="clear" w:color="auto" w:fill="CCEEFF"/>
          </w:tcPr>
          <w:p>
            <w:pPr>
              <w:spacing w:after="0" w:line="202" w:lineRule="exact"/>
              <w:rPr>
                <w:rFonts w:ascii="Arial" w:cs="Arial" w:eastAsia="Arial" w:hAnsi="Arial"/>
                <w:sz w:val="18"/>
                <w:szCs w:val="18"/>
                <w:color w:val="0000FF"/>
                <w:w w:val="94"/>
              </w:rPr>
            </w:pPr>
            <w:hyperlink r:id="rId126">
              <w:r>
                <w:rPr>
                  <w:rFonts w:ascii="Arial" w:cs="Arial" w:eastAsia="Arial" w:hAnsi="Arial"/>
                  <w:sz w:val="18"/>
                  <w:szCs w:val="18"/>
                  <w:color w:val="0000FF"/>
                  <w:w w:val="94"/>
                </w:rPr>
                <w:t>Immuno-oncology License and Collaboration Agreement, dated July 27, 2015 and entered into effective as of</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34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July 1, 2015, by and between the Registrant and Sanofi Biotechnology SAS. (Incorporated by reference from the</w:t>
              </w:r>
            </w:hyperlink>
          </w:p>
        </w:tc>
      </w:tr>
      <w:tr>
        <w:trPr>
          <w:trHeight w:val="196"/>
        </w:trPr>
        <w:tc>
          <w:tcPr>
            <w:tcW w:w="9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18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Form 10-Q for the Registrant, for the quarter ended September 30, 2015, filed November 4, 2015.)</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10.32*</w:t>
            </w:r>
          </w:p>
        </w:tc>
        <w:tc>
          <w:tcPr>
            <w:tcW w:w="8180" w:type="dxa"/>
            <w:vAlign w:val="bottom"/>
            <w:tcBorders>
              <w:bottom w:val="single" w:sz="8" w:color="0000FF"/>
            </w:tcBorders>
            <w:gridSpan w:val="13"/>
          </w:tcPr>
          <w:p>
            <w:pPr>
              <w:spacing w:after="0" w:line="202"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Collaboration Agreement, dated as of September 29, 2015, by and between Regeneron Ireland and Mitsubishi</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Tanabe Pharma Corporation.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1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ended September 30, 2015, filed November 4, 2015.)</w:t>
              </w:r>
            </w:hyperlink>
          </w:p>
        </w:tc>
        <w:tc>
          <w:tcPr>
            <w:tcW w:w="4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10.33*</w:t>
            </w:r>
          </w:p>
        </w:tc>
        <w:tc>
          <w:tcPr>
            <w:tcW w:w="8220" w:type="dxa"/>
            <w:vAlign w:val="bottom"/>
            <w:gridSpan w:val="14"/>
            <w:shd w:val="clear" w:color="auto" w:fill="CCEEFF"/>
          </w:tcPr>
          <w:p>
            <w:pPr>
              <w:spacing w:after="0" w:line="202" w:lineRule="exact"/>
              <w:rPr>
                <w:rFonts w:ascii="Arial" w:cs="Arial" w:eastAsia="Arial" w:hAnsi="Arial"/>
                <w:sz w:val="18"/>
                <w:szCs w:val="18"/>
                <w:color w:val="0000FF"/>
                <w:w w:val="94"/>
              </w:rPr>
            </w:pPr>
            <w:hyperlink r:id="rId128">
              <w:r>
                <w:rPr>
                  <w:rFonts w:ascii="Arial" w:cs="Arial" w:eastAsia="Arial" w:hAnsi="Arial"/>
                  <w:sz w:val="18"/>
                  <w:szCs w:val="18"/>
                  <w:color w:val="0000FF"/>
                  <w:w w:val="94"/>
                </w:rPr>
                <w:t>ANG2 License and Collaboration Agreement, dated as of March 23, 2016, by and between Bayer HealthCare</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5560" w:type="dxa"/>
            <w:vAlign w:val="bottom"/>
            <w:gridSpan w:val="9"/>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20" w:type="dxa"/>
            <w:vAlign w:val="bottom"/>
            <w:gridSpan w:val="14"/>
            <w:shd w:val="clear" w:color="auto" w:fill="CCEEFF"/>
          </w:tcPr>
          <w:p>
            <w:pPr>
              <w:spacing w:after="0" w:line="19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LLC and the Registrant. (Incorporated by reference from the Form 10-Q for the Registrant, for the quarter ended</w:t>
              </w:r>
            </w:hyperlink>
          </w:p>
        </w:tc>
      </w:tr>
      <w:tr>
        <w:trPr>
          <w:trHeight w:val="196"/>
        </w:trPr>
        <w:tc>
          <w:tcPr>
            <w:tcW w:w="9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18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128">
              <w:r>
                <w:rPr>
                  <w:rFonts w:ascii="Arial" w:cs="Arial" w:eastAsia="Arial" w:hAnsi="Arial"/>
                  <w:sz w:val="18"/>
                  <w:szCs w:val="18"/>
                  <w:color w:val="0000FF"/>
                </w:rPr>
                <w:t>March 31, 2016, filed May 5,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10.34*</w:t>
            </w:r>
          </w:p>
        </w:tc>
        <w:tc>
          <w:tcPr>
            <w:tcW w:w="8180" w:type="dxa"/>
            <w:vAlign w:val="bottom"/>
            <w:tcBorders>
              <w:bottom w:val="single" w:sz="8" w:color="0000FF"/>
            </w:tcBorders>
            <w:gridSpan w:val="13"/>
          </w:tcPr>
          <w:p>
            <w:pPr>
              <w:spacing w:after="0" w:line="202"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Collaboration Agreement, dated as of September 17, 2016, by and between Teva Pharmaceuticals International</w:t>
              </w:r>
            </w:hyperlink>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GmbH and Regeneron Ireland. (Incorporated by reference from the Form 10-Q for the Registrant, for the quarter</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20" w:type="dxa"/>
            <w:vAlign w:val="bottom"/>
            <w:gridSpan w:val="14"/>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ended September 30, 2016, filed November 4, 2016.)</w:t>
              </w:r>
            </w:hyperlink>
          </w:p>
        </w:tc>
      </w:tr>
      <w:tr>
        <w:trPr>
          <w:trHeight w:val="507"/>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00" w:type="dxa"/>
            <w:vAlign w:val="bottom"/>
            <w:tcBorders>
              <w:top w:val="single" w:sz="8" w:color="0000FF"/>
            </w:tcBorders>
            <w:gridSpan w:val="6"/>
          </w:tcPr>
          <w:p>
            <w:pPr>
              <w:ind w:left="3340"/>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00"/>
          </w:cols>
          <w:pgMar w:left="240" w:top="118" w:right="11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10.35*</w:t>
            </w:r>
          </w:p>
        </w:tc>
        <w:tc>
          <w:tcPr>
            <w:tcW w:w="8380" w:type="dxa"/>
            <w:vAlign w:val="bottom"/>
            <w:tcBorders>
              <w:right w:val="single" w:sz="8" w:color="CCEEFF"/>
            </w:tcBorders>
            <w:gridSpan w:val="9"/>
            <w:shd w:val="clear" w:color="auto" w:fill="CCEEFF"/>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Purchase Agreement, dated as of December 30, 2016, by and among BMR-Landmark at Eastview LLC and BMR-</w:t>
              </w:r>
            </w:hyperlink>
          </w:p>
        </w:tc>
      </w:tr>
      <w:tr>
        <w:trPr>
          <w:trHeight w:val="20"/>
        </w:trPr>
        <w:tc>
          <w:tcPr>
            <w:tcW w:w="120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838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Landmark at Eastview IV LLC and the Registrant. (Incorporated by reference from the Form 10-K for the</w:t>
              </w:r>
            </w:hyperlink>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540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Registrant, for the year ended December 31, 2016, filed February 9, 2017.)</w:t>
              </w:r>
            </w:hyperlink>
          </w:p>
        </w:tc>
        <w:tc>
          <w:tcPr>
            <w:tcW w:w="2980" w:type="dxa"/>
            <w:vAlign w:val="bottom"/>
            <w:tcBorders>
              <w:top w:val="single" w:sz="8" w:color="0000FF"/>
              <w:bottom w:val="single" w:sz="8" w:color="CCEEFF"/>
              <w:right w:val="single" w:sz="8" w:color="CCEEFF"/>
            </w:tcBorders>
            <w:gridSpan w:val="5"/>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10.36</w:t>
            </w:r>
          </w:p>
        </w:tc>
        <w:tc>
          <w:tcPr>
            <w:tcW w:w="8380" w:type="dxa"/>
            <w:vAlign w:val="bottom"/>
            <w:tcBorders>
              <w:bottom w:val="single" w:sz="8" w:color="0000FF"/>
            </w:tcBorders>
            <w:gridSpan w:val="9"/>
          </w:tcPr>
          <w:p>
            <w:pPr>
              <w:spacing w:after="0" w:line="202"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Participation Agreement, dated as of March 3, 2017, by and among Old Saw Mill Holdings LLC, as lessee; Bank of</w:t>
              </w:r>
            </w:hyperlink>
          </w:p>
        </w:tc>
      </w:tr>
      <w:tr>
        <w:trPr>
          <w:trHeight w:val="196"/>
        </w:trPr>
        <w:tc>
          <w:tcPr>
            <w:tcW w:w="1200" w:type="dxa"/>
            <w:vAlign w:val="bottom"/>
          </w:tcPr>
          <w:p>
            <w:pPr>
              <w:spacing w:after="0"/>
              <w:rPr>
                <w:sz w:val="17"/>
                <w:szCs w:val="17"/>
                <w:color w:val="auto"/>
              </w:rPr>
            </w:pPr>
          </w:p>
        </w:tc>
        <w:tc>
          <w:tcPr>
            <w:tcW w:w="838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131">
              <w:r>
                <w:rPr>
                  <w:rFonts w:ascii="Arial" w:cs="Arial" w:eastAsia="Arial" w:hAnsi="Arial"/>
                  <w:sz w:val="18"/>
                  <w:szCs w:val="18"/>
                  <w:color w:val="0000FF"/>
                  <w:w w:val="93"/>
                </w:rPr>
                <w:t>America, N.A., as administrative agent; BA Leasing BSC, LLC, as lessor; and the lenders party thereto from time</w:t>
              </w:r>
            </w:hyperlink>
          </w:p>
        </w:tc>
      </w:tr>
      <w:tr>
        <w:trPr>
          <w:trHeight w:val="196"/>
        </w:trPr>
        <w:tc>
          <w:tcPr>
            <w:tcW w:w="1200" w:type="dxa"/>
            <w:vAlign w:val="bottom"/>
          </w:tcPr>
          <w:p>
            <w:pPr>
              <w:spacing w:after="0"/>
              <w:rPr>
                <w:sz w:val="17"/>
                <w:szCs w:val="17"/>
                <w:color w:val="auto"/>
              </w:rPr>
            </w:pPr>
          </w:p>
        </w:tc>
        <w:tc>
          <w:tcPr>
            <w:tcW w:w="8380" w:type="dxa"/>
            <w:vAlign w:val="bottom"/>
            <w:gridSpan w:val="9"/>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to time. (Incorporated by reference from the Form 8-K for the Registrant, filed March 9, 2017.)</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10.37</w:t>
            </w:r>
          </w:p>
        </w:tc>
        <w:tc>
          <w:tcPr>
            <w:tcW w:w="8380" w:type="dxa"/>
            <w:vAlign w:val="bottom"/>
            <w:tcBorders>
              <w:bottom w:val="single" w:sz="8" w:color="0000FF"/>
              <w:right w:val="single" w:sz="8" w:color="CCEEFF"/>
            </w:tcBorders>
            <w:gridSpan w:val="9"/>
            <w:shd w:val="clear" w:color="auto" w:fill="CCEEFF"/>
          </w:tcPr>
          <w:p>
            <w:pPr>
              <w:spacing w:after="0" w:line="202"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Lease and Remedies Agreement, dated as of March 3, 2017, between Old Saw Mill Holdings LLC, as lessee, and</w:t>
              </w:r>
            </w:hyperlink>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BA Leasing BSC, LLC, as lessor. (Incorporated by reference from the Form 8-K for the Registrant, filed March 9,</w:t>
              </w:r>
            </w:hyperlink>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6"/>
              </w:rPr>
            </w:pPr>
            <w:hyperlink r:id="rId132">
              <w:r>
                <w:rPr>
                  <w:rFonts w:ascii="Arial" w:cs="Arial" w:eastAsia="Arial" w:hAnsi="Arial"/>
                  <w:sz w:val="18"/>
                  <w:szCs w:val="18"/>
                  <w:color w:val="0000FF"/>
                  <w:w w:val="86"/>
                </w:rPr>
                <w:t>2017.</w:t>
              </w:r>
              <w:r>
                <w:rPr>
                  <w:rFonts w:ascii="Arial" w:cs="Arial" w:eastAsia="Arial" w:hAnsi="Arial"/>
                  <w:sz w:val="18"/>
                  <w:szCs w:val="18"/>
                  <w:u w:val="single" w:color="auto"/>
                  <w:color w:val="0000FF"/>
                  <w:w w:val="86"/>
                </w:rPr>
                <w:t>)</w:t>
              </w:r>
            </w:hyperlink>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10.38</w:t>
            </w:r>
          </w:p>
        </w:tc>
        <w:tc>
          <w:tcPr>
            <w:tcW w:w="8380" w:type="dxa"/>
            <w:vAlign w:val="bottom"/>
            <w:tcBorders>
              <w:bottom w:val="single" w:sz="8" w:color="0000FF"/>
            </w:tcBorders>
            <w:gridSpan w:val="9"/>
          </w:tcPr>
          <w:p>
            <w:pPr>
              <w:spacing w:after="0" w:line="202"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Guaranty, dated as of March 3, 2017, made by the Registrant, Regeneron Healthcare Solutions, Inc. and Regeneron</w:t>
              </w:r>
            </w:hyperlink>
          </w:p>
        </w:tc>
      </w:tr>
      <w:tr>
        <w:trPr>
          <w:trHeight w:val="196"/>
        </w:trPr>
        <w:tc>
          <w:tcPr>
            <w:tcW w:w="1200" w:type="dxa"/>
            <w:vAlign w:val="bottom"/>
          </w:tcPr>
          <w:p>
            <w:pPr>
              <w:spacing w:after="0"/>
              <w:rPr>
                <w:sz w:val="17"/>
                <w:szCs w:val="17"/>
                <w:color w:val="auto"/>
              </w:rPr>
            </w:pPr>
          </w:p>
        </w:tc>
        <w:tc>
          <w:tcPr>
            <w:tcW w:w="8380" w:type="dxa"/>
            <w:vAlign w:val="bottom"/>
            <w:gridSpan w:val="9"/>
          </w:tcPr>
          <w:p>
            <w:pPr>
              <w:spacing w:after="0" w:line="196"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Genetics Center LLC, as the initial guarantors. (Incorporated by reference from the Form 8-K for the Registrant,</w:t>
              </w:r>
            </w:hyperlink>
          </w:p>
        </w:tc>
      </w:tr>
      <w:tr>
        <w:trPr>
          <w:trHeight w:val="196"/>
        </w:trPr>
        <w:tc>
          <w:tcPr>
            <w:tcW w:w="1200" w:type="dxa"/>
            <w:vAlign w:val="bottom"/>
          </w:tcPr>
          <w:p>
            <w:pPr>
              <w:spacing w:after="0"/>
              <w:rPr>
                <w:sz w:val="17"/>
                <w:szCs w:val="17"/>
                <w:color w:val="auto"/>
              </w:rPr>
            </w:pPr>
          </w:p>
        </w:tc>
        <w:tc>
          <w:tcPr>
            <w:tcW w:w="83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33">
              <w:r>
                <w:rPr>
                  <w:rFonts w:ascii="Arial" w:cs="Arial" w:eastAsia="Arial" w:hAnsi="Arial"/>
                  <w:sz w:val="18"/>
                  <w:szCs w:val="18"/>
                  <w:color w:val="0000FF"/>
                </w:rPr>
                <w:t>filed March 9, 2017.)</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21.1</w:t>
            </w:r>
          </w:p>
        </w:tc>
        <w:tc>
          <w:tcPr>
            <w:tcW w:w="838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FF"/>
              </w:rPr>
            </w:pPr>
            <w:hyperlink w:anchor="page174">
              <w:r>
                <w:rPr>
                  <w:rFonts w:ascii="Arial" w:cs="Arial" w:eastAsia="Arial" w:hAnsi="Arial"/>
                  <w:sz w:val="18"/>
                  <w:szCs w:val="18"/>
                  <w:color w:val="0000FF"/>
                </w:rPr>
                <w:t>Subsidiaries of the Registrant.</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23.1</w:t>
            </w:r>
          </w:p>
        </w:tc>
        <w:tc>
          <w:tcPr>
            <w:tcW w:w="8380" w:type="dxa"/>
            <w:vAlign w:val="bottom"/>
            <w:gridSpan w:val="9"/>
          </w:tcPr>
          <w:p>
            <w:pPr>
              <w:spacing w:after="0" w:line="202" w:lineRule="exact"/>
              <w:rPr>
                <w:rFonts w:ascii="Arial" w:cs="Arial" w:eastAsia="Arial" w:hAnsi="Arial"/>
                <w:sz w:val="18"/>
                <w:szCs w:val="18"/>
                <w:color w:val="0000FF"/>
              </w:rPr>
            </w:pPr>
            <w:hyperlink w:anchor="page175">
              <w:r>
                <w:rPr>
                  <w:rFonts w:ascii="Arial" w:cs="Arial" w:eastAsia="Arial" w:hAnsi="Arial"/>
                  <w:sz w:val="18"/>
                  <w:szCs w:val="18"/>
                  <w:color w:val="0000FF"/>
                </w:rPr>
                <w:t>Consent of PricewaterhouseCoopers LLP, Independent Registered Public Accounting Firm.</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24.1</w:t>
            </w:r>
          </w:p>
        </w:tc>
        <w:tc>
          <w:tcPr>
            <w:tcW w:w="838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Power of Attorney (included on the signature page of this Annual Report on Form 10-K).</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06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20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8380" w:type="dxa"/>
            <w:vAlign w:val="bottom"/>
            <w:gridSpan w:val="9"/>
          </w:tcPr>
          <w:p>
            <w:pPr>
              <w:spacing w:after="0" w:line="202" w:lineRule="exact"/>
              <w:rPr>
                <w:rFonts w:ascii="Arial" w:cs="Arial" w:eastAsia="Arial" w:hAnsi="Arial"/>
                <w:sz w:val="18"/>
                <w:szCs w:val="18"/>
                <w:color w:val="0000FF"/>
                <w:w w:val="92"/>
              </w:rPr>
            </w:pPr>
            <w:hyperlink w:anchor="page176">
              <w:r>
                <w:rPr>
                  <w:rFonts w:ascii="Arial" w:cs="Arial" w:eastAsia="Arial" w:hAnsi="Arial"/>
                  <w:sz w:val="18"/>
                  <w:szCs w:val="18"/>
                  <w:color w:val="0000FF"/>
                  <w:w w:val="92"/>
                </w:rPr>
                <w:t>Certification of Principal Executive Officer pursuant to Rule 13a-14(a) under the Securities Exchange Act of 1934.</w:t>
              </w:r>
            </w:hyperlink>
          </w:p>
        </w:tc>
      </w:tr>
      <w:tr>
        <w:trPr>
          <w:trHeight w:val="48"/>
        </w:trPr>
        <w:tc>
          <w:tcPr>
            <w:tcW w:w="12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r>
      <w:tr>
        <w:trPr>
          <w:trHeight w:val="203"/>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838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FF"/>
                <w:w w:val="93"/>
              </w:rPr>
            </w:pPr>
            <w:hyperlink w:anchor="page177">
              <w:r>
                <w:rPr>
                  <w:rFonts w:ascii="Arial" w:cs="Arial" w:eastAsia="Arial" w:hAnsi="Arial"/>
                  <w:sz w:val="18"/>
                  <w:szCs w:val="18"/>
                  <w:color w:val="0000FF"/>
                  <w:w w:val="93"/>
                </w:rPr>
                <w:t>Certification of Principal Financial Officer pursuant to Rule 13a-14(a) under the Securities Exchange Act of 1934.</w:t>
              </w:r>
            </w:hyperlink>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2120" w:hanging="1167"/>
        <w:spacing w:after="0"/>
        <w:tabs>
          <w:tab w:leader="none" w:pos="2120" w:val="left"/>
        </w:tabs>
        <w:numPr>
          <w:ilvl w:val="0"/>
          <w:numId w:val="33"/>
        </w:numPr>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Certification of Principal Executive Officer and Principal Financial Officer pursuant to 18 U.S.C. Section 1350.</w:t>
        </w:r>
      </w:hyperlink>
    </w:p>
    <w:p>
      <w:pPr>
        <w:spacing w:after="0" w:line="50"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Interactive Data File</w:t>
            </w:r>
          </w:p>
        </w:tc>
      </w:tr>
      <w:tr>
        <w:trPr>
          <w:trHeight w:val="243"/>
        </w:trPr>
        <w:tc>
          <w:tcPr>
            <w:tcW w:w="1020" w:type="dxa"/>
            <w:vAlign w:val="bottom"/>
          </w:tcPr>
          <w:p>
            <w:pPr>
              <w:ind w:left="160"/>
              <w:spacing w:after="0"/>
              <w:rPr>
                <w:sz w:val="20"/>
                <w:szCs w:val="20"/>
                <w:color w:val="auto"/>
              </w:rPr>
            </w:pPr>
            <w:r>
              <w:rPr>
                <w:rFonts w:ascii="Arial" w:cs="Arial" w:eastAsia="Arial" w:hAnsi="Arial"/>
                <w:sz w:val="18"/>
                <w:szCs w:val="18"/>
                <w:color w:val="auto"/>
              </w:rPr>
              <w:t>101.INS</w:t>
            </w:r>
          </w:p>
        </w:tc>
        <w:tc>
          <w:tcPr>
            <w:tcW w:w="856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101.SCH</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43"/>
        </w:trPr>
        <w:tc>
          <w:tcPr>
            <w:tcW w:w="1020" w:type="dxa"/>
            <w:vAlign w:val="bottom"/>
          </w:tcPr>
          <w:p>
            <w:pPr>
              <w:ind w:left="160"/>
              <w:spacing w:after="0"/>
              <w:rPr>
                <w:sz w:val="20"/>
                <w:szCs w:val="20"/>
                <w:color w:val="auto"/>
              </w:rPr>
            </w:pPr>
            <w:r>
              <w:rPr>
                <w:rFonts w:ascii="Arial" w:cs="Arial" w:eastAsia="Arial" w:hAnsi="Arial"/>
                <w:sz w:val="18"/>
                <w:szCs w:val="18"/>
                <w:color w:val="auto"/>
              </w:rPr>
              <w:t>101.CAL</w:t>
            </w:r>
          </w:p>
        </w:tc>
        <w:tc>
          <w:tcPr>
            <w:tcW w:w="856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101.DEF</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Document</w:t>
            </w:r>
          </w:p>
        </w:tc>
      </w:tr>
      <w:tr>
        <w:trPr>
          <w:trHeight w:val="243"/>
        </w:trPr>
        <w:tc>
          <w:tcPr>
            <w:tcW w:w="1020" w:type="dxa"/>
            <w:vAlign w:val="bottom"/>
          </w:tcPr>
          <w:p>
            <w:pPr>
              <w:ind w:left="160"/>
              <w:spacing w:after="0"/>
              <w:rPr>
                <w:sz w:val="20"/>
                <w:szCs w:val="20"/>
                <w:color w:val="auto"/>
              </w:rPr>
            </w:pPr>
            <w:r>
              <w:rPr>
                <w:rFonts w:ascii="Arial" w:cs="Arial" w:eastAsia="Arial" w:hAnsi="Arial"/>
                <w:sz w:val="18"/>
                <w:szCs w:val="18"/>
                <w:color w:val="auto"/>
              </w:rPr>
              <w:t>101.LAB</w:t>
            </w:r>
          </w:p>
        </w:tc>
        <w:tc>
          <w:tcPr>
            <w:tcW w:w="856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101.PRE</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_______</w:t>
            </w:r>
          </w:p>
        </w:tc>
        <w:tc>
          <w:tcPr>
            <w:tcW w:w="8560" w:type="dxa"/>
            <w:vAlign w:val="bottom"/>
          </w:tcPr>
          <w:p>
            <w:pPr>
              <w:spacing w:after="0"/>
              <w:rPr>
                <w:sz w:val="21"/>
                <w:szCs w:val="21"/>
                <w:color w:val="auto"/>
              </w:rPr>
            </w:pPr>
          </w:p>
        </w:tc>
      </w:tr>
    </w:tbl>
    <w:p>
      <w:pPr>
        <w:spacing w:after="0" w:line="200" w:lineRule="exact"/>
        <w:rPr>
          <w:sz w:val="20"/>
          <w:szCs w:val="20"/>
          <w:color w:val="auto"/>
        </w:rPr>
      </w:pPr>
    </w:p>
    <w:p>
      <w:pPr>
        <w:spacing w:after="0" w:line="204" w:lineRule="exact"/>
        <w:rPr>
          <w:sz w:val="20"/>
          <w:szCs w:val="20"/>
          <w:color w:val="auto"/>
        </w:rPr>
      </w:pPr>
    </w:p>
    <w:p>
      <w:pPr>
        <w:ind w:left="1420" w:hanging="583"/>
        <w:spacing w:after="0" w:line="277" w:lineRule="auto"/>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8" w:lineRule="exact"/>
        <w:rPr>
          <w:rFonts w:ascii="Arial" w:cs="Arial" w:eastAsia="Arial" w:hAnsi="Arial"/>
          <w:sz w:val="18"/>
          <w:szCs w:val="18"/>
          <w:color w:val="auto"/>
        </w:rPr>
      </w:pPr>
    </w:p>
    <w:p>
      <w:pPr>
        <w:ind w:left="1420" w:hanging="595"/>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240" w:top="130" w:right="55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LEONARD S. SCHLEIFER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30" w:right="25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Leonard S. Schleifer, President and Chief Executive Officer, and Robert E. Landry, Senior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320" w:type="dxa"/>
            <w:vAlign w:val="bottom"/>
            <w:gridSpan w:val="3"/>
          </w:tcPr>
          <w:p>
            <w:pPr>
              <w:ind w:left="2100"/>
              <w:spacing w:after="0"/>
              <w:rPr>
                <w:sz w:val="20"/>
                <w:szCs w:val="20"/>
                <w:color w:val="auto"/>
              </w:rPr>
            </w:pPr>
            <w:r>
              <w:rPr>
                <w:rFonts w:ascii="Arial" w:cs="Arial" w:eastAsia="Arial" w:hAnsi="Arial"/>
                <w:sz w:val="18"/>
                <w:szCs w:val="18"/>
                <w:b w:val="1"/>
                <w:bCs w:val="1"/>
                <w:color w:val="auto"/>
              </w:rPr>
              <w:t>Title</w:t>
            </w:r>
          </w:p>
        </w:tc>
        <w:tc>
          <w:tcPr>
            <w:tcW w:w="1480" w:type="dxa"/>
            <w:vAlign w:val="bottom"/>
            <w:gridSpan w:val="3"/>
          </w:tcPr>
          <w:p>
            <w:pPr>
              <w:ind w:left="940"/>
              <w:spacing w:after="0"/>
              <w:rPr>
                <w:sz w:val="20"/>
                <w:szCs w:val="20"/>
                <w:color w:val="auto"/>
              </w:rPr>
            </w:pPr>
            <w:r>
              <w:rPr>
                <w:rFonts w:ascii="Arial" w:cs="Arial" w:eastAsia="Arial" w:hAnsi="Arial"/>
                <w:sz w:val="18"/>
                <w:szCs w:val="18"/>
                <w:b w:val="1"/>
                <w:bCs w:val="1"/>
                <w:color w:val="auto"/>
              </w:rPr>
              <w:t>Date</w:t>
            </w:r>
          </w:p>
        </w:tc>
      </w:tr>
      <w:tr>
        <w:trPr>
          <w:trHeight w:val="20"/>
        </w:trPr>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6"/>
        </w:trPr>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LEONARD S. SCHLEIFER</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(Principal Executive Officer)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Leonard S. Schleifer, M.D., Ph.D.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6"/>
        </w:trPr>
        <w:tc>
          <w:tcPr>
            <w:tcW w:w="1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w w:val="97"/>
              </w:rPr>
              <w:t>Senior Vice President, Finance and Chief Financial</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ROBERT E. LANDRY</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Officer (Principal Financial Officer)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Robert E. Landry</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6"/>
        </w:trPr>
        <w:tc>
          <w:tcPr>
            <w:tcW w:w="1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Vice President, Controller (Principal Accounting</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CHRISTOPHER R. FENIMORE</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Officer)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Christopher R. Fenimore</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GEORGE D. YANCOPOULOS</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President, Chief Scientific Officer, and 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George D. Yancopoulos, M.D., Ph.D.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P. ROY VAGELOS</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Chairman of the Board</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P. Roy Vagelos, M.D.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CHARLES A. BAKER</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Charles A. Baker</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BONNIE L. BASSLER</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Bonnie L. Bassler, Ph.D.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MICHAEL S. BROWN</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Michael S. Brown, M.D.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N. ANTHONY COLES</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N. Anthony Coles, M.D.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JOSEPH L. GOLDSTEIN</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Joseph L. Goldstein, M.D.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CHRISTINE A. POON</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Christine A. Poon</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ARTHUR F. RYAN</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Arthur F. Ryan</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GEORGE L. SING</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George L. Sing</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MARC TESSIER-LAVIGNE</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Marc Tessier-Lavigne, Ph.D.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/s/ HUDA Y. ZOGHBI</w:t>
            </w:r>
          </w:p>
        </w:tc>
        <w:tc>
          <w:tcPr>
            <w:tcW w:w="432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w w:val="88"/>
              </w:rPr>
              <w:t>February 8, 2018</w:t>
            </w: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60" w:type="dxa"/>
            <w:vAlign w:val="bottom"/>
            <w:gridSpan w:val="3"/>
          </w:tcPr>
          <w:p>
            <w:pPr>
              <w:ind w:left="260"/>
              <w:spacing w:after="0"/>
              <w:rPr>
                <w:sz w:val="20"/>
                <w:szCs w:val="20"/>
                <w:color w:val="auto"/>
              </w:rPr>
            </w:pPr>
            <w:r>
              <w:rPr>
                <w:rFonts w:ascii="Arial" w:cs="Arial" w:eastAsia="Arial" w:hAnsi="Arial"/>
                <w:sz w:val="18"/>
                <w:szCs w:val="18"/>
                <w:color w:val="auto"/>
              </w:rPr>
              <w:t>Huda Y. Zoghbi, M.D.</w:t>
            </w: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30" w:right="23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INDEX TO FINANCIAL STATEMENTS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8"/>
              </w:rPr>
              <w:t>Page Numbers</w:t>
            </w:r>
          </w:p>
        </w:tc>
      </w:tr>
      <w:tr>
        <w:trPr>
          <w:trHeight w:val="48"/>
        </w:trPr>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202" w:lineRule="exact"/>
              <w:rPr>
                <w:rFonts w:ascii="Arial" w:cs="Arial" w:eastAsia="Arial" w:hAnsi="Arial"/>
                <w:sz w:val="18"/>
                <w:szCs w:val="18"/>
                <w:color w:val="0000FF"/>
                <w:w w:val="91"/>
              </w:rPr>
            </w:pPr>
            <w:hyperlink w:anchor="page100">
              <w:r>
                <w:rPr>
                  <w:rFonts w:ascii="Arial" w:cs="Arial" w:eastAsia="Arial" w:hAnsi="Arial"/>
                  <w:sz w:val="18"/>
                  <w:szCs w:val="18"/>
                  <w:color w:val="0000FF"/>
                  <w:w w:val="91"/>
                </w:rPr>
                <w:t>Report of Independent Registered Public Accounting Firm</w:t>
              </w:r>
            </w:hyperlink>
          </w:p>
        </w:tc>
        <w:tc>
          <w:tcPr>
            <w:tcW w:w="452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Arial" w:cs="Arial" w:eastAsia="Arial" w:hAnsi="Arial"/>
                <w:sz w:val="18"/>
                <w:szCs w:val="18"/>
                <w:color w:val="0000FF"/>
                <w:w w:val="93"/>
              </w:rPr>
            </w:pPr>
            <w:hyperlink w:anchor="page100">
              <w:r>
                <w:rPr>
                  <w:rFonts w:ascii="Arial" w:cs="Arial" w:eastAsia="Arial" w:hAnsi="Arial"/>
                  <w:sz w:val="18"/>
                  <w:szCs w:val="18"/>
                  <w:color w:val="0000FF"/>
                  <w:w w:val="93"/>
                </w:rPr>
                <w:t>F- 2</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8"/>
          </w:tcPr>
          <w:p>
            <w:pPr>
              <w:spacing w:after="0" w:line="202" w:lineRule="exact"/>
              <w:rPr>
                <w:rFonts w:ascii="Arial" w:cs="Arial" w:eastAsia="Arial" w:hAnsi="Arial"/>
                <w:sz w:val="18"/>
                <w:szCs w:val="18"/>
                <w:color w:val="0000FF"/>
              </w:rPr>
            </w:pPr>
            <w:hyperlink w:anchor="page102">
              <w:r>
                <w:rPr>
                  <w:rFonts w:ascii="Arial" w:cs="Arial" w:eastAsia="Arial" w:hAnsi="Arial"/>
                  <w:sz w:val="18"/>
                  <w:szCs w:val="18"/>
                  <w:color w:val="0000FF"/>
                </w:rPr>
                <w:t>Consolidated Balance Sheets at December 31, 2017 and 2016</w:t>
              </w:r>
            </w:hyperlink>
          </w:p>
        </w:tc>
        <w:tc>
          <w:tcPr>
            <w:tcW w:w="100" w:type="dxa"/>
            <w:vAlign w:val="bottom"/>
          </w:tcPr>
          <w:p>
            <w:pPr>
              <w:spacing w:after="0"/>
              <w:rPr>
                <w:sz w:val="17"/>
                <w:szCs w:val="17"/>
                <w:color w:val="auto"/>
              </w:rPr>
            </w:pPr>
          </w:p>
        </w:tc>
        <w:tc>
          <w:tcPr>
            <w:tcW w:w="1180" w:type="dxa"/>
            <w:vAlign w:val="bottom"/>
            <w:gridSpan w:val="5"/>
          </w:tcPr>
          <w:p>
            <w:pPr>
              <w:jc w:val="center"/>
              <w:ind w:right="240"/>
              <w:spacing w:after="0" w:line="202" w:lineRule="exact"/>
              <w:rPr>
                <w:rFonts w:ascii="Arial" w:cs="Arial" w:eastAsia="Arial" w:hAnsi="Arial"/>
                <w:sz w:val="18"/>
                <w:szCs w:val="18"/>
                <w:color w:val="0000FF"/>
                <w:w w:val="93"/>
              </w:rPr>
            </w:pPr>
            <w:hyperlink w:anchor="page102">
              <w:r>
                <w:rPr>
                  <w:rFonts w:ascii="Arial" w:cs="Arial" w:eastAsia="Arial" w:hAnsi="Arial"/>
                  <w:sz w:val="18"/>
                  <w:szCs w:val="18"/>
                  <w:color w:val="0000FF"/>
                  <w:w w:val="93"/>
                </w:rPr>
                <w:t>F- 4</w:t>
              </w:r>
            </w:hyperlink>
          </w:p>
        </w:tc>
      </w:tr>
      <w:tr>
        <w:trPr>
          <w:trHeight w:val="48"/>
        </w:trPr>
        <w:tc>
          <w:tcPr>
            <w:tcW w:w="2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8"/>
            <w:shd w:val="clear" w:color="auto" w:fill="CCEEFF"/>
          </w:tcPr>
          <w:p>
            <w:pPr>
              <w:spacing w:after="0" w:line="202" w:lineRule="exact"/>
              <w:rPr>
                <w:rFonts w:ascii="Arial" w:cs="Arial" w:eastAsia="Arial" w:hAnsi="Arial"/>
                <w:sz w:val="18"/>
                <w:szCs w:val="18"/>
                <w:color w:val="0000FF"/>
                <w:w w:val="94"/>
              </w:rPr>
            </w:pPr>
            <w:hyperlink w:anchor="page103">
              <w:r>
                <w:rPr>
                  <w:rFonts w:ascii="Arial" w:cs="Arial" w:eastAsia="Arial" w:hAnsi="Arial"/>
                  <w:sz w:val="18"/>
                  <w:szCs w:val="18"/>
                  <w:color w:val="0000FF"/>
                  <w:w w:val="94"/>
                </w:rPr>
                <w:t>Consolidated Statements of Operations and Comprehensive Income for the Years Ended December 31, 2017, 2016,</w:t>
              </w:r>
            </w:hyperlink>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Arial" w:cs="Arial" w:eastAsia="Arial" w:hAnsi="Arial"/>
                <w:sz w:val="18"/>
                <w:szCs w:val="18"/>
                <w:color w:val="0000FF"/>
                <w:w w:val="93"/>
              </w:rPr>
            </w:pPr>
            <w:hyperlink w:anchor="page103">
              <w:r>
                <w:rPr>
                  <w:rFonts w:ascii="Arial" w:cs="Arial" w:eastAsia="Arial" w:hAnsi="Arial"/>
                  <w:sz w:val="18"/>
                  <w:szCs w:val="18"/>
                  <w:color w:val="0000FF"/>
                  <w:w w:val="93"/>
                </w:rPr>
                <w:t>F- 5</w:t>
              </w:r>
            </w:hyperlink>
          </w:p>
        </w:tc>
      </w:tr>
      <w:tr>
        <w:trPr>
          <w:trHeight w:val="196"/>
        </w:trPr>
        <w:tc>
          <w:tcPr>
            <w:tcW w:w="260" w:type="dxa"/>
            <w:vAlign w:val="bottom"/>
            <w:tcBorders>
              <w:top w:val="single" w:sz="8" w:color="CCEEFF"/>
            </w:tcBorders>
            <w:shd w:val="clear" w:color="auto" w:fill="CCEEFF"/>
          </w:tcPr>
          <w:p>
            <w:pPr>
              <w:spacing w:after="0"/>
              <w:rPr>
                <w:sz w:val="17"/>
                <w:szCs w:val="17"/>
                <w:color w:val="auto"/>
              </w:rPr>
            </w:pPr>
          </w:p>
        </w:tc>
        <w:tc>
          <w:tcPr>
            <w:tcW w:w="830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w:anchor="page103">
              <w:r>
                <w:rPr>
                  <w:rFonts w:ascii="Arial" w:cs="Arial" w:eastAsia="Arial" w:hAnsi="Arial"/>
                  <w:sz w:val="18"/>
                  <w:szCs w:val="18"/>
                  <w:color w:val="0000FF"/>
                </w:rPr>
                <w:t>and 2015</w:t>
              </w:r>
            </w:hyperlink>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8"/>
          </w:tcPr>
          <w:p>
            <w:pPr>
              <w:spacing w:after="0" w:line="202" w:lineRule="exact"/>
              <w:rPr>
                <w:rFonts w:ascii="Arial" w:cs="Arial" w:eastAsia="Arial" w:hAnsi="Arial"/>
                <w:sz w:val="18"/>
                <w:szCs w:val="18"/>
                <w:color w:val="0000FF"/>
              </w:rPr>
            </w:pPr>
            <w:hyperlink w:anchor="page104">
              <w:r>
                <w:rPr>
                  <w:rFonts w:ascii="Arial" w:cs="Arial" w:eastAsia="Arial" w:hAnsi="Arial"/>
                  <w:sz w:val="18"/>
                  <w:szCs w:val="18"/>
                  <w:color w:val="0000FF"/>
                </w:rPr>
                <w:t>Consolidated Statements of Stockholders' Equity for the Years Ended December 31, 2017, 2016, and 2015</w:t>
              </w:r>
            </w:hyperlink>
          </w:p>
        </w:tc>
        <w:tc>
          <w:tcPr>
            <w:tcW w:w="100" w:type="dxa"/>
            <w:vAlign w:val="bottom"/>
          </w:tcPr>
          <w:p>
            <w:pPr>
              <w:spacing w:after="0"/>
              <w:rPr>
                <w:sz w:val="17"/>
                <w:szCs w:val="17"/>
                <w:color w:val="auto"/>
              </w:rPr>
            </w:pPr>
          </w:p>
        </w:tc>
        <w:tc>
          <w:tcPr>
            <w:tcW w:w="1180" w:type="dxa"/>
            <w:vAlign w:val="bottom"/>
            <w:gridSpan w:val="5"/>
          </w:tcPr>
          <w:p>
            <w:pPr>
              <w:jc w:val="center"/>
              <w:ind w:right="240"/>
              <w:spacing w:after="0" w:line="202" w:lineRule="exact"/>
              <w:rPr>
                <w:rFonts w:ascii="Arial" w:cs="Arial" w:eastAsia="Arial" w:hAnsi="Arial"/>
                <w:sz w:val="18"/>
                <w:szCs w:val="18"/>
                <w:color w:val="0000FF"/>
                <w:w w:val="93"/>
              </w:rPr>
            </w:pPr>
            <w:hyperlink w:anchor="page104">
              <w:r>
                <w:rPr>
                  <w:rFonts w:ascii="Arial" w:cs="Arial" w:eastAsia="Arial" w:hAnsi="Arial"/>
                  <w:sz w:val="18"/>
                  <w:szCs w:val="18"/>
                  <w:color w:val="0000FF"/>
                  <w:w w:val="93"/>
                </w:rPr>
                <w:t>F- 6</w:t>
              </w:r>
            </w:hyperlink>
          </w:p>
        </w:tc>
      </w:tr>
      <w:tr>
        <w:trPr>
          <w:trHeight w:val="48"/>
        </w:trPr>
        <w:tc>
          <w:tcPr>
            <w:tcW w:w="2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8"/>
            <w:shd w:val="clear" w:color="auto" w:fill="CCEEFF"/>
          </w:tcPr>
          <w:p>
            <w:pPr>
              <w:spacing w:after="0" w:line="202" w:lineRule="exact"/>
              <w:rPr>
                <w:rFonts w:ascii="Arial" w:cs="Arial" w:eastAsia="Arial" w:hAnsi="Arial"/>
                <w:sz w:val="18"/>
                <w:szCs w:val="18"/>
                <w:color w:val="0000FF"/>
              </w:rPr>
            </w:pPr>
            <w:hyperlink w:anchor="page108">
              <w:r>
                <w:rPr>
                  <w:rFonts w:ascii="Arial" w:cs="Arial" w:eastAsia="Arial" w:hAnsi="Arial"/>
                  <w:sz w:val="18"/>
                  <w:szCs w:val="18"/>
                  <w:color w:val="0000FF"/>
                </w:rPr>
                <w:t>Consolidated Statements of Cash Flows for the Years Ended December 31, 2017, 2016, and 2015</w:t>
              </w:r>
            </w:hyperlink>
          </w:p>
        </w:tc>
        <w:tc>
          <w:tcPr>
            <w:tcW w:w="10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center"/>
              <w:ind w:right="240"/>
              <w:spacing w:after="0" w:line="202" w:lineRule="exact"/>
              <w:rPr>
                <w:rFonts w:ascii="Arial" w:cs="Arial" w:eastAsia="Arial" w:hAnsi="Arial"/>
                <w:sz w:val="18"/>
                <w:szCs w:val="18"/>
                <w:color w:val="0000FF"/>
                <w:w w:val="93"/>
              </w:rPr>
            </w:pPr>
            <w:hyperlink w:anchor="page108">
              <w:r>
                <w:rPr>
                  <w:rFonts w:ascii="Arial" w:cs="Arial" w:eastAsia="Arial" w:hAnsi="Arial"/>
                  <w:sz w:val="18"/>
                  <w:szCs w:val="18"/>
                  <w:color w:val="0000FF"/>
                  <w:w w:val="93"/>
                </w:rPr>
                <w:t>F- 8</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56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7000" w:type="dxa"/>
            <w:vAlign w:val="bottom"/>
            <w:gridSpan w:val="5"/>
          </w:tcPr>
          <w:p>
            <w:pPr>
              <w:spacing w:after="0" w:line="202" w:lineRule="exact"/>
              <w:rPr>
                <w:rFonts w:ascii="Arial" w:cs="Arial" w:eastAsia="Arial" w:hAnsi="Arial"/>
                <w:sz w:val="18"/>
                <w:szCs w:val="18"/>
                <w:color w:val="0000FF"/>
              </w:rPr>
            </w:pPr>
            <w:hyperlink w:anchor="page109">
              <w:r>
                <w:rPr>
                  <w:rFonts w:ascii="Arial" w:cs="Arial" w:eastAsia="Arial" w:hAnsi="Arial"/>
                  <w:sz w:val="18"/>
                  <w:szCs w:val="18"/>
                  <w:color w:val="0000FF"/>
                </w:rPr>
                <w:t>Notes to Consolidated Financial Statements</w:t>
              </w:r>
            </w:hyperlink>
          </w:p>
        </w:tc>
        <w:tc>
          <w:tcPr>
            <w:tcW w:w="17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5"/>
          </w:tcPr>
          <w:p>
            <w:pPr>
              <w:jc w:val="center"/>
              <w:ind w:right="260"/>
              <w:spacing w:after="0" w:line="202" w:lineRule="exact"/>
              <w:rPr>
                <w:rFonts w:ascii="Arial" w:cs="Arial" w:eastAsia="Arial" w:hAnsi="Arial"/>
                <w:sz w:val="18"/>
                <w:szCs w:val="18"/>
                <w:color w:val="0000FF"/>
                <w:w w:val="92"/>
              </w:rPr>
            </w:pPr>
            <w:hyperlink w:anchor="page109">
              <w:r>
                <w:rPr>
                  <w:rFonts w:ascii="Arial" w:cs="Arial" w:eastAsia="Arial" w:hAnsi="Arial"/>
                  <w:sz w:val="18"/>
                  <w:szCs w:val="18"/>
                  <w:color w:val="0000FF"/>
                  <w:w w:val="92"/>
                </w:rPr>
                <w:t xml:space="preserve">F- 9 </w:t>
              </w:r>
            </w:hyperlink>
            <w:r>
              <w:rPr>
                <w:rFonts w:ascii="Arial" w:cs="Arial" w:eastAsia="Arial" w:hAnsi="Arial"/>
                <w:sz w:val="18"/>
                <w:szCs w:val="18"/>
                <w:color w:val="0000FF"/>
                <w:w w:val="92"/>
              </w:rPr>
              <w:t xml:space="preserve">to </w:t>
            </w:r>
            <w:hyperlink w:anchor="page146">
              <w:r>
                <w:rPr>
                  <w:rFonts w:ascii="Arial" w:cs="Arial" w:eastAsia="Arial" w:hAnsi="Arial"/>
                  <w:sz w:val="18"/>
                  <w:szCs w:val="18"/>
                  <w:color w:val="0000FF"/>
                  <w:w w:val="92"/>
                </w:rPr>
                <w:t>F- 46</w:t>
              </w:r>
            </w:hyperlink>
          </w:p>
        </w:tc>
      </w:tr>
      <w:tr>
        <w:trPr>
          <w:trHeight w:val="20"/>
        </w:trPr>
        <w:tc>
          <w:tcPr>
            <w:tcW w:w="2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0860"/>
          </w:cols>
          <w:pgMar w:left="240" w:top="130" w:right="79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Regeneron Pharmaceuticals, Inc. and its subsidiaries as of December 31, 2017 and 2016, and the related consolidated statements of operations and comprehensive income;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130"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86"/>
              </w:rPr>
              <w:t>(In thousands,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left="205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812,733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535,203</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596,847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503,481</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1,538,642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1,343,368</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193,684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92,989</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242,014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175,263</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726,138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399,356</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224,972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130,528</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4,335,030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3,180,188</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1,486,494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864,260</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2,358,605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2,083,421</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506,291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825,303</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77,866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20,294</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8,764,286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6,973,466</w:t>
            </w:r>
          </w:p>
        </w:tc>
      </w:tr>
      <w:tr>
        <w:trPr>
          <w:trHeight w:val="67"/>
        </w:trPr>
        <w:tc>
          <w:tcPr>
            <w:tcW w:w="1160" w:type="dxa"/>
            <w:vAlign w:val="bottom"/>
            <w:tcBorders>
              <w:bottom w:val="single" w:sz="8" w:color="CCEEFF"/>
            </w:tcBorders>
          </w:tcPr>
          <w:p>
            <w:pPr>
              <w:spacing w:after="0"/>
              <w:rPr>
                <w:sz w:val="5"/>
                <w:szCs w:val="5"/>
                <w:color w:val="auto"/>
              </w:rPr>
            </w:pPr>
          </w:p>
        </w:tc>
        <w:tc>
          <w:tcPr>
            <w:tcW w:w="69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1160" w:type="dxa"/>
            <w:vAlign w:val="bottom"/>
            <w:shd w:val="clear" w:color="auto" w:fill="CCEEFF"/>
          </w:tcPr>
          <w:p>
            <w:pPr>
              <w:spacing w:after="0"/>
              <w:rPr>
                <w:sz w:val="22"/>
                <w:szCs w:val="22"/>
                <w:color w:val="auto"/>
              </w:rPr>
            </w:pPr>
          </w:p>
        </w:tc>
        <w:tc>
          <w:tcPr>
            <w:tcW w:w="6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1160" w:type="dxa"/>
            <w:vAlign w:val="bottom"/>
          </w:tcPr>
          <w:p>
            <w:pPr>
              <w:spacing w:after="0"/>
              <w:rPr>
                <w:sz w:val="21"/>
                <w:szCs w:val="21"/>
                <w:color w:val="auto"/>
              </w:rPr>
            </w:pPr>
          </w:p>
        </w:tc>
        <w:tc>
          <w:tcPr>
            <w:tcW w:w="6940" w:type="dxa"/>
            <w:vAlign w:val="bottom"/>
          </w:tcPr>
          <w:p>
            <w:pPr>
              <w:jc w:val="center"/>
              <w:ind w:left="205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815,078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879,096</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and facility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129,557</w:t>
            </w: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Deferred revenue from Sanofi, current portion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177,746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115,267</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other,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116,397</w:t>
            </w: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1,178</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1,135,483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1,241,495</w:t>
            </w:r>
          </w:p>
        </w:tc>
      </w:tr>
      <w:tr>
        <w:trPr>
          <w:trHeight w:val="284"/>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and facility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351,569</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revenue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379,936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503,474</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 other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249,263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327,298</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152,073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100,385</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2,620,208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2,524,221</w:t>
            </w:r>
          </w:p>
        </w:tc>
      </w:tr>
      <w:tr>
        <w:trPr>
          <w:trHeight w:val="277"/>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84"/>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1,911,354 in 2017 and 1,911,456 in 2016</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- 109,477,222 in 2017 and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107,860,567 in 2016</w:t>
            </w: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3,512,833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3,029,993</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2,946,733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1,748,222</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3,763,868 shares in 2017 and 2016</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(316,240)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(316,240)</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6,144,078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4,449,245</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8,764,286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6,973,466</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29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4">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29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636"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F- 4</w:t>
      </w:r>
    </w:p>
    <w:p>
      <w:pPr>
        <w:sectPr>
          <w:pgSz w:w="11900" w:h="16838" w:orient="portrait"/>
          <w:cols w:equalWidth="0" w:num="1">
            <w:col w:w="11400"/>
          </w:cols>
          <w:pgMar w:left="240" w:top="118" w:right="259" w:bottom="636"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660" w:type="dxa"/>
            <w:vAlign w:val="bottom"/>
            <w:gridSpan w:val="8"/>
          </w:tcPr>
          <w:p>
            <w:pPr>
              <w:jc w:val="center"/>
              <w:ind w:left="350"/>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gridSpan w:val="4"/>
          </w:tcPr>
          <w:p>
            <w:pPr>
              <w:jc w:val="center"/>
              <w:ind w:right="56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29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3,718,463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2,689,478</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877,193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658,665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758,873</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938,052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580,488</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338,519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74,889</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5,872,227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4,860,427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4,103,728</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2,075,142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2,052,295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1,620,577</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838,526</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202,507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194,624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241,702</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Cost of collaboration and contract manufacturing</w:t>
            </w:r>
          </w:p>
        </w:tc>
        <w:tc>
          <w:tcPr>
            <w:tcW w:w="25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194,554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151,007</w:t>
            </w: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3,792,636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3,529,686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2,851,812</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2,079,591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1,330,741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1,251,916</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(12,578)</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(14,241)</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(26,819)</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2,078,511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1,225,097</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5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(589,041)</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1,198,511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895,522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636,056</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9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2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106,338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103,061</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115,230</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1,198,511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895,522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636,056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Unrealized gain (loss) on marketable securities</w:t>
            </w: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(43,679)</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on cash flow hedges</w:t>
            </w:r>
          </w:p>
        </w:tc>
        <w:tc>
          <w:tcPr>
            <w:tcW w:w="25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25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1,211,991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874,110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592,377</w:t>
            </w: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F- 5</w:t>
      </w:r>
    </w:p>
    <w:p>
      <w:pPr>
        <w:sectPr>
          <w:pgSz w:w="11900" w:h="16838" w:orient="portrait"/>
          <w:cols w:equalWidth="0" w:num="1">
            <w:col w:w="11420"/>
          </w:cols>
          <w:pgMar w:left="240" w:top="117" w:right="239" w:bottom="1440" w:gutter="0" w:footer="0" w:header="0"/>
          <w:type w:val="continuous"/>
        </w:sectPr>
      </w:pPr>
    </w:p>
    <w:bookmarkStart w:id="103" w:name="page104"/>
    <w:bookmarkEnd w:id="10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9"/>
          </w:tcPr>
          <w:p>
            <w:pPr>
              <w:jc w:val="center"/>
              <w:ind w:left="31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0" w:type="dxa"/>
            <w:vAlign w:val="bottom"/>
            <w:gridSpan w:val="13"/>
          </w:tcPr>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gridSpan w:val="11"/>
          </w:tcPr>
          <w:p>
            <w:pPr>
              <w:jc w:val="center"/>
              <w:ind w:right="580"/>
              <w:spacing w:after="0"/>
              <w:rPr>
                <w:sz w:val="20"/>
                <w:szCs w:val="20"/>
                <w:color w:val="auto"/>
              </w:rPr>
            </w:pPr>
            <w:r>
              <w:rPr>
                <w:rFonts w:ascii="Arial" w:cs="Arial" w:eastAsia="Arial" w:hAnsi="Arial"/>
                <w:sz w:val="18"/>
                <w:szCs w:val="18"/>
                <w:b w:val="1"/>
                <w:bCs w:val="1"/>
                <w:color w:val="auto"/>
                <w:w w:val="90"/>
              </w:rPr>
              <w:t>For the Years Ended December 31, 2017, 2016, and 2015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jc w:val="center"/>
              <w:ind w:right="90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64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72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Treasury Stock</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gridSpan w:val="5"/>
            <w:vMerge w:val="continue"/>
          </w:tcPr>
          <w:p>
            <w:pPr>
              <w:spacing w:after="0"/>
              <w:rPr>
                <w:sz w:val="19"/>
                <w:szCs w:val="19"/>
                <w:color w:val="auto"/>
              </w:rPr>
            </w:pPr>
          </w:p>
        </w:tc>
        <w:tc>
          <w:tcPr>
            <w:tcW w:w="1640" w:type="dxa"/>
            <w:vAlign w:val="bottom"/>
            <w:gridSpan w:val="4"/>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720" w:type="dxa"/>
            <w:vAlign w:val="bottom"/>
            <w:gridSpan w:val="4"/>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98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9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5"/>
              </w:rPr>
              <w:t>Balance, December 31,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2014</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102,475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102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$2,450,782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$ 216,644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52,251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$(169,530)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  2,550,251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with 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215,460</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tendered upon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and vesting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restricted stock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connection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(160,538)</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with conversion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convertible notes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818,358</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818,360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 Company 401(k)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Savings Plan</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Issuance of restricted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stock under Long-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Term Incentive Plan</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Stock</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converted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compensation charges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464,022</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464,022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tax benefit from</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405,317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405,317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Acquisition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with exercise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convertible note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hedges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136,539</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(1,625)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(136,539)</w:t>
            </w: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Reduction of warrants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(449,456)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(449,456)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Reclassification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warrant liability</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23,317</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of equity</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component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(819,657)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(819,657)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636,056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636,056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net of tax</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92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5"/>
              </w:rPr>
              <w:t>Balance, December 31,</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1,913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106,378</w:t>
            </w:r>
          </w:p>
        </w:tc>
        <w:tc>
          <w:tcPr>
            <w:tcW w:w="1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3,099,526</w:t>
            </w: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852,700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(3,643)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(306,069)</w:t>
            </w: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3,654,837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115,180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115,182</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tendered upon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options and vesting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of restricted stock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employee tax</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(143,182)</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(143,182)</w:t>
            </w:r>
          </w:p>
        </w:tc>
        <w:tc>
          <w:tcPr>
            <w:tcW w:w="0" w:type="dxa"/>
            <w:vAlign w:val="bottom"/>
          </w:tcPr>
          <w:p>
            <w:pPr>
              <w:spacing w:after="0"/>
              <w:rPr>
                <w:sz w:val="1"/>
                <w:szCs w:val="1"/>
                <w:color w:val="auto"/>
              </w:rPr>
            </w:pPr>
          </w:p>
        </w:tc>
      </w:tr>
      <w:tr>
        <w:trPr>
          <w:trHeight w:val="64"/>
        </w:trPr>
        <w:tc>
          <w:tcPr>
            <w:tcW w:w="120" w:type="dxa"/>
            <w:vAlign w:val="bottom"/>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320"/>
          </w:cols>
          <w:pgMar w:left="240" w:top="117" w:right="339" w:bottom="0" w:gutter="0" w:footer="0" w:header="0"/>
        </w:sectPr>
      </w:pPr>
    </w:p>
    <w:bookmarkStart w:id="104" w:name="page105"/>
    <w:bookmarkEnd w:id="104"/>
    <w:p>
      <w:pPr>
        <w:ind w:left="60" w:hanging="161"/>
        <w:spacing w:after="0" w:line="258" w:lineRule="auto"/>
        <w:rPr>
          <w:sz w:val="20"/>
          <w:szCs w:val="20"/>
          <w:color w:val="auto"/>
        </w:rPr>
      </w:pPr>
      <w:r>
        <w:rPr>
          <w:rFonts w:ascii="Arial" w:cs="Arial" w:eastAsia="Arial" w:hAnsi="Arial"/>
          <w:sz w:val="18"/>
          <w:szCs w:val="18"/>
          <w:color w:val="auto"/>
        </w:rPr>
        <w:t>Issuance of Common</w:t>
      </w:r>
      <w:r>
        <w:rPr>
          <w:sz w:val="20"/>
          <w:szCs w:val="20"/>
          <w:color w:val="auto"/>
        </w:rPr>
        <w:t xml:space="preserve"> </w:t>
      </w:r>
      <w:r>
        <w:rPr>
          <w:rFonts w:ascii="Arial" w:cs="Arial" w:eastAsia="Arial" w:hAnsi="Arial"/>
          <w:sz w:val="18"/>
          <w:szCs w:val="18"/>
          <w:color w:val="auto"/>
        </w:rPr>
        <w:t>— — 121 — 48,004 — — — — 48,004 Stock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-136525</wp:posOffset>
            </wp:positionV>
            <wp:extent cx="7117715" cy="565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8">
                      <a:extLst>
                        <a:ext uri="{28A0092B-C50C-407E-A947-70E740481C1C}"/>
                      </a:extLst>
                    </a:blip>
                    <a:srcRect/>
                    <a:stretch>
                      <a:fillRect/>
                    </a:stretch>
                  </pic:blipFill>
                  <pic:spPr bwMode="auto">
                    <a:xfrm>
                      <a:off x="0" y="0"/>
                      <a:ext cx="7117715" cy="565785"/>
                    </a:xfrm>
                    <a:prstGeom prst="rect">
                      <a:avLst/>
                    </a:prstGeom>
                    <a:noFill/>
                  </pic:spPr>
                </pic:pic>
              </a:graphicData>
            </a:graphic>
          </wp:anchor>
        </w:drawing>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with conversion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convertible notes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0960"/>
          </w:cols>
          <w:pgMar w:left="480" w:top="125" w:right="4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9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00" w:type="dxa"/>
            <w:vAlign w:val="bottom"/>
            <w:gridSpan w:val="17"/>
          </w:tcPr>
          <w:p>
            <w:pPr>
              <w:ind w:left="40"/>
              <w:spacing w:after="0"/>
              <w:rPr>
                <w:sz w:val="20"/>
                <w:szCs w:val="20"/>
                <w:color w:val="auto"/>
              </w:rPr>
            </w:pPr>
            <w:r>
              <w:rPr>
                <w:rFonts w:ascii="Arial" w:cs="Arial" w:eastAsia="Arial" w:hAnsi="Arial"/>
                <w:sz w:val="18"/>
                <w:szCs w:val="18"/>
                <w:b w:val="1"/>
                <w:bCs w:val="1"/>
                <w:color w:val="auto"/>
              </w:rPr>
              <w:t>CONSOLIDATED STATEMENTS OF STOCKHOLDERS' EQUITY (continued)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8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62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72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Treasury Stock</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720" w:type="dxa"/>
            <w:vAlign w:val="bottom"/>
            <w:gridSpan w:val="4"/>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Paid-in</w:t>
            </w:r>
          </w:p>
        </w:tc>
        <w:tc>
          <w:tcPr>
            <w:tcW w:w="10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860" w:type="dxa"/>
            <w:vAlign w:val="bottom"/>
            <w:gridSpan w:val="2"/>
            <w:vMerge w:val="restart"/>
          </w:tcPr>
          <w:p>
            <w:pPr>
              <w:ind w:left="20"/>
              <w:spacing w:after="0"/>
              <w:rPr>
                <w:sz w:val="20"/>
                <w:szCs w:val="20"/>
                <w:color w:val="auto"/>
              </w:rPr>
            </w:pPr>
            <w:r>
              <w:rPr>
                <w:rFonts w:ascii="Arial" w:cs="Arial" w:eastAsia="Arial" w:hAnsi="Arial"/>
                <w:sz w:val="18"/>
                <w:szCs w:val="18"/>
                <w:color w:val="auto"/>
              </w:rPr>
              <w:t>Issuance of Common</w:t>
            </w: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with Company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401(k) Savings Plan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16,561</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16,561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restricted</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under Long-</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Term Incentive Plan</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Class A Stock</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converted to</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charges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574,887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574,887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Acquisition of</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Common Stock in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connection with</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exercise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convertible note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hedges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Reduction of warrants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(643,365)</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Reduction of equity</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component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(47,789)</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(47,789)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895,522</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Other comprehensive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loss, net of tax</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86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31, 2016</w:t>
            </w:r>
          </w:p>
        </w:tc>
        <w:tc>
          <w:tcPr>
            <w:tcW w:w="8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107,860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3,029,993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1,748,222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(3,764)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(316,240)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4,449,245</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with exercise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240,578</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240,580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tendered upon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in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connection with</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employee tax</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(201,621)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(201,621)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Issuance of restricted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stock under Long-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Term Incentive Plan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tendered upon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 employee tax</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obligations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(100,067)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(100,067)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with Company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401(k) Savings Plan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19,416</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19,416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524,534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524,534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1,198,511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1,198,511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net of tax</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13,480</w:t>
            </w: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8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Balance, December</w:t>
            </w: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7"/>
              </w:rPr>
              <w:t>1,911</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7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9"/>
              </w:rPr>
              <w:t>109,477</w:t>
            </w:r>
          </w:p>
        </w:tc>
        <w:tc>
          <w:tcPr>
            <w:tcW w:w="100" w:type="dxa"/>
            <w:vAlign w:val="bottom"/>
          </w:tcPr>
          <w:p>
            <w:pPr>
              <w:spacing w:after="0"/>
              <w:rPr>
                <w:sz w:val="17"/>
                <w:szCs w:val="17"/>
                <w:color w:val="auto"/>
              </w:rPr>
            </w:pP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  110</w:t>
            </w:r>
          </w:p>
        </w:tc>
        <w:tc>
          <w:tcPr>
            <w:tcW w:w="100" w:type="dxa"/>
            <w:vAlign w:val="bottom"/>
          </w:tcPr>
          <w:p>
            <w:pPr>
              <w:spacing w:after="0"/>
              <w:rPr>
                <w:sz w:val="17"/>
                <w:szCs w:val="17"/>
                <w:color w:val="auto"/>
              </w:rPr>
            </w:pP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3"/>
              </w:rPr>
              <w:t>$3,512,833</w:t>
            </w:r>
          </w:p>
        </w:tc>
        <w:tc>
          <w:tcPr>
            <w:tcW w:w="120" w:type="dxa"/>
            <w:vAlign w:val="bottom"/>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$2,946,733</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7"/>
                <w:szCs w:val="17"/>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(3,764)</w:t>
            </w:r>
          </w:p>
        </w:tc>
        <w:tc>
          <w:tcPr>
            <w:tcW w:w="100" w:type="dxa"/>
            <w:vAlign w:val="bottom"/>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1"/>
              </w:rPr>
              <w:t>$(316,240)</w:t>
            </w:r>
          </w:p>
        </w:tc>
        <w:tc>
          <w:tcPr>
            <w:tcW w:w="120" w:type="dxa"/>
            <w:vAlign w:val="bottom"/>
          </w:tcPr>
          <w:p>
            <w:pPr>
              <w:spacing w:after="0"/>
              <w:rPr>
                <w:sz w:val="17"/>
                <w:szCs w:val="17"/>
                <w:color w:val="auto"/>
              </w:rPr>
            </w:pPr>
          </w:p>
        </w:tc>
        <w:tc>
          <w:tcPr>
            <w:tcW w:w="10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3"/>
              </w:rPr>
              <w:t>$  6,144,078</w:t>
            </w:r>
          </w:p>
        </w:tc>
        <w:tc>
          <w:tcPr>
            <w:tcW w:w="0" w:type="dxa"/>
            <w:vAlign w:val="bottom"/>
          </w:tcPr>
          <w:p>
            <w:pPr>
              <w:spacing w:after="0"/>
              <w:rPr>
                <w:sz w:val="1"/>
                <w:szCs w:val="1"/>
                <w:color w:val="auto"/>
              </w:rPr>
            </w:pPr>
          </w:p>
        </w:tc>
      </w:tr>
      <w:tr>
        <w:trPr>
          <w:trHeight w:val="246"/>
        </w:trPr>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31, 2017</w:t>
            </w:r>
          </w:p>
        </w:tc>
        <w:tc>
          <w:tcPr>
            <w:tcW w:w="82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18" w:right="339" w:bottom="86" w:gutter="0" w:footer="0" w:header="0"/>
        </w:sectPr>
      </w:pP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7117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9">
                      <a:extLst>
                        <a:ext uri="{28A0092B-C50C-407E-A947-70E740481C1C}"/>
                      </a:extLst>
                    </a:blip>
                    <a:srcRect/>
                    <a:stretch>
                      <a:fillRect/>
                    </a:stretch>
                  </pic:blipFill>
                  <pic:spPr bwMode="auto">
                    <a:xfrm>
                      <a:off x="0" y="0"/>
                      <a:ext cx="71177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66040</wp:posOffset>
            </wp:positionV>
            <wp:extent cx="71177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0">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ectPr>
          <w:pgSz w:w="11900" w:h="16838" w:orient="portrait"/>
          <w:cols w:equalWidth="0" w:num="1">
            <w:col w:w="11320"/>
          </w:cols>
          <w:pgMar w:left="240" w:top="118" w:right="339" w:bottom="86"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6"/>
          <w:szCs w:val="16"/>
          <w:color w:val="auto"/>
        </w:rPr>
        <w:t>F- 7</w:t>
      </w:r>
    </w:p>
    <w:p>
      <w:pPr>
        <w:sectPr>
          <w:pgSz w:w="11900" w:h="16838" w:orient="portrait"/>
          <w:cols w:equalWidth="0" w:num="1">
            <w:col w:w="9019"/>
          </w:cols>
          <w:pgMar w:left="1440" w:top="125"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67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600" w:type="dxa"/>
            <w:vAlign w:val="bottom"/>
          </w:tcPr>
          <w:p>
            <w:pPr>
              <w:jc w:val="center"/>
              <w:ind w:left="341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1,198,511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895,522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636,056</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74,909</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459,049</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52,562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(121,623)</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(491,421)</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(111,825)</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(79,476)</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608,892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(Decrease) 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303,657</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108,601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577,874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694,724</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1,473,396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1,330,780</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(557,105)</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327,437</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(677,933)</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(907,601)</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27,373</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(166,467)</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(573,487)</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240,213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206,358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7"/>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(160,537)</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405,317</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(700,391)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(262,796)</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160,383</w:t>
            </w:r>
          </w:p>
        </w:tc>
      </w:tr>
      <w:tr>
        <w:trPr>
          <w:trHeight w:val="284"/>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648,719</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812,733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809,102</w:t>
            </w: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10,582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754,843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481,360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276,092</w:t>
            </w:r>
          </w:p>
        </w:tc>
      </w:tr>
      <w:tr>
        <w:trPr>
          <w:trHeight w:val="27"/>
        </w:trPr>
        <w:tc>
          <w:tcPr>
            <w:tcW w:w="116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F- 8</w:t>
      </w:r>
    </w:p>
    <w:p>
      <w:pPr>
        <w:sectPr>
          <w:pgSz w:w="11900" w:h="16838" w:orient="portrait"/>
          <w:cols w:equalWidth="0" w:num="1">
            <w:col w:w="11420"/>
          </w:cols>
          <w:pgMar w:left="240" w:top="118" w:right="239" w:bottom="1440" w:gutter="0" w:footer="0" w:header="0"/>
          <w:type w:val="continuous"/>
        </w:sectPr>
      </w:pPr>
    </w:p>
    <w:bookmarkStart w:id="108" w:name="page109"/>
    <w:bookmarkEnd w:id="10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 and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279"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7"/>
          <w:szCs w:val="17"/>
          <w:color w:val="auto"/>
        </w:rPr>
        <w:t>Regeneron Pharmaceuticals, Inc. and its subsidiaries (collectively, the "Company" or "Regeneron") is a fully integrated biopharmaceutical company that discovers, invents, develops, manufactures, and commercializes medicines for the treatment of serious diseases. The Company's commercialized medicines and product candidates in development are designed to help patients with eye disease, allergic and inflammatory diseases, heart disease, pain, cancer, and infectious and other serious medical conditions. The Company's products that have received marketing approval consist of EYLEA</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(aflibercept)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Dupixent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(dupilumab), Praluent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(alirocumab), Kevzara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(sarilumab), ARCALYST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(rilonacept), and 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(ziv-aflibercept)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is a party to collaboration agreements to develop and commercialize, as applicable, certain products and product candidates (see Note 3).</w:t>
      </w:r>
    </w:p>
    <w:p>
      <w:pPr>
        <w:spacing w:after="0" w:line="26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operates in one business segment, which includes all activities related to the discovery, development, and commercialization of pharmaceutical products for the treatment of serious medical conditions. The Company's business is subject to certain risks including, but not limited to, uncertainties relating to conducting pharmaceutical research, product development, obtaining regulatory approvals, market acceptance, competition, and obtaining and enforcing patents.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consolidated financial statements include the accounts of Regeneron and its wholly-owned subsidiaries. Intercompany balances and transactions are eliminated in consolidation. Certain reclassifications have been made to prior period amounts to conform with the current period's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 provisions related to product sales, such as rebates, chargebacks, and distribution-related fees; periods over which payments, including non-refundable up-front, license, and milestone payments, are recognized as revenue in connection with collaboration and other agreements; periods over which certain clinical trial costs are recognized; fair value of stock options; inventory that may expire prior to expected sale or has a cost basis in excess of its estimated realizable value; capitalization of inventory costs associated with the Company's products prior to regulatory approval; provisions for loss contingencies; deferred tax asset valuation allowances; the assessment of uncertain tax positions; and the provisional amount recorded in connection with the enactment of tax laws (see Note 16).</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 respect to the Company's collaborations with Sanofi and Bayer:</w:t>
      </w:r>
    </w:p>
    <w:p>
      <w:pPr>
        <w:spacing w:after="0" w:line="144" w:lineRule="exact"/>
        <w:rPr>
          <w:sz w:val="20"/>
          <w:szCs w:val="20"/>
          <w:color w:val="auto"/>
        </w:rPr>
      </w:pPr>
    </w:p>
    <w:p>
      <w:pPr>
        <w:ind w:left="500" w:hanging="330"/>
        <w:spacing w:after="0" w:line="258"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Sanofi collaboration revenue is the Company's share of profits or losses from commercialization of antibodies, which is provided by Sanofi, and includes an estimate of the Company's share of profits or losses for the most recent fiscal quarter.</w:t>
      </w:r>
    </w:p>
    <w:p>
      <w:pPr>
        <w:spacing w:after="0" w:line="1" w:lineRule="exact"/>
        <w:rPr>
          <w:rFonts w:ascii="Arial" w:cs="Arial" w:eastAsia="Arial" w:hAnsi="Arial"/>
          <w:sz w:val="18"/>
          <w:szCs w:val="18"/>
          <w:color w:val="auto"/>
        </w:rPr>
      </w:pPr>
    </w:p>
    <w:p>
      <w:pPr>
        <w:ind w:left="500" w:hanging="330"/>
        <w:spacing w:after="0" w:line="265"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Included in Bayer collaboration revenue is the Company's share of profits or losses from commercialization of EYLEA outside the United States, which is provided by Bayer, and includes an estimate of the Company's share of profits or losses for the most recent fiscal quarter.</w:t>
      </w:r>
    </w:p>
    <w:p>
      <w:pPr>
        <w:ind w:left="500" w:right="20" w:hanging="330"/>
        <w:spacing w:after="0" w:line="261"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research and development expenses is the Company's share of development expenses incurred by Bayer and Sanofi, including the Company's share of Bayer and Sanofi estimated development expenses for the most recent fiscal quarter.</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These estimates for the most recent period are adjusted on a prospective basis, if necessary, in the subsequent period to reflect actual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has an investment policy that includes guidelines on acceptable investment securities, minimum credit quality, maturity parameters, and concentration and diversification. The Company invests its excess cash primarily in marketable securities issued by investment grade institutions. The Company considers its marketable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marketable securities are included as a component of other income (expense), net. The Company reviews its portfolio of marketable securities, using both quantitative and qualitative factors, to determine if declines in fair value below cost are other-than-temporary. If a decline in the fair value of a marketable security in the Company's investment portfolio is deemed to be other-than-temporary, the Company writes down the cost basis of the security to its current fair value and recognizes a loss as a charge against income.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trade accounts receivable arise from product sales and represent amounts due from its distributors and specialty pharmacies (collectively, the Company's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if any, that may result from a customer's inability to pay. Amounts determined to be uncollectible are written-off against the reserve.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Inventories are stated at the lower of cost or estimated realizable value. The Company determines the cost of inventory using the first-in, first-out, or FIFO, method.</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0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unmarketable inventory to its estimated realizable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Property, plant, and equipment are stated at cost, net of accumulated depreciation. Depreciation is provided on a straight-line basis over the estimated useful lives of the assets. Leasehold improvements are amortized over the shorter of the estimated useful lives of the assets or the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396" w:lineRule="exact"/>
        <w:rPr>
          <w:sz w:val="20"/>
          <w:szCs w:val="20"/>
          <w:color w:val="auto"/>
        </w:rPr>
      </w:pPr>
    </w:p>
    <w:tbl>
      <w:tblPr>
        <w:tblLayout w:type="fixed"/>
        <w:tblInd w:w="3540" w:type="dxa"/>
        <w:tblCellMar>
          <w:top w:w="0" w:type="dxa"/>
          <w:left w:w="0" w:type="dxa"/>
          <w:bottom w:w="0" w:type="dxa"/>
          <w:right w:w="0" w:type="dxa"/>
        </w:tblCellMar>
      </w:tblP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10–50 years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1620" w:type="dxa"/>
            <w:vAlign w:val="bottom"/>
          </w:tcPr>
          <w:p>
            <w:pPr>
              <w:ind w:left="400"/>
              <w:spacing w:after="0"/>
              <w:rPr>
                <w:sz w:val="20"/>
                <w:szCs w:val="20"/>
                <w:color w:val="auto"/>
              </w:rPr>
            </w:pPr>
            <w:r>
              <w:rPr>
                <w:rFonts w:ascii="Arial" w:cs="Arial" w:eastAsia="Arial" w:hAnsi="Arial"/>
                <w:sz w:val="18"/>
                <w:szCs w:val="18"/>
                <w:color w:val="auto"/>
              </w:rPr>
              <w:t>3–10 years</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years</w:t>
            </w:r>
          </w:p>
        </w:tc>
      </w:tr>
      <w:tr>
        <w:trPr>
          <w:trHeight w:val="27"/>
        </w:trPr>
        <w:tc>
          <w:tcPr>
            <w:tcW w:w="2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Product Revenue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Product revenue consists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the Company has no further performance obligations, and returns can be reasonably estimated. The Company's written contracts with its customers stipulate product is shipped freight on board destination (FOB destination). The Company records revenue from product sales upon delivery to its customers.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EYLEA in the United States to several distributors and specialty pharmacies. The Company sells ARCALYST in the United States to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24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Revenue from product sales is recorded net of applicable provisions for rebates and chargebacks under governmental and other programs, distribution-related fees, and other sales-related deductions. Calculating these provisions involves estimates and judgments. The Company reviews its estimates of rebates, chargebacks, and other applicable provisions each period and records any necessary adjustments in the current period's net product sales.</w:t>
      </w:r>
    </w:p>
    <w:p>
      <w:pPr>
        <w:spacing w:after="0" w:line="20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 xml:space="preserve">Government Rebates and Chargebacks: </w:t>
      </w:r>
      <w:r>
        <w:rPr>
          <w:rFonts w:ascii="Arial" w:cs="Arial" w:eastAsia="Arial" w:hAnsi="Arial"/>
          <w:sz w:val="16"/>
          <w:szCs w:val="16"/>
          <w:color w:val="auto"/>
        </w:rPr>
        <w:t>The Company estimates reductions to product sales for Medicaid and Veterans' Administration ("VA")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and for certain other qualifying federal and state government programs. Based upon the Company's contracts with government agencies, statutorily-defined discounts applicable to government-funded programs, historical experience, and estimated payer mix,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("PHS"), and other institutions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2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distribution and related fees due to its customers generally based on gross sales.</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offers its customers a limited right to return product purchased directly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inventory levels in the distribution channel, shelf life of the product, and other relevant factors. The Company monitors product supply levels in the distribution channel, as well as sales by its customers of EYLEA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 Collaboration Revenue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earns collaboration revenue in connection with collaboration agreements to develop and commercialize product candidates and utilize the Company's technology platforms. These arrangements may require the Company to deliver various rights, services, and/or goods across the entire life cycle of a product or product candidate. The terms of these agreements typically include that consideration be provided to the Company in the form of non-refundable up-front payments, milestone payments, payments for development and commercialization activities, and sharing of profits or losses arising from the commercialization of products.</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non-refundable up-front payments, the Company's performance period estimates are principally based on projections of the scope, progress, and results of its research and development activities. Due to the variability in the scope of</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F- 11</w:t>
      </w:r>
    </w:p>
    <w:p>
      <w:pPr>
        <w:sectPr>
          <w:pgSz w:w="11900" w:h="16838" w:orient="portrait"/>
          <w:cols w:equalWidth="0" w:num="1">
            <w:col w:w="11420"/>
          </w:cols>
          <w:pgMar w:left="240" w:top="130" w:right="239" w:bottom="1440" w:gutter="0" w:footer="0" w:header="0"/>
          <w:type w:val="continuous"/>
        </w:sectPr>
      </w:pPr>
    </w:p>
    <w:bookmarkStart w:id="111" w:name="page112"/>
    <w:bookmarkEnd w:id="1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activities and length of time necessary to develop a drug product, changes to development plans as programs progress, and uncertainty in the ultimate requirements to obtain regulatory approval for commercialization, revisions to performance period estimates are likely to occur periodically, and could result in material changes to the amount of revenue recognized each year. In addition, estimated performance periods may change if development programs encounter delays, or the Company and its collaborators decide to expand or contract the clinical plans for a drug candidate in various disease indications.</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arrangements involving multiple deliverables, each required deliverable is evaluated to determine whether it qualifies as a separate unit of accounting. This determination is generally based on whether the deliverables in the arrangement meet certain criteria, including whether the delivered item or items has value to the collaborator on a standalone basis. The arrangement's consideration that is fixed and determinable is allocated to each separate unit of accounting based on the relative selling price of each deliverable. If multiple collaboration activities or rights do not require separation, they are combined into a single unit of accounting and recognized over the performance period, which is the period over which the Company is obligated to deliver goods or services. The Company estimates its performance period based on the specific terms of each agreement, and adjusts the performance periods, if appropriate, based on the applicable facts and circumstances.</w:t>
      </w:r>
    </w:p>
    <w:p>
      <w:pPr>
        <w:spacing w:after="0" w:line="24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enhancement in value to the related development product candidate, (ii) the Company's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2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or the Company may be reimbursed for all or a significant portion of the costs of the Company's research and development activities.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the Company also recognizes, as research and development expense in the period when its collaborator incurs development expenses, the portion of the collaborator's development expenses that the Company is obligated to reimburse. The Company may also be obligated to use commercially reasonable efforts to supply commercial bulk product to its collaborators. In such cases, the Company is reimbursed for its manufacturing costs as commercial product is shipped to its collaborators; however, recognition of such cost reimbursements as collaboration revenue is deferred until the product is sold by the Company's collaborators to third-party customers, at which time the Company's risk of inventory loss no longer exists. In addition, at that time, the related manufacturing costs for the sold product, which had been capitalized into inventory, are recognized by the Company.</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Company's collaboration agreements, product sales and cost of sales for products which are currently approved are recorded by the Company's collaborators as they are deemed to be the principal in the transaction. The Company shares in any profits or losses arising from the commercialization of such products. The Company records its share of the profits or losses from commercialization of such products as collaboration revenue, representing net product sales less cost of goods sold and shared commercialization and other expenses.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Costs associated with research and development are expensed.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1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These start-up costs usually occur within a few months after the contract has been executed and are event-driven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24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clinical study sites, where payments are made periodically on a per-patient basis to the institutions performing the clinical study, the Company accrues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recognizes stock-based compensation expense for grants of stock option and restricted stock awards under the Company's Long-Term Incentive Plans to employees and non-employee members of the Company's board of directors based on the grant-date fair value of those awards. The grant-date fair value of an award is generally recognized as compensation expense over the award's requisite service period.</w:t>
      </w:r>
    </w:p>
    <w:p>
      <w:pPr>
        <w:spacing w:after="0" w:line="22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The Company re-evaluates uncertain tax positions and consider various factors, including, but not limited to, changes in tax law, the measurement of tax positions taken or expected to be taken in tax returns, and changes in facts or circumstances related to a tax position. The Company adjusts the level of the liability to reflect any subsequent changes in the relevant facts and circumstances surrounding the uncertain positions. The Company recognizes interest and penalties related to income tax matters in income tax expense.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130" w:right="2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Data</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awards until vested. Diluted net income per share includes the potential dilutive effect of common stock equivalents as if such securities were converted or exercised during the period, when the effect is dilutive. Common stock equivalents include: (i) outstanding stock options and restricted stock under the Company's Long-Term Incentive Plans, which are included under the "treasury stock method" when dilutive, (ii) if applicable, Common Stock to be issued upon the assumed conversion of the Company's convertible senior notes, which are included under the "if-converted method" when dilutive, and (iii) if applicable, Common Stock to be issued upon the exercise of outstanding warrants, which are included under the "treasury stock method" when dilutive.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of cash, cash equivalents, certain financial instruments, and accounts receivable. A large portion of the Company's cash is held by a few major financial institutions. In accordance with the Company's policies, the Company mandates asset diversification and monitors exposure with its counterparties.</w:t>
      </w:r>
    </w:p>
    <w:p>
      <w:pPr>
        <w:spacing w:after="0" w:line="2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Concentrations of credit risk with respect to accounts receivable are significant. The Company has a concentration of credit risk associated with the receivables due from its collaborators Bayer, Sanofi, and Teva. The Company is also subject to credit risk with accounts receivable from its product sales of EYLEA and ARCALYST, which are due from several distributors and specialty pharmacies (the Company's customers). As of December 31, 2017 and 2016, three individual customers accounted for 99% of the Company's net trade accounts receivable balances. The Company has contractual payment terms with each of its customers, and the Company monitors its customers' financial performance and credit worthiness so that it can properly assess and respond to any changes in their credit profile. In addition, the Company may insure a portion of its accounts receivables within its overall risk management practices. As of December 31, 2017 and 2016, there were no reserves against trade accounts receivable. In addition, during the years ended December 31, 2017, 2016, and 2015, the Company did not recognize any charges for write-offs of trade accounts receivable.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In May 2014, the FASB issued Accounting Standards Update 2014-09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along with subsequent amendments to ASU 2014-09 issued by the FASB,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annual and interim reporting periods beginning after December 15, 2017. The standard allows for two transition methods - retrospectively to each prior reporting period presented (full retrospective method) or retrospectively with the cumulative effect of initially applying the standard recognized at the date of initial adoption (modified retrospective method). The Company will adopt the standard using the modified retrospective method. The Company does not currently expect the new standard to have a material impact on total revenues. However, the adoption of the new standard may result in changes to the timing of revenue recognition related to collaboration agreements where the Company has concluded that bundled goods or services are not distinct. As a result, substantive development milestones, which were previously recognized in the period when the milestone was achieved, will be recognized over the remaining performance period under the new standard. The Company has substantially completed its impact assessment, and expects that the adoption of the new standard will require a cumulative-effect adjustment to reduce retained earnings on January 1, 2018 by approximately $140 million, net of tax. In connection with adopting the new standard, the Company does not anticipate implementing significant changes to its internal controls or systems. The Company continues to evaluate the impact of the new guidance on its financial statement disclosures.</w:t>
      </w:r>
    </w:p>
    <w:p>
      <w:pPr>
        <w:spacing w:after="0" w:line="16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In January 2016, the FASB issued Accounting Standards Update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The amendments require equity investments (except those accounted for under the equity method of accounting or those that result in consolidation of the investee) to be measured at fair value with changes in fair value recognized in net income. In addition, the amendments allow companies to measure equity investments that do not have readily determinable fair values at cost minus impairment, if any, and adjusted for observable price changes in orderly transactions for identical or similar investments of the same issuer. The Company has elected this measurement method for the equity investments it holds as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January 1, 2018 that do not have readily determinable fair values. The amendments are effective for fiscal years, and interim periods within those fiscal years, beginning after December 15, 2017. As of December 31, 2017, the Company's unrealized gain from equity securities was $6.6 million, which was recorded within accumulated other comprehensive income (loss). The Company will record a cumulative-effect adjustment to opening retained earnings for this unrealized gain as of the beginning of the year ending December 31, 2018. The amendments related to equity investments without readily determinable fair values shall be applied prospectively to equity investments that exist as of the date of adoption. The implementation of the amendments is expected to increase the volatility of the Company's net income.</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The new standard requires a lessee to recognize in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however, the Company expects to adopt this standard in the first quarter of 2019. The Company is evaluating the impact that this guidance will have on the Company's financial statements, including related disclosures, and expects the new standard to have a significant impact on its internal controls, systems, and processes.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5620" w:type="dxa"/>
            <w:vAlign w:val="bottom"/>
            <w:gridSpan w:val="3"/>
          </w:tcPr>
          <w:p>
            <w:pPr>
              <w:ind w:left="260"/>
              <w:spacing w:after="0"/>
              <w:rPr>
                <w:sz w:val="20"/>
                <w:szCs w:val="20"/>
                <w:color w:val="auto"/>
              </w:rPr>
            </w:pPr>
            <w:r>
              <w:rPr>
                <w:rFonts w:ascii="Arial" w:cs="Arial" w:eastAsia="Arial" w:hAnsi="Arial"/>
                <w:sz w:val="18"/>
                <w:szCs w:val="18"/>
                <w:color w:val="auto"/>
              </w:rPr>
              <w:t>Net product sales consist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48"/>
        </w:trPr>
        <w:tc>
          <w:tcPr>
            <w:tcW w:w="1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4"/>
                <w:szCs w:val="24"/>
                <w:color w:val="auto"/>
              </w:rPr>
            </w:pPr>
          </w:p>
        </w:tc>
      </w:tr>
      <w:tr>
        <w:trPr>
          <w:trHeight w:val="27"/>
        </w:trPr>
        <w:tc>
          <w:tcPr>
            <w:tcW w:w="1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164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164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164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3,701,917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3,323,081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2,676,040</w:t>
            </w:r>
          </w:p>
        </w:tc>
      </w:tr>
      <w:tr>
        <w:trPr>
          <w:trHeight w:val="243"/>
        </w:trPr>
        <w:tc>
          <w:tcPr>
            <w:tcW w:w="16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ARCALYST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13,438</w:t>
            </w:r>
          </w:p>
        </w:tc>
      </w:tr>
      <w:tr>
        <w:trPr>
          <w:trHeight w:val="27"/>
        </w:trPr>
        <w:tc>
          <w:tcPr>
            <w:tcW w:w="164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1640" w:type="dxa"/>
            <w:vAlign w:val="bottom"/>
            <w:tcBorders>
              <w:right w:val="single" w:sz="8" w:color="CCEEFF"/>
            </w:tcBorders>
          </w:tcPr>
          <w:p>
            <w:pPr>
              <w:spacing w:after="0"/>
              <w:rPr>
                <w:sz w:val="22"/>
                <w:szCs w:val="22"/>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3,718,463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3,338,390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2,689,478</w:t>
            </w:r>
          </w:p>
        </w:tc>
      </w:tr>
      <w:tr>
        <w:trPr>
          <w:trHeight w:val="20"/>
        </w:trPr>
        <w:tc>
          <w:tcPr>
            <w:tcW w:w="1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each of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2016, and 2015. Sales to each of these customers as a percentage of the Company's total gross product revenue are as follows:</w:t>
      </w:r>
    </w:p>
    <w:p>
      <w:pPr>
        <w:spacing w:after="0" w:line="200" w:lineRule="exact"/>
        <w:rPr>
          <w:sz w:val="20"/>
          <w:szCs w:val="20"/>
          <w:color w:val="auto"/>
        </w:rPr>
      </w:pPr>
    </w:p>
    <w:p>
      <w:pPr>
        <w:spacing w:after="0" w:line="234"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3095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Besse Medical, a subsidiary of AmerisourceBergen Corporation</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4"/>
              </w:rPr>
              <w:t>67%</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ind w:left="1200"/>
              <w:spacing w:after="0"/>
              <w:rPr>
                <w:sz w:val="20"/>
                <w:szCs w:val="20"/>
                <w:color w:val="auto"/>
              </w:rPr>
            </w:pPr>
            <w:r>
              <w:rPr>
                <w:rFonts w:ascii="Arial" w:cs="Arial" w:eastAsia="Arial" w:hAnsi="Arial"/>
                <w:sz w:val="18"/>
                <w:szCs w:val="18"/>
                <w:color w:val="auto"/>
                <w:w w:val="94"/>
              </w:rPr>
              <w:t>26%</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Curascript SD Specialty Distribution, a subsidiary of Express Scripts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5520" w:right="260" w:hanging="4864"/>
        <w:spacing w:after="0" w:line="71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year ended December 31, 2015, sales to Curascript SD Specialty Distribution represented less than 10% of total gross product revenue. F- 15</w:t>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Accruals for chargebacks are recorded as a direct reduction to accounts receivable and accruals for rebates and distribution-related fees are recorded within accrued liabilities. The following table summarizes the provisions, and credits/payments, for these sales-related deductions for the years ended December 31, 2017, 2016, and 2015.</w:t>
      </w:r>
    </w:p>
    <w:p>
      <w:pPr>
        <w:spacing w:after="0" w:line="399"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24,781</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193,190</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(162,722)</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55,249</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278,304</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(287,702)</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45,851</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46,383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408,270</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(368,819)</w:t>
            </w:r>
          </w:p>
        </w:tc>
      </w:tr>
      <w:tr>
        <w:trPr>
          <w:trHeight w:val="25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85,302</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and License Agreements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entered into various agreements related to its activities to research, develop, manufacture, and commercialize product candidates and utilize its technology platforms. Significant agreements of this kind are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Sanofi owned a total of 23,880,537 shares of the Company's Common Stock as of December 31, 2017, a portion of which was purchased in connection with the companies' ZALTRAP and antibody collaborations described below. See Note 13 for a description of the investor agreement between Sanofi and the Company.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Sanofi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508,364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564,900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735,439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155,271</w:t>
            </w: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(442,610)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(459,058)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(240,042)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12,322</w:t>
            </w:r>
          </w:p>
        </w:tc>
      </w:tr>
      <w:tr>
        <w:trPr>
          <w:trHeight w:val="237"/>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553,689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440,168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662,990</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239,981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138,497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39,961</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37"/>
        </w:trPr>
        <w:tc>
          <w:tcPr>
            <w:tcW w:w="20" w:type="dxa"/>
            <w:vAlign w:val="bottom"/>
          </w:tcPr>
          <w:p>
            <w:pPr>
              <w:spacing w:after="0"/>
              <w:rPr>
                <w:sz w:val="20"/>
                <w:szCs w:val="20"/>
                <w:color w:val="auto"/>
              </w:rPr>
            </w:pPr>
          </w:p>
        </w:tc>
        <w:tc>
          <w:tcPr>
            <w:tcW w:w="4280" w:type="dxa"/>
            <w:vAlign w:val="bottom"/>
            <w:gridSpan w:val="2"/>
          </w:tcPr>
          <w:p>
            <w:pPr>
              <w:ind w:left="3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323,504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218,497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79,961</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w:t>
            </w:r>
          </w:p>
        </w:tc>
      </w:tr>
      <w:tr>
        <w:trPr>
          <w:trHeight w:val="237"/>
        </w:trPr>
        <w:tc>
          <w:tcPr>
            <w:tcW w:w="20" w:type="dxa"/>
            <w:vAlign w:val="bottom"/>
          </w:tcPr>
          <w:p>
            <w:pPr>
              <w:spacing w:after="0"/>
              <w:rPr>
                <w:sz w:val="20"/>
                <w:szCs w:val="20"/>
                <w:color w:val="auto"/>
              </w:rPr>
            </w:pPr>
          </w:p>
        </w:tc>
        <w:tc>
          <w:tcPr>
            <w:tcW w:w="4280" w:type="dxa"/>
            <w:vAlign w:val="bottom"/>
            <w:gridSpan w:val="2"/>
          </w:tcPr>
          <w:p>
            <w:pPr>
              <w:ind w:left="24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15,922</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877,193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658,665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selected financial information in connection with the Company's collaboration agreements with Sanofi is as follows:</w:t>
      </w:r>
    </w:p>
    <w:p>
      <w:pPr>
        <w:spacing w:after="0" w:line="302" w:lineRule="exact"/>
        <w:rPr>
          <w:sz w:val="20"/>
          <w:szCs w:val="20"/>
          <w:color w:val="auto"/>
        </w:rPr>
      </w:pPr>
    </w:p>
    <w:tbl>
      <w:tblPr>
        <w:tblLayout w:type="fixed"/>
        <w:tblInd w:w="190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27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47,268</w:t>
            </w:r>
          </w:p>
        </w:tc>
      </w:tr>
      <w:tr>
        <w:trPr>
          <w:trHeight w:val="27"/>
        </w:trPr>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98,741</w:t>
            </w:r>
          </w:p>
        </w:tc>
      </w:tr>
      <w:tr>
        <w:trPr>
          <w:trHeight w:val="297"/>
        </w:trPr>
        <w:tc>
          <w:tcPr>
            <w:tcW w:w="2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59,274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40,647</w:t>
            </w:r>
          </w:p>
        </w:tc>
      </w:tr>
      <w:tr>
        <w:trPr>
          <w:trHeight w:val="27"/>
        </w:trPr>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520,000</w:t>
            </w:r>
          </w:p>
        </w:tc>
      </w:tr>
      <w:tr>
        <w:trPr>
          <w:trHeight w:val="459"/>
        </w:trPr>
        <w:tc>
          <w:tcPr>
            <w:tcW w:w="2780" w:type="dxa"/>
            <w:vAlign w:val="bottom"/>
          </w:tcPr>
          <w:p>
            <w:pPr>
              <w:spacing w:after="0"/>
              <w:rPr>
                <w:sz w:val="24"/>
                <w:szCs w:val="24"/>
                <w:color w:val="auto"/>
              </w:rPr>
            </w:pPr>
          </w:p>
        </w:tc>
        <w:tc>
          <w:tcPr>
            <w:tcW w:w="2520" w:type="dxa"/>
            <w:vAlign w:val="bottom"/>
            <w:gridSpan w:val="2"/>
          </w:tcPr>
          <w:p>
            <w:pPr>
              <w:jc w:val="right"/>
              <w:ind w:right="1300"/>
              <w:spacing w:after="0"/>
              <w:rPr>
                <w:sz w:val="20"/>
                <w:szCs w:val="20"/>
                <w:color w:val="auto"/>
              </w:rPr>
            </w:pPr>
            <w:r>
              <w:rPr>
                <w:rFonts w:ascii="Arial" w:cs="Arial" w:eastAsia="Arial" w:hAnsi="Arial"/>
                <w:sz w:val="18"/>
                <w:szCs w:val="18"/>
                <w:color w:val="auto"/>
              </w:rPr>
              <w:t>F- 17</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130" w:right="1440"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was governed by the companies' Discovery and Preclinical Development Agreement ("Antibody Discovery Agreement") and a License and Collaboration Agreement (each as amended). In connection with the execution of the Antibody Discovery Agreement in 2007, the Company received a non-refundable up-front payment of $85.0 million from Sanofi. In addition, under the Antibody Discovery Agreement, Sanofi funded the Company's research to identify and validate potential drug discovery targets and develop fully human monoclonal antibodies against these targets. Pursuant to the Antibody Discovery Agreement, as amended, Sanofi agreed to fund the Company's research activities up to $145.0 million in 2015, and up to $130.0 million in both 2016 and 2017. The Company's Antibody Discovery Agreement with Sanofi ended on December 31, 2017 without any extension and, therefore, funding from Sanofi under the Antibody Discovery Agreement ceased after 2017. The Company accelerated the recognition of deferred revenue from the $85.0 million up-front payment and other payments in connection with Sanofi's decision to end the Antibody Discovery Agreement between the Company and Sanofi on December 31, 2017. The Company has the right to develop or continue to develop product candidates discovered under the Antibody Discovery Agreement, with the exception of those that are being developed (and commercialized, as applicable) under the Antibody License and Collaboration Agreement, independently or with other collaborators.</w:t>
      </w:r>
    </w:p>
    <w:p>
      <w:pPr>
        <w:spacing w:after="0" w:line="2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Consequently, the Company recognized as research and development expense $91.8 million, $108.6 million, and $92.6 million in 2017, 2016, and 2015, respectively, its share of antibody development expenses that Sanofi incurred related to Praluent, Kevzara (sarilumab), and, commencing in 2016, Dupixent (dupilumab). If the Antibody Collaboration becomes profitable, Regeneron will be obligated to reimburse Sanofi for 50% of worldwide development expenses that were fully funded by Sanofi and 30% of Shared Phase 3 Trial Costs, in accordance with a defined formula based on the amounts of these expenses and the Company's share of collaboration profits from commercialization of collaboration products. However, the Company is only required to apply 10% of its share of the profits from the Antibody Collaboration in any calendar quarter to reimburse Sanofi for these development costs. The Company's contingent reimbursement obligation to Sanofi under the Antibody Collaboration was approximately $2,558 million as of December 31, 2017.</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Effective January 7, 2018, the Company and Sanofi entered into a letter agreement (the "Letter Agreement") in connection with, among other matters, the allocation of additional funds to certain activities relating to the development of dupilumab and REGN3500 and non-approval trials of dupilumab (collectively, the "Dupilumab/REGN3500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w:t>
      </w:r>
    </w:p>
    <w:p>
      <w:pPr>
        <w:spacing w:after="0" w:line="24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Regeneron is obligated to use commercially reasonable efforts to supply clinical requirements of each drug candidate under the Antibody Collaboration until commercial supplies of that drug candidate are being manufactured. Sanofi leads commercialization activities for products developed under the License and Collaboration Agreement, subject to the Company's right to co-promote such products. The Company has exercised its option to co-promote Praluent, Kevzara, and Dupixent in the United States and thus far has not exercised any of its options to co-promote Praluent, Kevzara, and Dupixent outside the United States.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 In addition to profit sharing, the Company is entitled to receive up to $250.0 million in sales milestone payments, with milestone payments commencing only if and after aggregate annual sales outside the United States exceed $1.0 billion on a rolling twelve-month basis.</w:t>
      </w:r>
    </w:p>
    <w:p>
      <w:pPr>
        <w:spacing w:after="0" w:line="22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"Reimbursement of Regeneron commercialization-related expenses" in the table above represents reimbursement of internal and external costs in connection with commercializing Praluent, Kevzara, and, effective in 2016, Dupixent. During the same periods that the Company recorded reimbursements from Sanofi related to the Company's commercialization expenses, the Company also recorded its share of losses in connection with the companies commercializing Praluent, Kevzara, and Dupixent within Sanofi collaboration revenue. In March 2017, the U.S. Food and Drug Administration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adult patients with moderately to severely active rheumatoid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30" w:right="2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arthritis, and in June 2017, the European Commission granted marketing authorization for Kevzara for the treatment of rheumatoid arthritis in adult patients.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 respect to each antibody product in development under the License and Collaboration Agreement, Sanofi or the Company may, by giving twelve months' notice, opt-out of further development and/or commercialization of the product, in which event the other party retains exclusive rights to continue the development and/or commercialization of the product. The License and Collaboration Agreement contains other termination provisions, including for material breach by the other party. Upon termination of the collaboration in its entirety, the Company's obligation to reimburse Sanofi for development costs out of any future profits from collaboration products will terminate.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the Company. Pursuant to the IO Discovery Agreement, the Company will spend up to $1,090.0 million ("IO Discovery Budget") to identify and validate potential immuno-oncology targets and develop therapeutic antibodies against such targets through clinical proof-of-concept. Sanofi will reimburse the Company for up to $825.0 million ("IO Discovery Funding") of these costs, subject to certain annual limits.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the Company is primarily responsible for the design and conduct of all research activities, including target identification and validation, antibody development, preclinical activities, toxicology studies, manufacture of preclinical and clinical supplies, filing of Investigational New Drug ("IND") Applications, and clinical development through proof-of-concept. The Company will reimburse Sanofi for half of the development costs they funded that are attributable to clinical development of antibody product candidates under the IO Discovery Agreement from Regeneron's share of future profits, if any, from commercialized IO Collaboration products to the extent they are sufficient for this purpose. However, the Company is only required to apply 10% of its share of the profits from IO Collaboration products in any calendar quarter towards reimbursing Sanofi for these development costs. The Company's contingent reimbursement obligation to Sanofi under the IO Collaboration was approximately $22 million as of December 31, 2017. With regard to product candidates for which proof-of-concept is established, Sanofi has the option to license rights to the product candidate pursuant to the IO License and Collaboration Agreement (as further described below). If Sanofi does not exercise its option to license rights to a product candidate, the Company will retain the exclusive right to develop and commercialize such product candidate and Sanofi will be entitled to receive a royalty on sales.</w:t>
      </w:r>
    </w:p>
    <w:p>
      <w:pPr>
        <w:spacing w:after="0" w:line="24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the Company. If Sanofi exercises its option to license rights to a product candidate thereunder, it will co-develop the drug candidate with the Company through product approval. Principal control of development of each product candidate that enters development under the IO License and Collaboration Agreement alternates between the Company and Sanofi on a candidate-by-candidate basis. Sanofi funds drug candidate development costs up front for the candidates for which it is the principal controlling party and the Company will reimburse half of the total development costs for all such candidates from its share of future IO Collaboration profits to the extent they are sufficient for this purpose, subject to the same 10% reimbursement provision described above. In addition, Sanofi and the Company share equally, on an ongoing basis, the development costs for the drug candidates for which the Company is the principal controlling party. The party having principal control over the development of a product candidate also leads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 The Company is obligated to use commercially reasonable efforts to supply clinical requirements of each drug candidate under the IO License and Collaboration Agreement until commercial supplies of that IO drug candidate are being manufactured.</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IO License and Collaboration Agreement, the parties are co-developing the Company’s antibody product candidate (cemiplimab) targeting the receptor known as programmed cell death protein 1 (PD-1). The parties share equally, on an ongoing basis, development expenses for cemiplimab up to a total of $1.640 billion, an increase of $990.0 million over the budget set forth in the original IO License and Collaboration Agreement. The cemiplimab development budget has been increased pursuant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130" w:right="23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the Letter Agreement. Pursuant to the Letter Agreement, the Company has agreed to allow Sanofi to satisfy in whole or in part its funding obligations with respect to cemiplimab development and Dupilumab/REGN3500 Eligible Investments by selling up to 1,400,000 shares of the Company's Common Stock directly or indirectly owned by Sanofi through September 30, 2020. If Sanofi desires to sell shares of the Company's Common Stock during the term of the Letter Agreement to satisfy a portion or all of its funding obligations for the cemiplimab development and/or Dupilumab/REGN3500 Eligible Investments, the Company may elect to purchase, in whole or in part, such shares from Sanofi. If the Company does not elect to purchase such shares, Sanofi may sell the applicable number of shares (subject to certain daily and quarterly limits) in one or more open-market transactions.</w:t>
      </w:r>
    </w:p>
    <w:p>
      <w:pPr>
        <w:spacing w:after="0" w:line="2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has principal control over the development of cemiplimab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global sales of certain licensed products targeting PD-1 (including cemiplimab),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At the inception of the IO Collaboration, the Company's significant deliverables consisted of (i) license to certain rights and intellectual property, (ii) providing research and development services, and (iii) manufacturing clinical supplies. The Company concluded that the license did not have standalone value, primarily due to the fact that such rights were not sold separately by the Company, nor could Sanofi receive any benefit from the license without the fulfillment of other ongoing obligations by the Company, including the clinical supply arrangement. Therefore, the deliverables were considered a single unit of accounting. Consequently, the $640.0 million in aggregate up-front payments made by Sanofi during 2015 in connection with the execution of the IO Collaboration has been recorded as deferred revenue, and is being recognized as revenue over the related performance period.</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September 2003, the Company entered into a collaboration agreement ("ZALTRAP Collaboration Agreement") with Aventis Pharmaceuticals Inc. (predecessor to Sanofi U.S.) to jointly develop and commercialize ZALTRAP. In February 2015, the Company and Sanofi entered into an amended and restated ZALTRAP agreement ("Amended ZALTRAP Agreement"), pursuant to which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 which percentage shall be from 15% to 30%, depending on the aggregate net sales of ZALTRAP in such calendar year.</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a result of entering into the Amended ZALTRAP Agreement, in the first quarter of 2015, the Company recognized $14.9 million of collaboration revenue, which was previously recorded as deferred revenue under the ZALTRAP Collaboration Agreement. In addition, during the years ended December 31, 2017, 2016 and 2015, the Company recorded $24.8 million, $26.2 million, and $38.8 million, respectively, in other revenue, primarily related to a percentage of net sales of ZALTRAP and manufacturing ZALTRAP commercial supplies for Sanofi.</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commercialization of EYLEA outside the United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802,298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649,232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466,667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EYLEA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69,466</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874,257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710,769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560,020</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Ang2 antibody and 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Reimbursement of development expenses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10,075</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10,393</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Ang2 antibody and PDGFR-beta antibody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20,468</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938,052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Deferred revenue in connection with the Company's collaboration agreements with Bayer is as follows:</w:t>
      </w:r>
    </w:p>
    <w:p>
      <w:pPr>
        <w:spacing w:after="0" w:line="302" w:lineRule="exact"/>
        <w:rPr>
          <w:sz w:val="20"/>
          <w:szCs w:val="20"/>
          <w:color w:val="auto"/>
        </w:rPr>
      </w:pPr>
    </w:p>
    <w:tbl>
      <w:tblPr>
        <w:tblLayout w:type="fixed"/>
        <w:tblInd w:w="190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62,373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Ang2 antibody</w:t>
            </w: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45,739</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October 2006, the Company entered into a license and collaboration agreement with Bayer for the global development and commercialization outside the United States of EYLEA. Under the terms of the agreement, Bayer made a non-refundable up-front payment to the Company of $75.0 million. The Company also received from Bayer a $20.0 million development milestone payment in 2007 (which, for the purpose of revenue recognition, was not considered substantive). The $75.0 million up-front payment and the $20.0 million milestone payment are being recognized as collaboration revenue over the related estimated performance period.</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All agreed-upon EYLEA development expenses incurred by the Company and Bayer, under a global development plan, are shared equally. The Company is also obligated to use commercially reasonable efforts to supply clinical and commercial bulk product of EYLEA. Bayer has the right to terminate the license and collaboration 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Bayer markets EYLEA outside the United States, where, for countries other than Japan, the companies share equally in profits and losses from sales of EYLEA. In Japan, the Company is entitled to receive a tiered percentage of between 33.5% and 40.0% of EYLEA net sales. Within the United States, the Company is responsible for commercialization of EYLEA and retains exclusive rights to all profits from such commercialization in the United States. The Company is obligated to reimburse Bayer out of its share of the collaboration profits (including the Company's percentage of sales of EYLEA in Japan)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$251 million as of December 31, 2017.</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F- 21</w:t>
      </w:r>
    </w:p>
    <w:p>
      <w:pPr>
        <w:sectPr>
          <w:pgSz w:w="11900" w:h="16838" w:orient="portrait"/>
          <w:cols w:equalWidth="0" w:num="1">
            <w:col w:w="11420"/>
          </w:cols>
          <w:pgMar w:left="240" w:top="130" w:right="239" w:bottom="1440" w:gutter="0" w:footer="0" w:header="0"/>
          <w:type w:val="continuous"/>
        </w:sectPr>
      </w:pPr>
    </w:p>
    <w:bookmarkStart w:id="121" w:name="page122"/>
    <w:bookmarkEnd w:id="1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2015, the Company earned, and recorded as revenue, the final sales milestone payment from Bayer, in the amount of $15.0 million, upon total aggregate net sales of specific commercial supplies of EYLEA outside the United States exceeding $200.0 million over a twelve-month period.</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periods when Bayer incurs agreed-upon EYLEA development expenses that benefit the collaboration and Regeneron, the Company recognizes, as additional research and development expense, the portion of Bayer's EYLEA development expenses that the Company is obligated to reimburse. In 2015, the Company recognized as research and development expense $13.7 million of EYLEA development expenses that the Company was obligated to reimburse to Bayer. Such expenses were not material in 2017 and 2016.</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outside the United States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March 2016, the Company entered into an agreement with Bayer governing the joint development and commercialization outside the United States of nesvacumab, an antibody product candidate to angiopoietin-2 (Ang2), including REGN910-3 (Ang2 in combination with aflibercept), for the treatment of ocular diseases or disorders. In connection with the agreement, Bayer made a $50.0 million non-refundable up-front payment to the Company and is obligated to pay 25% of global development costs and 50% of development costs exclusively for the territory outside the United States.</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At the inception of the agreement, the Company's significant deliverables consisted of (i) a license to certain rights and intellectual property, (ii) providing research and development services, and (iii) manufacturing clinical supplies. The Company concluded that the license did not have standalone value, as such right was not sold separately by the Company, nor could Bayer receive any benefit from the license without the fulfillment of other ongoing obligations by the Company, including the clinical supply arrangement. Therefore, the deliverables were considered a single unit of accounting. Consequently, the $50.0 million up-front payment was initially recorded as deferred revenue, and was being recognized as revenue over the related performance period.</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fourth quarter of 2017, the Company reported that results from two Phase 2 studies that added nesvacumab to EYLEA did not provide sufficient differentiation to warrant Phase 3 development. Therefore, during the fourth quarter of 2017, the Company recognized $37.4 million of revenue related to the acceleration of the recognition of deferred revenue from the up-front payment received from Bayer.</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January 2014, the Company entered into a license and collaboration agreement with Bayer governing the joint development and commercialization outside the United States of an antibody product candidate to Platelet Derived Growth Factor Receptor Beta (PDGFR-beta), including REGN2176-3, a combination product candidate comprised of an antibody to PDGFR-beta co-formulated with aflibercept. The agreement provided that the Company would conduct the initial development of the PDGFR-beta antibody through completion of the first proof-of-concept study, upon which Bayer would have a right to opt-in to license and collaborate on further development and commercialization outside the United States. In connection with the agreement, Bayer made a $25.5 million non-refundable up-front payment to the Company, and was obligated to pay 25% of global development costs and 50% of development costs exclusively for the territory outside the United States under the initial development plan.</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inception of the agreement until Bayer had the right to opt-in to the collaboration, the Company's sole significant deliverable was research and development services provided in accordance with the agreement. Therefore, the up-front payment was allocated to this deliverable, initially recorded as deferred revenue, and was recognized as revenue over the related performance period.</w:t>
      </w:r>
    </w:p>
    <w:p>
      <w:pPr>
        <w:spacing w:after="0" w:line="12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Effective in the first quarter of 2017, the Company discontinued clinical development of REGN2176-3, and on July 31, 2017, the Company and Bayer agreed to terminate this collaboration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2015, the Company and Mitsubishi Tanabe Pharma Corporation ("MTPC") entered into a collaboration agreement (the "MTPC Collaboration Agreement") providing MTPC with development and commercial rights to fasinumab, the Company's nerve growth factor antibody in late-stage clinical development, in certain Asian countries (the "MTPC Territories"). In connection with the agreement, MTPC made a $10.0 million non-refundable up-front payment. In 2016, MTPC made additional payments totaling $60.0 million to the Company, which were recorded as deferred revenue and are being recognized as revenue over the same performance period as the up-front payment.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2017, the Company earned, and recognized as a substantive milestone, a $30.0 million development milestone from MTPC upon initiation of a Phase 3 trial. In addition, in 2017, MTPC made additional payments totaling $25.0 million related to development milestones achieved by MTPC, which were recorded as deferred revenue and are being recognized as revenue over the same performance period as the up-front payment. The Company is entitled to receive up to an aggregate of $20.0 million in development milestones if achieved by the Company and $80.0 million in other contingent payments, primarily related to development milestones achieved by MTPC.</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MTPC Collaboration Agreement, the Company is obligated to manufacture and supply MTPC with clinical and commercial supplies of fasinumab. If fasinumab is commercialized in the MTPC Territories, the Company will supply the product to MTPC at a tiered purchase price, which ranges from 30% to 50% of net sales of the product (subject to adjustment in certain circumstances), and is eligible for additional payments up to an aggregate of $100.0 million upon the achievement of specified annual net sales amounts starting at $200.0 million. Unless terminated earlier in accordance with its provisions, the MTPC Collaboration Agreement will continue to be in effect until such time as MTPC has ceased developing or commercializing fasinumab in the MTPC Territories.</w:t>
      </w:r>
    </w:p>
    <w:p>
      <w:pPr>
        <w:spacing w:after="0" w:line="24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At the inception of the MTPC Collaboration Agreement, the Company's significant deliverables consisted of (i) exclusive rights to develop and commercialize fasinumab in the MTPC Territories, and (ii) manufacturing clinical supplies. The Company concluded that the license did not have standalone value, as such right was not sold separately by the Company, nor could MTPC receive any benefit from the license without the manufacturing services to be rendered by the Company. Therefore, the deliverables were considered a single unit of accounting. Consequently, the $10.0 million up-front payment was initially recorded as deferred revenue, and is being recognized as revenue over the related performance period.</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recognized $40.6 million and $14.4 million of revenue in 2017 and 2016, respectively, in connection with the MTPC Collaboration Agreement. Revenue recognized in connection with this agreement was not material in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Teva</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2016, the Company and Teva entered into a collaboration agreement (the "Teva Collaboration Agreement") to develop and commercialize fasinumab globally, excluding the MTPC Territories (as described above). In connection with the Teva Collaboration Agreement, Teva made a $250.0 million non-refundable up-front payment in September 2016. The Company leads global development activities, and the parties share development costs equally, on an ongoing basis, under a global development plan.</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2017, the Company earned, and recognized as substantive milestones, development milestones of $25.0 million and $35.0 million, respectively, from Teva upon initiation of two Phase 3 trials. In addition, the Company is entitled to receive up to an aggregate of $400.0 million in development milestones and up to an aggregate of $1,890.0 million in contingent payments upon achievement of specified annual net sales amounts. The Company is responsible for the manufacture and supply of fasinumab globally.</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 Unless terminated earlier in accordance with its provisions, the Teva Collaboration Agreement will continue to be in effect until such time as neither party is developing or commercializing fasinumab.</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the inception of the Teva Collaboration Agreement, the Company's significant deliverables consisted of (i) a license to certain rights and intellectual property, (ii) providing research and development services, and (iii) manufacturing clinical supplies. The Company concluded that the license did not have standalone value, primarily due to the fact that such rights were not sold separately by the Company, nor could Teva receive any benefit from the license without the fulfillment of the other ongoing obligations by the Company, including the clinical supply arrangement. Therefore, the deliverables were considered a single unit of accounting. Consequently, the $250.0 million up-front payment was initially recorded as deferred revenue, and is being recognized as revenue over the related performance period.</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recognized $221.5 million and $37.9 million of revenue in 2017 and 2016, respectively, in connection with the Teva Collaboration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130" w:right="23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Intellia Therapeutics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April 2016, the Company entered into a license and collaboration agreement with Intellia Therapeutics, Inc. to advance CRISPR/Cas gene-editing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development. The Company collaborates with Intellia to conduct research for the discovery, development, and commercialization of new therapies, in addition to the research and technology development of the CRISPR/Cas platform. In connection with the execution of the agreement, the Company made a $75.0 million up-front payment, which was recorded as research and development expense in the second quarter of 2016. In May 2016, Intellia completed an initial public offering ("IPO") of its common stock; as part of a concurrent private placement, the Company purchased $50.0 million of Intellia common stock (see Note 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Adicet Bio</w:t>
      </w:r>
    </w:p>
    <w:p>
      <w:pPr>
        <w:spacing w:after="0" w:line="14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July 2016, the Company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 tumor cells. In connection with the execution of the agreement, the Company made a $25.0 million up-front payment to Adicet, which was recorded as research and development expense in the third quarter of 2016, and is obligated to provide Adicet with research funding over the course of a five-year research term.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Decibel Therapeutics</w:t>
      </w:r>
    </w:p>
    <w:p>
      <w:pPr>
        <w:spacing w:after="0" w:line="14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November 2017, the Company entered into an agreement with Decibel Therapeutics, Inc., a privately held company, to discover and develop new potential therapeutics to protect, repair, and restore hearing. In connection with the execution of the agreement, the Company made a $25.0 million up-front payment to Decibel, which was recorded as research and development expense in the fourth quarter of 2017. Simultaneous with the execution of the agreement, the Company also purchased an aggregate of $25.0 million of Decibel preferred stock, which was recorded within other assets (non-current) as of December 31, 2017.</w:t>
      </w:r>
    </w:p>
    <w:p>
      <w:pPr>
        <w:spacing w:after="0" w:line="148"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Under the terms of the agreement, Decibel will lead development and commercialization activities and retains worldwide development and commercialization rights to any products developed under the agreement. The parties will equally share Decibel's development costs for products developed under the agreement, provided that the Company has the option to elect to cease funding the development of products at pre-determined development periods, and the Company may be required to pay additional amounts based upon potential development milestones achieved. The Company is entitled to tiered royalties on any future net sales of products developed and commercialized under the agreement.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Astellas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6"/>
          <w:szCs w:val="16"/>
          <w:color w:val="auto"/>
        </w:rPr>
        <w:t xml:space="preserve">In March 2007, the Company entered into a six-year, non-exclusive license agreement with Astellas Pharma Inc. to allow Astellas to utilize the Company's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In July 2010, the license agreement with Astellas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and extended through June 2023. Under the terms of the amended agreement, Astellas made a $165.0 million up-front payment to the Company in 2010, which was deferred upon receipt and is being recognized as revenue ratably over a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 digit royalty on any future sales of antibody products discovered by Astellas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Other</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to the collaboration agreements discussed above, the Company has various other collaboration agreements that are not individually, or in the aggregate, significant to its operating results or financial condition at this time. Pursuant to the terms of those agreements, the Company may be required to pay, or it may receive, additional amounts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130"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may receive, royalties on future sales. The payment or receipt of these amounts, however, is contingent upon the occurrence of various future events.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Marketable securities as of December 31, 2017 and 2016 consist of both debt securities of investment grade issuers as well as equity securities of publicly traded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1,712,480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186,699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62,785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2,083,463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2,083,341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1,072,851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63,075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1,380,487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classifies its debt security investments based on their contractual maturity dates. The debt securities listed as of December 31, 2017 mature at various dates through October 2022. The fair values of debt security investments by contractual maturity consist of the following:</w:t>
      </w:r>
    </w:p>
    <w:p>
      <w:pPr>
        <w:spacing w:after="0" w:line="359"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3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503,481</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w w:val="98"/>
              </w:rPr>
              <w:t>Maturities after one year through five years</w:t>
            </w: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1,426,773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815,041</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2,020,556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1,318,522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400" w:type="dxa"/>
            <w:vAlign w:val="bottom"/>
          </w:tcPr>
          <w:p>
            <w:pPr>
              <w:spacing w:after="0"/>
              <w:rPr>
                <w:sz w:val="24"/>
                <w:szCs w:val="24"/>
                <w:color w:val="auto"/>
              </w:rPr>
            </w:pPr>
          </w:p>
        </w:tc>
        <w:tc>
          <w:tcPr>
            <w:tcW w:w="1980" w:type="dxa"/>
            <w:vAlign w:val="bottom"/>
            <w:gridSpan w:val="2"/>
          </w:tcPr>
          <w:p>
            <w:pPr>
              <w:jc w:val="right"/>
              <w:ind w:right="1340"/>
              <w:spacing w:after="0"/>
              <w:rPr>
                <w:sz w:val="20"/>
                <w:szCs w:val="20"/>
                <w:color w:val="auto"/>
              </w:rPr>
            </w:pPr>
            <w:r>
              <w:rPr>
                <w:rFonts w:ascii="Arial" w:cs="Arial" w:eastAsia="Arial" w:hAnsi="Arial"/>
                <w:sz w:val="18"/>
                <w:szCs w:val="18"/>
                <w:color w:val="auto"/>
              </w:rPr>
              <w:t>F- 25</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178,453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1,044,084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326,676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81,170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(13,583)</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883,950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year ended December 31, 2016, the Company recorded an other-than-temporary impairment charge of $9.8 million related to its investment in an equity security. There were no other-than-temporary impairment charges recorded on the Company's investments during 2017 or 2015. During the year ended December 31, 2017, the Company recorded realized gains of $8.3 million and realized losses were not material. Realized gains and losses on sales of marketable securities were not material for the years ended December 31, 2016 and 2015.</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marketable securities, for the years ended December 31, 2017, 2016, and 2015, amounts reclassified from accumulated other comprehensive income (loss) into other income (expense), net were related to the 2016 impairment charge on the equity security and realized gains and losses on sales described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130" w:right="2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2017</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1,712,480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1,712,480</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185,492</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4,587</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106,973</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11,024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2,083,341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2,020,556</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1,367,741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1,318,522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in 2017, 2016, and 2015.</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There were no purchases, sales, or maturities of Level 3 marketable securities and no unrealized gains or losses related to Level 3 marketable securities for the years ended December 31, 2017 and 2016. During 2016, transfers of marketable securities from Level 2 to Level 1 were $44.1 million in connection with the lapse of transfer restrictions in November 2016 on the Company's investment in Intellia common shares (see Note 3).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years ended December 31, 2017 and 2016.</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fair value of interest rate swap and interest rate cap contracts, which were recorded within other assets (non-current), was not material as of December 31, 2017 (see Note 6). The fair value of these contracts was determined based on Level 2 inputs, using significant inputs that are observable either directly or indirectly, including London Interbank Offered Rate ("LIBOR") and interest rate swap rates.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F- 27</w:t>
      </w:r>
    </w:p>
    <w:p>
      <w:pPr>
        <w:sectPr>
          <w:pgSz w:w="11900" w:h="16838" w:orient="portrait"/>
          <w:cols w:equalWidth="0" w:num="1">
            <w:col w:w="11420"/>
          </w:cols>
          <w:pgMar w:left="240" w:top="130" w:right="239" w:bottom="1440" w:gutter="0" w:footer="0" w:header="0"/>
          <w:type w:val="continuous"/>
        </w:sectPr>
      </w:pPr>
    </w:p>
    <w:bookmarkStart w:id="127" w:name="page128"/>
    <w:bookmarkEnd w:id="1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is exposed to market fluctuations in interest rates, including those in connection with its March 2017 lease agreement (see Note 12). During 2017, the Company entered into interest rate swap and interest rate cap agreements to manage a portion of such interest rate risk. All of the Company’s derivative instruments are utilized for risk management purposes, and are not used for trading or speculative purposes.</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derivative instruments are designated as cash flow hedges for accounting purposes. Since the specific terms of the derivative instruments match those of the item being hedged, the derivative instruments are deemed to be highly effective in offsetting the changes in cash flows of the hedged item. As such, changes in the fair value of these derivatives are recorded in accumulated other comprehensive income (loss) until the underlying transaction affects earnings, and are then reclassified to earnings in the same account as the hedged transaction. The Company would record any gain or loss related to the ineffectiveness directly to earnings.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assesses, both at inception and on an ongoing basis, whether derivatives used continue to be highly effective in offsetting changes in cash flows of the hedged items. The Company does not exclude any portion of the cash flow hedge contracts from the assessment of hedge effectiveness. If and when a derivative is no longer expected to be highly effective, hedge accounting is discontinued.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notional amounts of the Company's outstanding interest rate swap and cap agreements as of December 31, 2017:</w:t>
      </w:r>
    </w:p>
    <w:p>
      <w:pPr>
        <w:spacing w:after="0" w:line="200" w:lineRule="exact"/>
        <w:rPr>
          <w:sz w:val="20"/>
          <w:szCs w:val="20"/>
          <w:color w:val="auto"/>
        </w:rPr>
      </w:pPr>
    </w:p>
    <w:p>
      <w:pPr>
        <w:spacing w:after="0" w:line="260"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Notional Amount</w:t>
            </w:r>
          </w:p>
        </w:tc>
      </w:tr>
      <w:tr>
        <w:trPr>
          <w:trHeight w:val="27"/>
        </w:trPr>
        <w:tc>
          <w:tcPr>
            <w:tcW w:w="2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75,000</w:t>
            </w:r>
          </w:p>
        </w:tc>
      </w:tr>
    </w:tbl>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it relates to cash flow hedges, for the year ended December 31, 2017, amounts of gains and losses recognized in other comprehensive income (loss), and amounts reclassified from accumulated other comprehensive income (loss) into interest expense were not material. As of December 31, 2017, the amounts expected to be reclassified out of accumulated other comprehensive income into interest expense over the next 12 months are not expected to be material. For the year ended December 31, 2017, there were no gains or losses recorded related to the ineffective portion of the derivative instruments.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00" w:type="dxa"/>
            <w:vAlign w:val="bottom"/>
          </w:tcPr>
          <w:p>
            <w:pPr>
              <w:spacing w:after="0"/>
              <w:rPr>
                <w:sz w:val="24"/>
                <w:szCs w:val="24"/>
                <w:color w:val="auto"/>
              </w:rPr>
            </w:pP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302,042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202,301</w:t>
            </w: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212,260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91,434</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726,138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399,356</w:t>
            </w:r>
          </w:p>
        </w:tc>
      </w:tr>
      <w:tr>
        <w:trPr>
          <w:trHeight w:val="20"/>
        </w:trPr>
        <w:tc>
          <w:tcPr>
            <w:tcW w:w="23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(see Note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8. Property, Plant, and Equipment</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consists of the following:</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192,757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103,906</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1,441,565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1,278,283</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102,599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101,101</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408,857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318,929</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and other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599,153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554,181</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97"/>
              </w:rPr>
              <w:t>Furniture, computer and office equipment,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and other</w:t>
            </w:r>
          </w:p>
        </w:tc>
        <w:tc>
          <w:tcPr>
            <w:tcW w:w="4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179,968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152,525</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2,924,899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2,508,925</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Less, accumulated depreciation and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(566,294)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(425,504)</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2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2,358,605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2,083,421</w:t>
            </w:r>
          </w:p>
        </w:tc>
      </w:tr>
      <w:tr>
        <w:trPr>
          <w:trHeight w:val="20"/>
        </w:trPr>
        <w:tc>
          <w:tcPr>
            <w:tcW w:w="22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2017 and 2016, $1,692.9 million and $1,441.2 million, respectively, of the Company's net property, plant, and equipment was located in the United States and $665.7 million and $642.2 million, respectively, was located in Europe (primarily in Ireland).</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Depreciation and amortization expense (including amortization expense related to capital and facility leases) on property, plant, and equipment amounted to $142.2 million, $104.7 million, and $74.9 million for the years ended December 31, 2017, 2016, and 2015, respectively.</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Property, plant, and equipment, at cost, as of December 31, 2017 and 2016 included $724.1 million and $407.1 million, respectively, of leased property under the Company's capital and facility leases at its Tarrytown, New York facility. See Note 12. Accumulated amortization related to these assets amounted to $47.9 million and $44.0 million as of December 31, 2017 and 2016,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9. Accounts Payable and Accrued Expenses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550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2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24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134,984</w:t>
            </w:r>
          </w:p>
        </w:tc>
      </w:tr>
      <w:tr>
        <w:trPr>
          <w:trHeight w:val="243"/>
        </w:trPr>
        <w:tc>
          <w:tcPr>
            <w:tcW w:w="242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153,086</w:t>
            </w:r>
          </w:p>
        </w:tc>
      </w:tr>
      <w:tr>
        <w:trPr>
          <w:trHeight w:val="27"/>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91,753</w:t>
            </w:r>
          </w:p>
        </w:tc>
      </w:tr>
      <w:tr>
        <w:trPr>
          <w:trHeight w:val="229"/>
        </w:trPr>
        <w:tc>
          <w:tcPr>
            <w:tcW w:w="24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88"/>
              </w:rPr>
              <w:t>Accrued sales-related charges, deductions,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194,542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159,985</w:t>
            </w:r>
          </w:p>
        </w:tc>
      </w:tr>
      <w:tr>
        <w:trPr>
          <w:trHeight w:val="27"/>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235,776</w:t>
            </w:r>
          </w:p>
        </w:tc>
      </w:tr>
      <w:tr>
        <w:trPr>
          <w:trHeight w:val="243"/>
        </w:trPr>
        <w:tc>
          <w:tcPr>
            <w:tcW w:w="242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9"/>
              </w:rPr>
              <w:t>Other accrued expenses and liabilities</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103,512</w:t>
            </w:r>
          </w:p>
        </w:tc>
      </w:tr>
      <w:tr>
        <w:trPr>
          <w:trHeight w:val="27"/>
        </w:trPr>
        <w:tc>
          <w:tcPr>
            <w:tcW w:w="24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879,096</w:t>
            </w:r>
          </w:p>
        </w:tc>
      </w:tr>
      <w:tr>
        <w:trPr>
          <w:trHeight w:val="20"/>
        </w:trPr>
        <w:tc>
          <w:tcPr>
            <w:tcW w:w="24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2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F- 29</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10. Deferred Revenue</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Deferred revenue consists of the following: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48"/>
        </w:trPr>
        <w:tc>
          <w:tcPr>
            <w:tcW w:w="1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1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3a)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177,746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115,267</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(see Note 3b)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31,084</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MTPC (see Note 3c)</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9,188</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Teva (see Note 3d)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43,122</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3h)</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9,431</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320,138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231,664</w:t>
            </w:r>
          </w:p>
        </w:tc>
      </w:tr>
      <w:tr>
        <w:trPr>
          <w:trHeight w:val="67"/>
        </w:trPr>
        <w:tc>
          <w:tcPr>
            <w:tcW w:w="1180" w:type="dxa"/>
            <w:vAlign w:val="bottom"/>
          </w:tcPr>
          <w:p>
            <w:pPr>
              <w:spacing w:after="0"/>
              <w:rPr>
                <w:sz w:val="5"/>
                <w:szCs w:val="5"/>
                <w:color w:val="auto"/>
              </w:rPr>
            </w:pPr>
          </w:p>
        </w:tc>
        <w:tc>
          <w:tcPr>
            <w:tcW w:w="5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118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3a)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379,936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503,474</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(see Note 3b)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77,028</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MTPC (see Note 3c)</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45,940</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Teva (see Note 3d)</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194,050</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3h)</w:t>
            </w:r>
          </w:p>
        </w:tc>
        <w:tc>
          <w:tcPr>
            <w:tcW w:w="3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10,280</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629,199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830,772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October 2011, the Company issued $400.0 million aggregate principal amount of 1.875% convertible senior notes (the "Notes") in a private placement, and the Notes matured on October 1, 2016. The Notes were convertible, subject to certain conditions, into cash, shares of the Company's Common Stock, or a combination of cash and shares of Common Stock, at the Company's option. The Notes initial conversion price was $84.02 per share. In connection with the offering of the Notes, the Company entered into convertible note hedge ("call option") and warrant transactions with multiple counterparties, including an affiliate of the initial purchaser of the Notes. The convertible note hedge covered, subject to customary anti-dilution adjustments, the number of shares of the Company's Common Stock that initially underlie the Notes, and were intended to reduce the potential dilutive impact of the conversion feature of the Notes.</w:t>
      </w:r>
    </w:p>
    <w:p>
      <w:pPr>
        <w:spacing w:after="0" w:line="21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During 2015, the Company settled conversion obligations for $166.5 million principal amount of the Company's Notes that was previously surrendered for conversion, and consequently paid $166.5 million in cash and issued 1,625,113 shares of Common Stock. In addition, in 2015, the Company allocated $819.7 million of the settlement consideration provided to the Note holders to the reacquisition of the equity component of the Notes, and recognized such amount as a reduction of stockholders' equity. In 2015, the Company also recognized an $18.9 million loss on the debt extinguishment. In connection with the Note conversions in 2015, the Company also exercised a proportionate amount of its convertible note hedges, for which the Company received 1,625,088 shares of Common Stock, which was approximately equal to the number of shares the Company was required to issue to settle the non-cash portion of the related Note conversions. The Company recorded the cost of the shares received, or $136.5 million, as Treasury Stock during 2015.</w:t>
      </w:r>
    </w:p>
    <w:p>
      <w:pPr>
        <w:spacing w:after="0" w:line="2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2016, the Company settled conversion obligations for $12.9 million principal amount of the Company's Notes. Consequently, in 2016, the Company paid $12.9 million in cash and issued 121,058 shares of Common Stock. In addition, the Company allocated $47.8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2016 was not material. As a result of these Note</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F- 30</w:t>
      </w:r>
    </w:p>
    <w:p>
      <w:pPr>
        <w:sectPr>
          <w:pgSz w:w="11900" w:h="16838" w:orient="portrait"/>
          <w:cols w:equalWidth="0" w:num="1">
            <w:col w:w="11420"/>
          </w:cols>
          <w:pgMar w:left="240" w:top="130" w:right="239" w:bottom="1440" w:gutter="0" w:footer="0" w:header="0"/>
          <w:type w:val="continuous"/>
        </w:sectPr>
      </w:pPr>
    </w:p>
    <w:bookmarkStart w:id="130" w:name="page131"/>
    <w:bookmarkEnd w:id="1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conversions, the Company also exercised a proportionate amount of its convertible note hedges during 2016, for which the Company received 121,048 shares of Common Stock, which was approximately equal to the number of shares the Company was required to issue to settle the non-cash portion of the related Note conversions. The Company recorded the cost of the shares received, or $10.2 million, as Treasury Stock during 2016.</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interest expense associated with the Notes, net of capitalized interest as applicable, was not material in 2016 and 2015.</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November 2015, the Company entered into an amendment agreement with a warrant holder whereby the parties agreed to reduce a portion of the number of warrants held by the warrant holder. The Company was able to settle, at its option, any payments due under the amendment agreement in cash or by delivering shares of Common Stock. As a result of the warrant holder closing out a portion of its hedge position prior to December 31, 2015, the Company paid a total of $50.0 million in 2015 to reduce the number of warrants it held by 115,970. Additionally, during January 2016, the warrant holder closed out additional portions of its hedge position, and, as a result, the Company paid a total of $135.3 million in the first quarter of 2016 to further reduce the number of warrants held by such warrant holder by 360,406.</w:t>
      </w:r>
    </w:p>
    <w:p>
      <w:pPr>
        <w:spacing w:after="0" w:line="24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addition to the warrant transactions described above, during 2015, the Company entered into other agreements to reduce the number of warrants held by warrant holders. The Company was able to settle, at its option, any payments due under the amendment agreement in cash or by delivering shares of Common Stock. Pursuant to the agreements, the Company paid an aggregate amount of $399.5 million to the warrant holders during 2015 to reduce the number of shares of Common Stock issuable upon exercise of the warrant by 898,547 in the aggregate.</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February 2016, the Company entered into an amendment agreement with a warrant holder whereby the parties agreed to reduce a portion of the number of warrants held by the warrant holder. The Company was able to settle, at its option, any payments due under the amendment agreement in cash or by delivering shares of Common Stock. As a result of the warrant holder closing out a portion of its hedge position during 2016, the Company paid a total of $106.9 million to reduce the number of warrants held by such warrant holder by 403,665.</w:t>
      </w:r>
    </w:p>
    <w:p>
      <w:pPr>
        <w:spacing w:after="0" w:line="10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November 2016, the Company and warrant holders entered into warrant termination agreements whereby the parties agreed to cancel the remaining warrants held by the warrant holders and to terminate the respective warrant agreements in consideration for payments by the Company of $401.2 million in the aggregate. The Company made the termination payments in the fourth quarter of 2016, and, as a result, no warrants remained outstanding as of December 31,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2015, the Company entered into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the Company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w:t>
      </w:r>
    </w:p>
    <w:p>
      <w:pPr>
        <w:spacing w:after="0" w:line="25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Any loans under the Credit Facility have a variable interest rate based on either LIBOR or an alternate base rate, plus an applicable margin that varies with the Company's debt rating and total leverage ratio. The Company had no borrowings outstanding under the Credit Facility as of December 31, 2017.</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The Company was in compliance with all covenants of the Credit Facility as of December 31,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20"/>
          </w:cols>
          <w:pgMar w:left="240" w:top="130" w:right="23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 Leases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leases laboratory and office facilities in Tarrytown, New York (the "Tarrytown Leases"). Prior to December 30, 2016, certain of the premises under the Tarrytown Leases had been accounted for as operating leases, while for certain other buildings the Company leased, the Company was deemed, in substance, to be the owner of the landlord's buildings (collectively, the "Build-to-Suit Buildings") in accordance with the application of FASB authoritative guidance. On December 30, 2016, the Company entered into a Purchase Agreement with BMR-Landmark at Eastview LLC and BMR-Landmark at Eastview IV LLC (collectively, "BMR"), pursuant to which the Company agreed to purchase BMR's Tarrytown, New York facilities (the "Facility") for a purchase price of $720.0 million. The Company occupies a significant portion of the Facility, with the remaining rentable area under leases to third-party tenants. In accordance with the terms of the Purchase Agreement, the Company paid $57.0 million toward the purchase price to BMR in December 2016.</w:t>
      </w:r>
    </w:p>
    <w:p>
      <w:pPr>
        <w:spacing w:after="0" w:line="2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Upon entering into the December 30, 2016 Purchase Agreement with BMR, the premises under the Company's Tarrytown Leases that were historically accounted for as operating leases were deemed to be modified, as the Company now had the option to purchase the Facility under terms that made it reasonably assured to be exercised. Consequently, the leases for such premises were re-classified as a capital lease upon execution of the Purchase Agreement, and a proportionate amount of the $57.0 million payment was recorded as reduction of the initial capital lease liability. The execution of the Purchase Agreement did not impact the balance sheet classification for the Build-to-Suit Buildings; however, a proportionate amount of the $57.0 million payment was recorded as a reduction to the related facility lease obligation.</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3, 2017, the Company also entered into a Participation Agreement with Banc of America Leasing &amp; Capital LLC ("BAL"), as lessor, and a syndicate of lenders (collectively, the "Participants"). The Participation Agreement provided for lease financing in connection with the acquisition by BAL of the Facility and the Company's lease of the Facility from BAL. On March 3, 2017, the right to take title to the Facility under the Purchase Agreement was assigned by the Company to BAL, and the Participants advanced $720.0 million, which was used by BAL to finance the purchase price for the Facility and to reimburse the Company for the $57.0 million payment made to BMR in December 2016. The $57.0 million reimbursement was recorded by the Company in March 2017 as an increase to capital and facility lease obligations in amounts equal to those initially recorded as reductions upon making such payment to BMR in December 2016.</w:t>
      </w:r>
    </w:p>
    <w:p>
      <w:pPr>
        <w:spacing w:after="0" w:line="24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March 3, 2017, the Company entered into a lease agreement (the "Lease") with BAL, pursuant to which the Company has leased the Facility from BAL for a five-year term. As a result of entering into the Lease, certain parts of the Facility became subleased from the Company by existing third-party tenants. The Lease requires the Company to pay all maintenance, insurance, taxes, and other costs arising out of the use of the Facility. The Company is also required to make monthly payments of basic rent during the term of the Lease in an amount equal to a variable rate per annum based on the one-month LIBOR, plus an applicable margin that varies with the Company’s debt rating and total leverage ratio.</w:t>
      </w:r>
    </w:p>
    <w:p>
      <w:pPr>
        <w:spacing w:after="0" w:line="22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Participation Agreement and the Lease include an option for the Company to elect to extend the maturity date of the Participation Agreement and the term of the Lease for an additional five-year period, subject to the consent of all the Participants and certain other conditions. The Company also has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1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As a result of entering into the Lease, the premises that were classified as a capital lease as of December 31, 2016 were reassessed. As described above, the Company has the option to purchase the Facility, and as a result, the Company is deemed to have continuing involvement in such premises. Accordingly, these premises continue to be classified as a capital lease, with the related property, plant, and equipment and capital lease liability remaining on the Company's Consolidated Balance Sheet. In addition, as described above, upon entering into the Lease, the Company began to lease space occupied by third-party tenants. The lease of such premises is also classified as a capital lease. The execution of the Lease did not impact the balance sheet classification for the Build-to-Suit Buildings. However, in 2017, the Company recorded a $30.1 million loss on extinguishment of debt associated with the Build-to-Suit Buildings. In the aggregate, the Company recorded $720.0 million of capital and facility lease obligations upon execution of the Lease for the Facility.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130" w:right="23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the Company's credit facility (see Note 11). The Company was in compliance with all covenants of the Participation Agreement and the Lease as of December 31, 2017.</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Commitments under Operating Leases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lease commitments under operating leases, as of December 31, 2017, are as follows:</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43"/>
        </w:trPr>
        <w:tc>
          <w:tcPr>
            <w:tcW w:w="5120" w:type="dxa"/>
            <w:vAlign w:val="bottom"/>
            <w:gridSpan w:val="2"/>
          </w:tcPr>
          <w:p>
            <w:pPr>
              <w:ind w:left="180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43"/>
        </w:trPr>
        <w:tc>
          <w:tcPr>
            <w:tcW w:w="5120" w:type="dxa"/>
            <w:vAlign w:val="bottom"/>
            <w:gridSpan w:val="2"/>
          </w:tcPr>
          <w:p>
            <w:pPr>
              <w:ind w:left="180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3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Year Ended December 31,</w:t>
            </w: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16,713</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w:t>
            </w:r>
          </w:p>
        </w:tc>
      </w:tr>
      <w:tr>
        <w:trPr>
          <w:trHeight w:val="27"/>
        </w:trPr>
        <w:tc>
          <w:tcPr>
            <w:tcW w:w="3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and Facility Lease Obligations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2017, 2016, and 2015, the Company recognized $19.5 million, $5.4 million, and $9.7 million, respectively, of interest expense in connection with the Company's capital and facility lease obligations.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2017, the estimated future minimum noncancelable commitments under the Company's capital and facility lease obligations, excluding the purchase price the Company would be obligated to pay if the Company were to exercise its option to purchase the Facility (as described above), are as follows:</w:t>
      </w:r>
    </w:p>
    <w:p>
      <w:pPr>
        <w:spacing w:after="0" w:line="25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Capital and Facility Lease</w:t>
            </w:r>
          </w:p>
        </w:tc>
      </w:tr>
      <w:tr>
        <w:trPr>
          <w:trHeight w:val="234"/>
        </w:trPr>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Obligations</w:t>
            </w:r>
          </w:p>
        </w:tc>
      </w:tr>
      <w:tr>
        <w:trPr>
          <w:trHeight w:val="27"/>
        </w:trPr>
        <w:tc>
          <w:tcPr>
            <w:tcW w:w="14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6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21,085</w:t>
            </w:r>
          </w:p>
        </w:tc>
      </w:tr>
      <w:tr>
        <w:trPr>
          <w:trHeight w:val="243"/>
        </w:trPr>
        <w:tc>
          <w:tcPr>
            <w:tcW w:w="1420" w:type="dxa"/>
            <w:vAlign w:val="bottom"/>
          </w:tcPr>
          <w:p>
            <w:pPr>
              <w:ind w:left="20"/>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23,838</w:t>
            </w:r>
          </w:p>
        </w:tc>
      </w:tr>
      <w:tr>
        <w:trPr>
          <w:trHeight w:val="27"/>
        </w:trPr>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26,257</w:t>
            </w:r>
          </w:p>
        </w:tc>
      </w:tr>
      <w:tr>
        <w:trPr>
          <w:trHeight w:val="243"/>
        </w:trPr>
        <w:tc>
          <w:tcPr>
            <w:tcW w:w="1420" w:type="dxa"/>
            <w:vAlign w:val="bottom"/>
          </w:tcPr>
          <w:p>
            <w:pPr>
              <w:ind w:left="20"/>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27,650</w:t>
            </w:r>
          </w:p>
        </w:tc>
      </w:tr>
      <w:tr>
        <w:trPr>
          <w:trHeight w:val="27"/>
        </w:trPr>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43"/>
        </w:trPr>
        <w:tc>
          <w:tcPr>
            <w:tcW w:w="1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1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105,667</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1420" w:type="dxa"/>
            <w:vAlign w:val="bottom"/>
          </w:tcPr>
          <w:p>
            <w:pPr>
              <w:spacing w:after="0"/>
              <w:rPr>
                <w:sz w:val="24"/>
                <w:szCs w:val="24"/>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F- 33</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other companies, universities, and other organizations.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upon the achievement of various development and commercial milestones, contingent upon the occurrence of various future events. Additionally, some of the agreements contain provisions which require the Company to pay royalties, as defined, at rates that range from 0.5% to 15.0%, in the event the Company sells or licenses any proprietary products developed under the respective agreements. The Company also has contingent reimbursement obligations to its collaborators Sanofi and Bayer once the applicable collaboration becomes profitable. See Note 3.</w:t>
      </w:r>
    </w:p>
    <w:p>
      <w:pPr>
        <w:spacing w:after="0" w:line="22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and Genentech, a member of the Roche Group, entered into a Non-Exclusive License and Partial Settlement Agreement, as amended (the "Genentech Agreement"), that covered making, using, and selling EYLEA for the prevention of human eye diseases and disorders, and ended the litigation relating to those matters. Pursuant to the Genentech Agreement, the Company received a non-exclusive license to certain patents relating to VEGF receptor proteins, known as the Davis-Smyth patents, and other technology patents. The Genentech Agreement obligated the Company to make payments to Genentech based on worldwide sales of EYLEA through May 7, 2016, when the licenses granted to the Company thereunder became fully paid up and royalty free for the duration of the remaining term of the underlying patents. All payments to Genentech under the Genentech Agreement were made by the Company, and Bayer shared in all such payments based on the proportion of EYLEA sales outside the United States to worldwide EYLEA sales.</w:t>
      </w:r>
    </w:p>
    <w:p>
      <w:pPr>
        <w:spacing w:after="0" w:line="221"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For the years ended December 31, 2017, 2016, and 2015, the Company recorded royalty expense of $30.8 million, $125.3 million, and $247.9 million, respectively, based on product sales of commercial products under various licensing agreements (including the Genentech Agreement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4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December 2007, Sanofi purchased 12 million newly issued, unregistered shares of the Company's Common Stock. As a condition to the closing of this transaction, Sanofi entered into an investor agreement, as amended and restated, with the Company. Under the terms of the amended and restated investor agreement, Sanofi has three demand rights to require the Company to use all reasonable efforts to conduct a registered underwritten public offering with respect to shares of the Company's Common Stock held by Sanofi from time to time. Under the amended and restated investor agreement, Sanofi has also agreed not to dispose of any shares of the Company's Common Stock beneficially owned by Sanofi from time to time until December 20, 2020 (subject to the limited waiver described below). These restrictions on dispositions are subject to earlier termination upon the occurrence of certain events, such as the consummation of a change-of-control transaction involving the Company or the Company's dissolution or liquidation, and certain restrictions have been imposed on the manner of sales thereafter.</w:t>
      </w:r>
    </w:p>
    <w:p>
      <w:pPr>
        <w:spacing w:after="0" w:line="2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in Note 3, effective January 7, 2018, the Company and Sanofi entered into a Letter Agreement, which, among other things, has amended certain provisions of the amended and restated investor agreement. Pursuant to the Letter Agreement, the Company has granted Sanofi a limited waiver of the lock-up obligations under the investor agreement to allow Sanofi to sell up to an aggregate of 1,400,000 shares of the Company's Common Stock held by Sanofi for the quarterly periods through September 30, 2020.</w:t>
      </w:r>
    </w:p>
    <w:p>
      <w:pPr>
        <w:spacing w:after="0" w:line="241"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Further, pursuant to the amended and restated investor agreement, Sanofi is bound by certain "standstill" provisions, which contractually prohibit Sanofi from seeking to directly or indirectly exert control of the Company or acquiring more than 30% of the outstanding shares of the Company's Class A Stock and Common Stock (taken together). This prohibition will remain in place until the earliest of (i) the later of the fifth anniversaries of the expiration or earlier termination of the Company's License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130" w:right="23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Collaboration Agreement with Sanofi and the Company's ZALTRAP Agreement with Sanofi, each as amended,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upon Sanofi reaching 20% ownership of the Company's outstanding shares of Class A Stock and Common Stock (taken together) during 2014, the Company was required to appoint an individual agreed upon by the Company and Sanofi to the Company's board of directors. This individual is required to be independent of the Company, and not to be a current or former officer, director, employee, or paid consultant of Sanofi. Subject to certain exceptions, the Company is required to use its reasonable efforts (including recommending that its shareholders vote in favor) to cause the election of this designee at the Company's annual shareholder meetings for so long as (other than during the term of the Letter Agreement) Sanofi maintains a specified equity interest in the Company.</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Company's license and collaboration agreements with Bayer for the joint development and commercialization outside the United States of antibody product candidates to PDGFR-beta and Ang2 (see Note 3b), Bayer is bound by certain "standstill" provisions, which contractually prohibit Bayer from seeking to influence the control of the Company or acquiring more than 20% of the Company's outstanding shares of Class A Stock and Common Stock (taken together). With respect to each of these agreements, this prohibition will remain in place until the earliest of (i) the fifth anniversary of the expiration or earlier termination of the agreement (which, in the case of the PDGFR-beta license and collaboration agreement, occurred on July 31, 2017) or (ii) other specified events.</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or (ii) other specified events.</w:t>
      </w:r>
    </w:p>
    <w:p>
      <w:pPr>
        <w:spacing w:after="0" w:line="2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described in Note 11, during 2016 and 2015, the Company elected to settle Notes that which were surrendered for conversion through a combination of cash and shares of the Company's Common Stock; exercised convertible note hedges, for which the Company received shares of Common Stock; and made payments to reduce the number of warrants and/or cancel the remaining number of warrants held by warrant 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Incentive Plans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2000, the Company established the Regeneron Pharmaceuticals, Inc. 2000 Long-Term Incentive Plan which, as amended and restated and approved by the Company's shareholders (the "2000 Incentive Plan"), provided for the issuance of up to 35,397,043 shares of Common Stock in respect of awards, in addition to any shares subject to awards that were returned to the 2000 Incentive Plan upon expiration, forfeiture, surrender, exchange, cancellation, or termination of previously granted awards.</w:t>
      </w:r>
    </w:p>
    <w:p>
      <w:pPr>
        <w:spacing w:after="0" w:line="24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2014, the Company established, and the Company's shareholders approved, the Regeneron Pharmaceuticals, Inc. 2014 Long-Term Incentive Plan (the "Original 2014 Incentive Plan"). In 2017, the Company adopted the Amended and Restated Regeneron Pharmaceuticals, Inc. 2014 Long-Term Incentive Plan (the "Amended and Restated 2014 Incentive Plan") and registered an additional 12,000,000 shares of Common Stock issuable under the Amended and Restated 2014 Incentive Plan. As of the shareholder approval date, the Amended and Restated 2014 Incentive Plan provided for the issuance of up to 18,559,431 shares of Common Stock in respect of awards. In addition, upon the expiration, forfeiture, surrender, exchange, cancellation, or termination of any award previously granted under the 2000 Incentive Plan, the Original 2014 Incentive Plan, or the Amended and Restated 2014 Incentive Plan, any shares subject to such award are added to the pool of shares available for grant under the Amended and Restated 2014 Incentive Plan. Employees of the Company, including officers, and nonemployees, including consultants and nonemployee members of the Company's board of directors (collectively, "Participants"), may receive awards as determined by a committee of independent directors ("Committee"), subject to certain limitations set forth in the Amended and Restated 2014 Incentive Plan.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awards that may be made under the Amended and Restated 2014 Incentive Plan include: (a) incentive stock options and nonqualified stock options,</w:t>
      </w:r>
    </w:p>
    <w:p>
      <w:pPr>
        <w:spacing w:after="0" w:line="46" w:lineRule="exact"/>
        <w:rPr>
          <w:sz w:val="20"/>
          <w:szCs w:val="20"/>
          <w:color w:val="auto"/>
        </w:rPr>
      </w:pPr>
    </w:p>
    <w:p>
      <w:pPr>
        <w:ind w:left="5520" w:right="1500" w:hanging="5512"/>
        <w:spacing w:after="0" w:line="699" w:lineRule="auto"/>
        <w:tabs>
          <w:tab w:leader="none" w:pos="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restricted stock, (c) shares of phantom stock, (d) stock appreciation rights (“SARs”), (e) stock bonuses, and (f) other awards. F- 35</w:t>
      </w:r>
    </w:p>
    <w:p>
      <w:pPr>
        <w:sectPr>
          <w:pgSz w:w="11900" w:h="16838" w:orient="portrait"/>
          <w:cols w:equalWidth="0" w:num="1">
            <w:col w:w="11420"/>
          </w:cols>
          <w:pgMar w:left="240" w:top="130" w:right="239"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three- to four-year period. The Committee also determines the expiration date of each option. The maximum term of options that have been awarded under the 2000 Incentive Plan, the Original 2014 Incentive Plan, and the Amended and Restated 2014 Incentive Plan (collectively, the "Incentive Plans") is ten years.</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will be transferred to the Company.</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SARs entitle the Participant to a payment (in cash or shares) equal to the appreciation in the value of the Common Stock during a specified period above the base price specified by the Committee, which may not be less than 100% of the Market Price of the Common Stock on the day the SARs are granted. SARs granted under the Amended and Restated 2014 Incentive Plan are exercisable for a maximum period of 10 years from the date of grant (subject to early termination such as upon a termination of employment), or such lesser period as the Committee shall determine, and the vesting schedule is determined by the Committee.</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Stock bonus awards are bonuses payable in shares of Common Stock which are granted at the discretion of the Committee. Other awards are other forms of awards which are valued based on the Common Stock. Subject to the provisions of the Amended and Restated 2014 Incentive Plan, the terms and provisions of such other awards are determined solely on the authority of the Committee.</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Incentive Plans contain provisions that allow for the Committee to provide for the immediate vesting of awards upon a change in control of the Company, as defined in the Incentive Plans.</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2017, there were 15,768,378 shares available for future grants under the Amended and Restated 2014 Incentive Plan. No additional awards may be made under the 2000 Incentive Plan or the Original 2014 Incentive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130" w:right="23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Transactions involving stock option awards during 2017 under the Company's Incentive Plans are summarized in the table below.</w:t>
      </w:r>
    </w:p>
    <w:p>
      <w:pPr>
        <w:spacing w:after="0" w:line="302"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Term (in years)</w:t>
            </w:r>
          </w:p>
        </w:tc>
        <w:tc>
          <w:tcPr>
            <w:tcW w:w="18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Intrinsic Value</w:t>
            </w:r>
          </w:p>
        </w:tc>
      </w:tr>
      <w:tr>
        <w:trPr>
          <w:trHeight w:val="27"/>
        </w:trPr>
        <w:tc>
          <w:tcPr>
            <w:tcW w:w="39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2016</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25,136,027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Granted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4,235,015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383.56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(704,136)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580"/>
              <w:spacing w:after="0"/>
              <w:rPr>
                <w:sz w:val="20"/>
                <w:szCs w:val="20"/>
                <w:color w:val="auto"/>
              </w:rPr>
            </w:pPr>
            <w:r>
              <w:rPr>
                <w:rFonts w:ascii="Arial" w:cs="Arial" w:eastAsia="Arial" w:hAnsi="Arial"/>
                <w:sz w:val="18"/>
                <w:szCs w:val="18"/>
                <w:color w:val="auto"/>
              </w:rPr>
              <w:t>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(100,727)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505.96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(2,360,806)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Outstanding as of December 31, 2017</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26,205,373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295.98</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2,904,974</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w w:val="99"/>
              </w:rPr>
              <w:t>Vested and expected to vest as of December 31,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2017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24,667,723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293.65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2,904,723</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Exercisable as of December 31, 2017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16,263,766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223.00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2,894,474</w:t>
            </w:r>
          </w:p>
        </w:tc>
      </w:tr>
    </w:tbl>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2017, 2016, and 2015 was $735.6 million, $550.4 million, and $1,031.6 million, respectively. The intrinsic value represents the amount by which the market price of the underlying stock exceeds the exercise price of an option.</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table below summarizes the weighted-average exercise prices and weighted-average grant-date fair values of options issued during the years ended December 31, 2017, 2016, and 2015. The fair value of each option granted under the Company's Incentive Plans during these periods was estimated on the date of grant using the Black-Scholes option-pricing model.</w:t>
      </w:r>
    </w:p>
    <w:p>
      <w:pPr>
        <w:spacing w:after="0" w:line="25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r>
      <w:tr>
        <w:trPr>
          <w:trHeight w:val="234"/>
        </w:trPr>
        <w:tc>
          <w:tcPr>
            <w:tcW w:w="42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2017:</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4,235,015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118.70</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2016:</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4,201,978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386.44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126.68</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2015:</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4,495,487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537.29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181.65</w:t>
            </w:r>
          </w:p>
        </w:tc>
      </w:tr>
    </w:tbl>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 years ended December 31, 2017, 2016, and 2015, the Company recognized $492.8 million, $546.0 million, and $443.7 million, respectively, of non-cash stock-based compensation expense related to stock option awards (net of amounts capitalized to inventory of $16.8 million, $14.6 million, and $4.8 million, respectively). As of December 31, 2017, there was $816.6 million of stock-based compensation cost related to outstanding stock options, net of estimated forfeitures, which had not yet been recognized. The Company expects to recognize this compensation cost over a weighted-average period of 1.9 years.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F- 37</w:t>
      </w:r>
    </w:p>
    <w:p>
      <w:pPr>
        <w:sectPr>
          <w:pgSz w:w="11900" w:h="16838" w:orient="portrait"/>
          <w:cols w:equalWidth="0" w:num="1">
            <w:col w:w="11420"/>
          </w:cols>
          <w:pgMar w:left="240" w:top="130" w:right="23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2017, 2016, and 2015.</w:t>
      </w:r>
    </w:p>
    <w:p>
      <w:pPr>
        <w:spacing w:after="0" w:line="24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5.1 years</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5.1 years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5.1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208"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A summary of the Company's activity related to restricted stock awards during 2017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Average Grant</w:t>
            </w:r>
          </w:p>
        </w:tc>
      </w:tr>
      <w:tr>
        <w:trPr>
          <w:trHeight w:val="216"/>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Date Fair</w:t>
            </w:r>
          </w:p>
        </w:tc>
      </w:tr>
      <w:tr>
        <w:trPr>
          <w:trHeight w:val="234"/>
        </w:trPr>
        <w:tc>
          <w:tcPr>
            <w:tcW w:w="374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141.85</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Granted</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63,030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379.60</w:t>
            </w:r>
          </w:p>
        </w:tc>
      </w:tr>
      <w:tr>
        <w:trPr>
          <w:trHeight w:val="27"/>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115.07</w:t>
            </w:r>
          </w:p>
        </w:tc>
      </w:tr>
      <w:tr>
        <w:trPr>
          <w:trHeight w:val="243"/>
        </w:trPr>
        <w:tc>
          <w:tcPr>
            <w:tcW w:w="3740" w:type="dxa"/>
            <w:vAlign w:val="bottom"/>
          </w:tcPr>
          <w:p>
            <w:pPr>
              <w:ind w:left="680"/>
              <w:spacing w:after="0"/>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381.92</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404.72</w:t>
            </w:r>
          </w:p>
        </w:tc>
      </w:tr>
      <w:tr>
        <w:trPr>
          <w:trHeight w:val="20"/>
        </w:trPr>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recognized non-cash stock-based compensation expense from restricted stock awards of $14.5 million, $13.9 million, and $15.3 million in 2017, 2016, and 2015, respectively (net of amounts capitalized to inventory, which were not material for each of the three years). As of December 31, 2017, there was $34.9 million of stock-based compensation cost related to unvested shares of restricted stock which had not yet been recognized. The Company expects to recognize this compensation cost over a weighted-average period of 4.0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Savings Plans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("Contribution"), as defined, to the accounts of participants under the Savings Plan. The Company recognized $19.6 million, $17.7 million, and $15.4 million of Contribution expense in 2017, 2016, and 2015, respectively.</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maintains the Regeneron Ireland Pension Plan (the "Ireland Plan"), a defined contribution occupational pension plan which covers all eligible Ireland-based employees (as defined by the Ireland Plan). Contributions to the Ireland Plan are comprised of two components: (i) a minimum mandatory employee and employer contribution rate, and (ii) a matching feature, whereby the Company will match employee contributions up to a certain percentage. Employees can make additional voluntary contributions to the Ireland Plan. Expenses recognized by the Company related to contributions to the Ireland Plan were not material during 2017, 2016, and 2015.</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130" w:right="23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is subject to U.S. federal, state, and foreign income taxes. Components of income before income taxes consist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1,650,959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1,665,087</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113,752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(321,144)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(439,990)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1,329,815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Components of income tax expense consist of the following:</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560,250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786,964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686,561</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28,568</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4,004</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719,133</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(119,849)</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(3,768)</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r>
      <w:tr>
        <w:trPr>
          <w:trHeight w:val="237"/>
        </w:trPr>
        <w:tc>
          <w:tcPr>
            <w:tcW w:w="3900" w:type="dxa"/>
            <w:vAlign w:val="bottom"/>
          </w:tcPr>
          <w:p>
            <w:pPr>
              <w:ind w:left="600"/>
              <w:spacing w:after="0"/>
              <w:rPr>
                <w:sz w:val="20"/>
                <w:szCs w:val="20"/>
                <w:color w:val="auto"/>
              </w:rPr>
            </w:pPr>
            <w:r>
              <w:rPr>
                <w:rFonts w:ascii="Arial" w:cs="Arial" w:eastAsia="Arial" w:hAnsi="Arial"/>
                <w:sz w:val="18"/>
                <w:szCs w:val="18"/>
                <w:color w:val="auto"/>
              </w:rPr>
              <w:t>Total deferred tax expense (benefit)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319,009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(360,078)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(130,092)</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589,041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On December 22, 2017, the bill known as the "Tax Cuts and Jobs Act" (the "Act") was signed into law. The Act, which became effective with respect to most of its provisions as of January 1, 2018, significantly revises U.S. corporate income tax laws by, among other things, reducing the U.S. federal corporate income tax rate from 35% to 21%, changing the taxation of foreign earnings (including taxation of certain global intangible low-taxed income ("GILTI")), allowing immediate expensing for qualified assets, repealing the deduction for domestic manufacturing, and imposing further limitations on the deductibility of executive compensation. As a result of the Act being signed into law, the Company recognized a provisional charge of $326.2 million in the fourth quarter of 2017 related to the re-measurement of its U.S. net deferred tax assets at the lower enacted corporate tax rates. The provisional charge recorded in the fourth quarter of 2017 is an estimate, and the measurement of deferred tax assets is subject to further analysis, such as developing interpretations and clarifications of the provisions of the Act, which could result in changes to this estimate during 2018. In addition, the Company has not yet elected an accounting method regarding whether to record deferred tax assets and liabilities for expected amounts of GILTI inclusions or whether to treat such amounts as a period cost.</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The Company elected to early adopt Accounting Standards Update 2016-09, </w:t>
      </w:r>
      <w:r>
        <w:rPr>
          <w:rFonts w:ascii="Arial" w:cs="Arial" w:eastAsia="Arial" w:hAnsi="Arial"/>
          <w:sz w:val="18"/>
          <w:szCs w:val="18"/>
          <w:i w:val="1"/>
          <w:iCs w:val="1"/>
          <w:color w:val="auto"/>
        </w:rPr>
        <w:t>Compensation -Stock Compensation, Improvements to Employee Share-Based Payment Accounting</w:t>
      </w:r>
      <w:r>
        <w:rPr>
          <w:rFonts w:ascii="Arial" w:cs="Arial" w:eastAsia="Arial" w:hAnsi="Arial"/>
          <w:sz w:val="18"/>
          <w:szCs w:val="18"/>
          <w:color w:val="auto"/>
        </w:rPr>
        <w:t>, during the second quarter of 2016. Consequently, in 2017 and 2016, the Company recorded excess tax benefits of $191.0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$144.8 million, respectively, within income tax expense. In 2015, the Company utilized $405.3 million of excess tax benefits in connection with stock option exercises, which were credited to additional paid-in capital as realized.</w:t>
      </w:r>
    </w:p>
    <w:p>
      <w:pPr>
        <w:spacing w:after="0" w:line="24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also recorded an income tax provision in its Statement of Comprehensive Income of $24.9 million during the year ended December 31, 2015, primarily related to unrealized gains on available-for-sale marketable securities. Such amounts were not material for the years ended December 31, 2017 and 2016.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130" w:right="239" w:bottom="1440" w:gutter="0" w:footer="0" w:header="0"/>
        </w:sectPr>
      </w:pPr>
    </w:p>
    <w:bookmarkStart w:id="139" w:name="page140"/>
    <w:bookmarkEnd w:id="1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302"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6300" w:type="dxa"/>
            <w:vAlign w:val="bottom"/>
            <w:gridSpan w:val="2"/>
          </w:tcPr>
          <w:p>
            <w:pPr>
              <w:ind w:left="5920"/>
              <w:spacing w:after="0"/>
              <w:rPr>
                <w:sz w:val="20"/>
                <w:szCs w:val="20"/>
                <w:color w:val="auto"/>
              </w:rPr>
            </w:pPr>
            <w:r>
              <w:rPr>
                <w:rFonts w:ascii="Arial" w:cs="Arial" w:eastAsia="Arial" w:hAnsi="Arial"/>
                <w:sz w:val="18"/>
                <w:szCs w:val="18"/>
                <w:b w:val="1"/>
                <w:bCs w:val="1"/>
                <w:color w:val="auto"/>
                <w:w w:val="89"/>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Impact of change in U.S. corporate tax rate (the Act)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15.7</w:t>
            </w:r>
          </w:p>
        </w:tc>
        <w:tc>
          <w:tcPr>
            <w:tcW w:w="10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Taxation of non-U.S. operations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Income tax credits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(1.3)</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Non-deductible Branded Prescription Drug Fee</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r>
      <w:tr>
        <w:trPr>
          <w:trHeight w:val="243"/>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(2.6)</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57"/>
        </w:trPr>
        <w:tc>
          <w:tcPr>
            <w:tcW w:w="53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42.3 %</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48.1 %</w:t>
            </w: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2017, the difference between the U.S. federal statutory rate of 35% and the Company's effective tax rate of 42.3% was primarily attributable to the negative impact of the charge related to the re-measurement of the Company's U.S. net deferred tax assets upon the enactment of the Act (see above), partly offset by the tax benefit associated with stock-based compensation. In 2016, the difference between the U.S. federal statutory rate of 35% and the Company's effective tax rate of 32.7% was primarily attributable to the tax benefit associated with stock-based compensation, partly offset by the negative impact of losses incurred in foreign jurisdictions with rates lower than the U.S. federal statutory rate. In 2015, the difference between the U.S. federal statutory rate of 35% and the Company's effective tax rate of 48.1% was primarily attributable to losses incurred in foreign jurisdictions with rates lower than the U.S. federal statutory rate, partly offset by the positive impact of the domestic manufacturing deduction.</w:t>
      </w:r>
    </w:p>
    <w:p>
      <w:pPr>
        <w:spacing w:after="0" w:line="23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01"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As of December 31,</w:t>
            </w:r>
          </w:p>
        </w:tc>
      </w:tr>
      <w:tr>
        <w:trPr>
          <w:trHeight w:val="27"/>
        </w:trPr>
        <w:tc>
          <w:tcPr>
            <w:tcW w:w="3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7"/>
        </w:trPr>
        <w:tc>
          <w:tcPr>
            <w:tcW w:w="30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102,441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214,587</w:t>
            </w:r>
          </w:p>
        </w:tc>
      </w:tr>
      <w:tr>
        <w:trPr>
          <w:trHeight w:val="27"/>
        </w:trPr>
        <w:tc>
          <w:tcPr>
            <w:tcW w:w="3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515,984</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w w:val="98"/>
              </w:rPr>
              <w:t>Fixed assets and intangible assets</w:t>
            </w: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21,139</w:t>
            </w:r>
          </w:p>
        </w:tc>
      </w:tr>
      <w:tr>
        <w:trPr>
          <w:trHeight w:val="27"/>
        </w:trPr>
        <w:tc>
          <w:tcPr>
            <w:tcW w:w="3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37,188</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49,100</w:t>
            </w:r>
          </w:p>
        </w:tc>
      </w:tr>
      <w:tr>
        <w:trPr>
          <w:trHeight w:val="27"/>
        </w:trPr>
        <w:tc>
          <w:tcPr>
            <w:tcW w:w="30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837,998</w:t>
            </w:r>
          </w:p>
        </w:tc>
      </w:tr>
      <w:tr>
        <w:trPr>
          <w:trHeight w:val="243"/>
        </w:trPr>
        <w:tc>
          <w:tcPr>
            <w:tcW w:w="30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27"/>
        </w:trPr>
        <w:tc>
          <w:tcPr>
            <w:tcW w:w="30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1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553,987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834,578</w:t>
            </w:r>
          </w:p>
        </w:tc>
      </w:tr>
      <w:tr>
        <w:trPr>
          <w:trHeight w:val="318"/>
        </w:trPr>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w w:val="98"/>
              </w:rPr>
              <w:t>Fixed assets and intangible assets</w:t>
            </w: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(9,275)</w:t>
            </w:r>
          </w:p>
        </w:tc>
      </w:tr>
      <w:tr>
        <w:trPr>
          <w:trHeight w:val="237"/>
        </w:trPr>
        <w:tc>
          <w:tcPr>
            <w:tcW w:w="300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1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(9,275)</w:t>
            </w:r>
          </w:p>
        </w:tc>
      </w:tr>
      <w:tr>
        <w:trPr>
          <w:trHeight w:val="27"/>
        </w:trPr>
        <w:tc>
          <w:tcPr>
            <w:tcW w:w="30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506,291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825,303</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000" w:type="dxa"/>
            <w:vAlign w:val="bottom"/>
          </w:tcPr>
          <w:p>
            <w:pPr>
              <w:spacing w:after="0"/>
              <w:rPr>
                <w:sz w:val="24"/>
                <w:szCs w:val="24"/>
                <w:color w:val="auto"/>
              </w:rPr>
            </w:pPr>
          </w:p>
        </w:tc>
        <w:tc>
          <w:tcPr>
            <w:tcW w:w="2060" w:type="dxa"/>
            <w:vAlign w:val="bottom"/>
            <w:gridSpan w:val="2"/>
          </w:tcPr>
          <w:p>
            <w:pPr>
              <w:jc w:val="right"/>
              <w:ind w:right="1360"/>
              <w:spacing w:after="0"/>
              <w:rPr>
                <w:sz w:val="20"/>
                <w:szCs w:val="20"/>
                <w:color w:val="auto"/>
              </w:rPr>
            </w:pPr>
            <w:r>
              <w:rPr>
                <w:rFonts w:ascii="Arial" w:cs="Arial" w:eastAsia="Arial" w:hAnsi="Arial"/>
                <w:sz w:val="18"/>
                <w:szCs w:val="18"/>
                <w:color w:val="auto"/>
              </w:rPr>
              <w:t>F- 40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Company's 2012 through 2016 federal income tax returns remain open to examination by the IRS. The Company's 2012 and 2013 federal income tax returns are currently under audit by the IRS. The Company's state income tax returns from 2013 to 2016 remain open to examination. The United States and many states generally have statutes of limitation ranging from 3 to 5 years; however, those statutes could be extended due to the Company's net operating loss and tax credit carryforward positions in a number of the Company's tax jurisdictions. In general, tax authorities have the ability to review income tax returns for loss periods in which the statute of limitation has previously expired to adjust the net operating loss carryforward or tax credits generated in those years.</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gross amounts of unrecognized tax benefits. The amount of unrecognized tax benefits that, if settled, would impact the effective tax rate is $146.2 million, $107.2 million, and $102.1 million as of December 31, 2017, 2016, and 2015, respectively.</w:t>
      </w:r>
    </w:p>
    <w:p>
      <w:pPr>
        <w:spacing w:after="0" w:line="247"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57,615</w:t>
            </w: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Gross increases related to current year tax positions</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49,028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59,909</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decreases related to prior year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29"/>
        </w:trPr>
        <w:tc>
          <w:tcPr>
            <w:tcW w:w="4820" w:type="dxa"/>
            <w:vAlign w:val="bottom"/>
          </w:tcPr>
          <w:p>
            <w:pPr>
              <w:ind w:left="200"/>
              <w:spacing w:after="0"/>
              <w:rPr>
                <w:sz w:val="20"/>
                <w:szCs w:val="20"/>
                <w:color w:val="auto"/>
              </w:rPr>
            </w:pPr>
            <w:r>
              <w:rPr>
                <w:rFonts w:ascii="Arial" w:cs="Arial" w:eastAsia="Arial" w:hAnsi="Arial"/>
                <w:sz w:val="18"/>
                <w:szCs w:val="18"/>
                <w:color w:val="auto"/>
                <w:w w:val="96"/>
              </w:rPr>
              <w:t>Gross decrease due to settlements, recapture, filed returns,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and lapse of statutes of limitation</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146,158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116,572</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2017, 2016 and 2015, the increases in unrecognized tax benefits related primarily to the Company's calculation of certain tax credits and other items related to the Company's international operations. In addition, in 2017 and 2016, there was a decrease in unrecognized tax benefits related to a settlement in connection with a disputed state tax matter. In 2017, 2016, and 2015, accrued interest related to unrecognized tax benefits recorded by the Company was not material. The Company does not believe that it is reasonably possible that its unrecognized tax benefits as of December 31, 2017 will decrease within the next twelve months as a result of the resolution of tax exposures.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Legal Matters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If the Company were unable to prevail in any such proceedings, its consolidated financial position, results of operations, and future cash flows may be materially impacted.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September 25, 2013, the Company commenced patent infringement litigation against Kymab Ltd in the English High Court of Justice, Chancery Division, Patents Court, in London, asserting the '287 Patent and '163 Patent.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The hearing for the Company's appeal and Kymab's cross-appeal was held on October 17–20,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420"/>
          </w:cols>
          <w:pgMar w:left="240" w:top="130" w:right="23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March 11, 2014, the Company commenced '287 Patent infringement litigation and '018 Patent infringement litigation against Merus B.V., a company based in Utrecht, The Netherlands, in the District Court of The Hague (currently stayed by agreement of the parties) and the United States District Court for the Southern District of New York, respectively. On November 21, 2014, the United States District Court for the Southern District of New York issued its Opinion and Order on Claim Construction in the '018 Patent infringement litigation, in which it held the '018 Patent invalid and not infringed. On November 2, 2015, the United States District Court for the Southern District of New York issued an opinion and order finding that the '018 Patent was procured by inequitable conduct, thus rendering it unenforceable. On July 27, 2017, the United States Court of Appeals for the Federal Circuit (the "Federal Circuit") affirmed the District Court's decision regarding inequitable conduct without deciding the issues of validity and infringement. On September 12, 2017, the Company filed a petition for panel rehearing and/or rehearing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in the Federal Circuit. On December 26, 2017, the Federal Circuit issued an order denying the Company's petition for panel rehearing and rehearing </w:t>
      </w:r>
      <w:r>
        <w:rPr>
          <w:rFonts w:ascii="Arial" w:cs="Arial" w:eastAsia="Arial" w:hAnsi="Arial"/>
          <w:sz w:val="17"/>
          <w:szCs w:val="17"/>
          <w:i w:val="1"/>
          <w:iCs w:val="1"/>
          <w:color w:val="auto"/>
        </w:rPr>
        <w:t>en banc</w:t>
      </w:r>
      <w:r>
        <w:rPr>
          <w:rFonts w:ascii="Arial" w:cs="Arial" w:eastAsia="Arial" w:hAnsi="Arial"/>
          <w:sz w:val="17"/>
          <w:szCs w:val="17"/>
          <w:color w:val="auto"/>
        </w:rPr>
        <w:t>.</w:t>
      </w:r>
    </w:p>
    <w:p>
      <w:pPr>
        <w:spacing w:after="0" w:line="1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The Company's response to the oppositions was filed on December 30, 2016. Following an oral hearing before the Opposition Division of the EPO on February 5–7, 2018, the Opposition Division upheld the '163 Patent without amendments.</w:t>
      </w:r>
    </w:p>
    <w:p>
      <w:pPr>
        <w:spacing w:after="0" w:line="106"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With respect to the '287 Patent infringement and '018 Patent infringement litigation against Merus B.V., Merus has filed a motion seeking the payment of attorney's fees it incurred by the Company; if the Company is ultimately required to pay such fees, such payment is not expected to have a material impact on the Company's financial statements. Other than as noted in the preceding sentence, the Company is not at this time able to predict the outcome of, or estimate possible gain or a range of possible loss, if any, related to, the '287 Patent, '163 Patent, and '018 Patent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 xml:space="preserve">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(the "District Court") from March 8 to March 16, 2016. During the course of the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District Court issued a final opinion and judgment, denying the Company and the Sanofi defendants' motions for new trial and judgment as a matter of law. The District Court also denied as moot Amgen's motion to strike the Company and the Sanofi defendants' request to obtain a judgment as a matter of law, which allowed the Federal Circuit to address the Company and the Sanofi defendants' patent invalidity arguments on appeal. On January 12, 2017, the Company and the Sanofi defendants filed a notice of appeal with the Federal Circuit. On April 19, 2017, the District Court granted Amgen's motion to amend the judgment on an accounting of supplemental damages and enhancement of such damages if deemed appropriate, but deferred the order until after the Federal Circuit issued a decision on the appeal. Oral argument on the appeal was held on June 6, 2017. On October 5, 2017, the Federal Circuit reversed in part the District Court's decision, remanded for a new trial on the issues of written description and enablement, and, as discussed below, vacated the District Court's permanent injunction. In addition, it affirmed the District Court's ruling that Amgen's patents were not obvious. The Federal Circuit further concluded the Company and the Sanofi defendants were not entitled to judgment as a matter of law on the issues of written description and enablement on this record. On December 6, 2017, Amgen filed a petition for rehearing </w:t>
      </w:r>
      <w:r>
        <w:rPr>
          <w:rFonts w:ascii="Arial" w:cs="Arial" w:eastAsia="Arial" w:hAnsi="Arial"/>
          <w:sz w:val="16"/>
          <w:szCs w:val="16"/>
          <w:i w:val="1"/>
          <w:iCs w:val="1"/>
          <w:color w:val="auto"/>
        </w:rPr>
        <w:t>en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banc </w:t>
      </w:r>
      <w:r>
        <w:rPr>
          <w:rFonts w:ascii="Arial" w:cs="Arial" w:eastAsia="Arial" w:hAnsi="Arial"/>
          <w:sz w:val="16"/>
          <w:szCs w:val="16"/>
          <w:color w:val="auto"/>
        </w:rPr>
        <w:t>in the Federal Circuit; and, on February 6, 2018, the Company and the Sanofi defendants filed their response.</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January 5, 2017, the District Court granted a permanent injunction prohibiting Regeneron and the Sanofi defendants from Commercializing Praluent in the United States but subsequently delayed its imposition until February 21, 2017. The Federal Circuit stayed the injunction pending appeal on February 8, 2017 and vacated it on October 5, 2017.</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420"/>
          </w:cols>
          <w:pgMar w:left="240" w:top="130" w:right="23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has scheduled an oral hearing for September 11, 2018.</w:t>
      </w:r>
    </w:p>
    <w:p>
      <w:pPr>
        <w:spacing w:after="0" w:line="243"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is currently scheduled for June 29, 2018.</w:t>
      </w:r>
    </w:p>
    <w:p>
      <w:pPr>
        <w:spacing w:after="0" w:line="2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The Preliminary Opinion was accompanied by a summons to oral hearing to be held on November 28–30, 2018.</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complaint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of the USPTO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130" w:right="23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issued a decision on the first IPR petition and declined to institute an IPR proceeding to review the validity of the '487 Patent. The Additional IPR Petitions are still pending.</w:t>
      </w:r>
    </w:p>
    <w:p>
      <w:pPr>
        <w:spacing w:after="0" w:line="224"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On April 5, 2017, Immunex Corporation filed a complaint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summary judgment on the issue of indefiniteness of the '487 Patent claims has been scheduled for March 12, 2018. A jury trial has been scheduled to start on March 19, 2019.</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then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Regeneron Pharmaceuticals, Inc.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June 28, 2017, the court dismissed the plaintiff's claims with respect to certain compensation awarded in 2013 but denied the defendants' motion to dismiss the other claims set forth in the complaint. On November 8, 2017, another alleged shareholder filed a second shareholder derivative complaint in the New York Supreme Court, naming the then current and certain former non-employee members of the Company's board of directors, the Chairman of the board of directors, the Company's Chief Executive Officer, the Company's Chief Scientific Officer, and Regeneron as defendants. The complaint asserts that the individual defendants breached their fiduciary duties and were unjustly enriched when they approved and/or received allegedly excessive compensation in 2014, 2015, and 2016. The complaint seeks damages in favor of Regeneron for the alleged breaches of fiduciary duties and unjust enrichment; changes to Regeneron's corporate governance and internal procedures; invalidation of Regeneron's 2014 Long-Term Incentive Plan with respect to the individual defendants' compensation and the imposition of meaningful limits on the amount of equity payable to the individual defendants; a shareholder vote regarding the individual defendants' equity compensation; equitable relief, including an equitable accounting with disgorgement; and award of the costs of the action, including attorneys' fees. On December 4, 2017, the plaintiff in the second action moved to consolidate both actions, to be appointed lead plaintiff, and to have its counsel be appointed lead counsel in the proposed consolidated action. The court scheduled a hearing on the motion on March 7, 2018. The parties in both the first derivative action and the second derivative action have agreed to a schedule for document discovery and the filing of defendants' appeal of the court's June 28, 2017 decision, as well as a stay of all non-document discovery pending a decision on defendants' appeal. Pursuant to the Company's By-Laws and the New York Business Corporation Law, expenses in connection with the foregoing are being advanced by the Company for the individual defendants.</w:t>
      </w:r>
    </w:p>
    <w:p>
      <w:pPr>
        <w:spacing w:after="0" w:line="200" w:lineRule="exact"/>
        <w:rPr>
          <w:sz w:val="20"/>
          <w:szCs w:val="20"/>
          <w:color w:val="auto"/>
        </w:rPr>
      </w:pPr>
    </w:p>
    <w:p>
      <w:pPr>
        <w:spacing w:after="0" w:line="252"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On or about December 15, 2015, the Company received a shareholder litigation demand upon the Company's board of directors made by a purported Regeneron shareholder. On or about November 3, 2017, the Company received a second shareholder litigation demand upon the Company's board of directors made by another purported Regeneron shareholder, which is substantially similar to the December 15, 2015 shareholder litigation demand. The demands assert that the then current and certain former non-employee members of the board of directors and the Chairman of the board of directors excessively compensated themselves in 2013 and 2014. The demands request that the board of directors investigate and bring legal action against these directors for breach of fiduciary duty, unjust enrichment, and corporate waste, and implement internal controls and systems designed to prohibit and prevent similar actions in the future. On December 20, 2017, the parties to the shareholder derivative action filed on December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ectPr>
          <w:pgSz w:w="11900" w:h="16838" w:orient="portrait"/>
          <w:cols w:equalWidth="0" w:num="1">
            <w:col w:w="11420"/>
          </w:cols>
          <w:pgMar w:left="240" w:top="130" w:right="239" w:bottom="1440" w:gutter="0" w:footer="0" w:header="0"/>
        </w:sectPr>
      </w:pPr>
    </w:p>
    <w:bookmarkStart w:id="144" w:name="page145"/>
    <w:bookmarkEnd w:id="1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30, 2015, entered into a stipulation with the second demanding shareholder. The stipulation provides that the purported shareholder will intervene as a plaintiff in the action, and that the purported shareholder's litigation demand will be withdrawn and deemed null and void. The stipulation was approved by the court on January 18, 2018. The first shareholder litigation demand has also since been withdrawn.</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relating to these matters.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 The Company cannot predict the outcome or duration of this investigation or any other legal proceedings or any enforcement actions or other remedies that may be imposed on the Company arising out of this investigation.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636,056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 - interest expense and amortization of</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discount and note issuance costs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1,198,511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895,919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636,056</w:t>
            </w:r>
          </w:p>
        </w:tc>
      </w:tr>
      <w:tr>
        <w:trPr>
          <w:trHeight w:val="203"/>
        </w:trPr>
        <w:tc>
          <w:tcPr>
            <w:tcW w:w="5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103,061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2,246</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12,169</w:t>
            </w: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115,954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116,367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115,230</w:t>
            </w:r>
          </w:p>
        </w:tc>
      </w:tr>
      <w:tr>
        <w:trPr>
          <w:trHeight w:val="203"/>
        </w:trPr>
        <w:tc>
          <w:tcPr>
            <w:tcW w:w="5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459"/>
        </w:trPr>
        <w:tc>
          <w:tcPr>
            <w:tcW w:w="5280" w:type="dxa"/>
            <w:vAlign w:val="bottom"/>
          </w:tcPr>
          <w:p>
            <w:pPr>
              <w:ind w:left="4360"/>
              <w:spacing w:after="0"/>
              <w:rPr>
                <w:sz w:val="20"/>
                <w:szCs w:val="20"/>
                <w:color w:val="auto"/>
              </w:rPr>
            </w:pPr>
            <w:r>
              <w:rPr>
                <w:rFonts w:ascii="Arial" w:cs="Arial" w:eastAsia="Arial" w:hAnsi="Arial"/>
                <w:sz w:val="18"/>
                <w:szCs w:val="18"/>
                <w:color w:val="auto"/>
              </w:rPr>
              <w:t>F- 45</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72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20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2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2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27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Included in accounts payable and accrued expenses as of December 31, 2017, 2016, and 2015 were $41.8 million, $28.2 million, and $50.7 million, respectively, of accrued capital expenditures.</w:t>
      </w:r>
    </w:p>
    <w:p>
      <w:pPr>
        <w:spacing w:after="0" w:line="22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recognized additional capital and facility lease obligations of $201.2 million, $154.9 million, and $26.0 million during 2017, 2016 and 2015, respectively, in connection with the Company's Tarrytown Leases (see Note 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Unaudited Quarterly Results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Summarized quarterly financial data (unaudited) for the years ended December 31, 2017 and 2016 are set forth in the following tables.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First Quarter Ended</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Second Quarter Ended</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Third Quarter Ended</w:t>
            </w:r>
          </w:p>
        </w:tc>
        <w:tc>
          <w:tcPr>
            <w:tcW w:w="160" w:type="dxa"/>
            <w:vAlign w:val="bottom"/>
          </w:tcPr>
          <w:p>
            <w:pPr>
              <w:spacing w:after="0"/>
              <w:rPr>
                <w:sz w:val="18"/>
                <w:szCs w:val="18"/>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Fourth Quarter Ended</w:t>
            </w:r>
          </w:p>
        </w:tc>
      </w:tr>
      <w:tr>
        <w:trPr>
          <w:trHeight w:val="261"/>
        </w:trPr>
        <w:tc>
          <w:tcPr>
            <w:tcW w:w="2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2017</w:t>
            </w:r>
          </w:p>
        </w:tc>
        <w:tc>
          <w:tcPr>
            <w:tcW w:w="120" w:type="dxa"/>
            <w:vAlign w:val="bottom"/>
          </w:tcPr>
          <w:p>
            <w:pPr>
              <w:spacing w:after="0"/>
              <w:rPr>
                <w:sz w:val="22"/>
                <w:szCs w:val="22"/>
                <w:color w:val="auto"/>
              </w:rPr>
            </w:pPr>
          </w:p>
        </w:tc>
        <w:tc>
          <w:tcPr>
            <w:tcW w:w="2040" w:type="dxa"/>
            <w:vAlign w:val="bottom"/>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8"/>
              </w:rPr>
              <w:t>June 30, 2017</w:t>
            </w:r>
            <w:r>
              <w:rPr>
                <w:rFonts w:ascii="Arial" w:cs="Arial" w:eastAsia="Arial" w:hAnsi="Arial"/>
                <w:sz w:val="25"/>
                <w:szCs w:val="25"/>
                <w:b w:val="1"/>
                <w:bCs w:val="1"/>
                <w:color w:val="auto"/>
                <w:w w:val="88"/>
                <w:vertAlign w:val="superscript"/>
              </w:rPr>
              <w:t>*</w:t>
            </w:r>
          </w:p>
        </w:tc>
        <w:tc>
          <w:tcPr>
            <w:tcW w:w="160" w:type="dxa"/>
            <w:vAlign w:val="bottom"/>
          </w:tcPr>
          <w:p>
            <w:pPr>
              <w:spacing w:after="0"/>
              <w:rPr>
                <w:sz w:val="22"/>
                <w:szCs w:val="22"/>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 2017</w:t>
            </w:r>
          </w:p>
        </w:tc>
        <w:tc>
          <w:tcPr>
            <w:tcW w:w="160" w:type="dxa"/>
            <w:vAlign w:val="bottom"/>
          </w:tcPr>
          <w:p>
            <w:pPr>
              <w:spacing w:after="0"/>
              <w:rPr>
                <w:sz w:val="22"/>
                <w:szCs w:val="22"/>
                <w:color w:val="auto"/>
              </w:rPr>
            </w:pPr>
          </w:p>
        </w:tc>
        <w:tc>
          <w:tcPr>
            <w:tcW w:w="2000" w:type="dxa"/>
            <w:vAlign w:val="bottom"/>
          </w:tcPr>
          <w:p>
            <w:pPr>
              <w:jc w:val="center"/>
              <w:ind w:right="90"/>
              <w:spacing w:after="0" w:line="262" w:lineRule="exact"/>
              <w:rPr>
                <w:sz w:val="20"/>
                <w:szCs w:val="20"/>
                <w:color w:val="auto"/>
              </w:rPr>
            </w:pPr>
            <w:r>
              <w:rPr>
                <w:rFonts w:ascii="Arial" w:cs="Arial" w:eastAsia="Arial" w:hAnsi="Arial"/>
                <w:sz w:val="18"/>
                <w:szCs w:val="18"/>
                <w:b w:val="1"/>
                <w:bCs w:val="1"/>
                <w:color w:val="auto"/>
                <w:w w:val="90"/>
              </w:rPr>
              <w:t>December 31, 2017</w:t>
            </w:r>
            <w:r>
              <w:rPr>
                <w:rFonts w:ascii="Arial" w:cs="Arial" w:eastAsia="Arial" w:hAnsi="Arial"/>
                <w:sz w:val="25"/>
                <w:szCs w:val="25"/>
                <w:b w:val="1"/>
                <w:bCs w:val="1"/>
                <w:color w:val="auto"/>
                <w:w w:val="90"/>
                <w:vertAlign w:val="superscript"/>
              </w:rPr>
              <w:t>**</w:t>
            </w:r>
          </w:p>
        </w:tc>
      </w:tr>
      <w:tr>
        <w:trPr>
          <w:trHeight w:val="244"/>
        </w:trPr>
        <w:tc>
          <w:tcPr>
            <w:tcW w:w="2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1,318,991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1,582,447</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248,931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388,317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173,519</w:t>
            </w: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387"/>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First Quarter Ended</w:t>
            </w:r>
          </w:p>
        </w:tc>
        <w:tc>
          <w:tcPr>
            <w:tcW w:w="120" w:type="dxa"/>
            <w:vAlign w:val="bottom"/>
          </w:tcPr>
          <w:p>
            <w:pPr>
              <w:spacing w:after="0"/>
              <w:rPr>
                <w:sz w:val="24"/>
                <w:szCs w:val="24"/>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Second Quarter Ended</w:t>
            </w:r>
          </w:p>
        </w:tc>
        <w:tc>
          <w:tcPr>
            <w:tcW w:w="160" w:type="dxa"/>
            <w:vAlign w:val="bottom"/>
          </w:tcPr>
          <w:p>
            <w:pPr>
              <w:spacing w:after="0"/>
              <w:rPr>
                <w:sz w:val="24"/>
                <w:szCs w:val="2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Third Quarter Ended</w:t>
            </w:r>
          </w:p>
        </w:tc>
        <w:tc>
          <w:tcPr>
            <w:tcW w:w="160" w:type="dxa"/>
            <w:vAlign w:val="bottom"/>
          </w:tcPr>
          <w:p>
            <w:pPr>
              <w:spacing w:after="0"/>
              <w:rPr>
                <w:sz w:val="24"/>
                <w:szCs w:val="24"/>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Fourth Quarter Ended</w:t>
            </w:r>
          </w:p>
        </w:tc>
      </w:tr>
      <w:tr>
        <w:trPr>
          <w:trHeight w:val="261"/>
        </w:trPr>
        <w:tc>
          <w:tcPr>
            <w:tcW w:w="2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93"/>
              </w:rPr>
              <w:t>March 31, 2016</w:t>
            </w:r>
            <w:r>
              <w:rPr>
                <w:rFonts w:ascii="Arial" w:cs="Arial" w:eastAsia="Arial" w:hAnsi="Arial"/>
                <w:sz w:val="25"/>
                <w:szCs w:val="25"/>
                <w:b w:val="1"/>
                <w:bCs w:val="1"/>
                <w:color w:val="auto"/>
                <w:w w:val="93"/>
                <w:vertAlign w:val="superscript"/>
              </w:rPr>
              <w:t>***</w:t>
            </w:r>
          </w:p>
        </w:tc>
        <w:tc>
          <w:tcPr>
            <w:tcW w:w="120" w:type="dxa"/>
            <w:vAlign w:val="bottom"/>
          </w:tcPr>
          <w:p>
            <w:pPr>
              <w:spacing w:after="0"/>
              <w:rPr>
                <w:sz w:val="22"/>
                <w:szCs w:val="22"/>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2016</w:t>
            </w:r>
          </w:p>
        </w:tc>
        <w:tc>
          <w:tcPr>
            <w:tcW w:w="160" w:type="dxa"/>
            <w:vAlign w:val="bottom"/>
          </w:tcPr>
          <w:p>
            <w:pPr>
              <w:spacing w:after="0"/>
              <w:rPr>
                <w:sz w:val="22"/>
                <w:szCs w:val="22"/>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 2016</w:t>
            </w:r>
          </w:p>
        </w:tc>
        <w:tc>
          <w:tcPr>
            <w:tcW w:w="160" w:type="dxa"/>
            <w:vAlign w:val="bottom"/>
          </w:tcPr>
          <w:p>
            <w:pPr>
              <w:spacing w:after="0"/>
              <w:rPr>
                <w:sz w:val="22"/>
                <w:szCs w:val="22"/>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 2016</w:t>
            </w:r>
          </w:p>
        </w:tc>
      </w:tr>
      <w:tr>
        <w:trPr>
          <w:trHeight w:val="244"/>
        </w:trPr>
        <w:tc>
          <w:tcPr>
            <w:tcW w:w="2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1,226,827</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181,385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196,218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264,804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253,115</w:t>
            </w: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2.19</w:t>
            </w:r>
          </w:p>
        </w:tc>
      </w:tr>
    </w:tbl>
    <w:p>
      <w:pPr>
        <w:spacing w:after="0" w:line="161" w:lineRule="exact"/>
        <w:rPr>
          <w:sz w:val="20"/>
          <w:szCs w:val="20"/>
          <w:color w:val="auto"/>
        </w:rPr>
      </w:pPr>
    </w:p>
    <w:p>
      <w:pPr>
        <w:jc w:val="both"/>
        <w:ind w:left="260" w:hanging="171"/>
        <w:spacing w:after="0" w:line="235" w:lineRule="auto"/>
        <w:tabs>
          <w:tab w:leader="none" w:pos="21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During the quarterly period ended June 30, 2017, the Company recorded an out-of-period adjustment to reflect a correction in the Company's accounting for its lease of its Tarrytown, New York facility. The adjustment, which was related to the March 3, 2017 lease transaction, resulted in the recognition of a non-cash loss on debt extinguishment of $30.1 million.</w:t>
      </w:r>
    </w:p>
    <w:p>
      <w:pPr>
        <w:spacing w:after="0" w:line="110" w:lineRule="exact"/>
        <w:rPr>
          <w:sz w:val="20"/>
          <w:szCs w:val="20"/>
          <w:color w:val="auto"/>
        </w:rPr>
      </w:pPr>
    </w:p>
    <w:p>
      <w:pPr>
        <w:ind w:left="260" w:hanging="171"/>
        <w:spacing w:after="0" w:line="223" w:lineRule="auto"/>
        <w:tabs>
          <w:tab w:leader="none" w:pos="287" w:val="left"/>
        </w:tabs>
        <w:numPr>
          <w:ilvl w:val="1"/>
          <w:numId w:val="41"/>
        </w:numPr>
        <w:rPr>
          <w:rFonts w:ascii="Arial" w:cs="Arial" w:eastAsia="Arial" w:hAnsi="Arial"/>
          <w:sz w:val="25"/>
          <w:szCs w:val="25"/>
          <w:color w:val="auto"/>
          <w:vertAlign w:val="superscript"/>
        </w:rPr>
      </w:pPr>
      <w:r>
        <w:rPr>
          <w:rFonts w:ascii="Arial" w:cs="Arial" w:eastAsia="Arial" w:hAnsi="Arial"/>
          <w:sz w:val="18"/>
          <w:szCs w:val="18"/>
          <w:color w:val="auto"/>
        </w:rPr>
        <w:t>As a result of the Act being signed into law on December 22, 2017, the Company recognized a charge of $326.2 million in the fourth quarter of 2017 related to the re-measurement of its U.S. net deferred tax assets at the lower enacted corporate tax rate (see Note 16).</w:t>
      </w:r>
    </w:p>
    <w:p>
      <w:pPr>
        <w:spacing w:after="0" w:line="53" w:lineRule="exact"/>
        <w:rPr>
          <w:rFonts w:ascii="Arial" w:cs="Arial" w:eastAsia="Arial" w:hAnsi="Arial"/>
          <w:sz w:val="25"/>
          <w:szCs w:val="25"/>
          <w:color w:val="auto"/>
          <w:vertAlign w:val="superscript"/>
        </w:rPr>
      </w:pPr>
    </w:p>
    <w:p>
      <w:pPr>
        <w:ind w:left="260" w:hanging="252"/>
        <w:spacing w:after="0" w:line="234" w:lineRule="auto"/>
        <w:tabs>
          <w:tab w:leader="none" w:pos="251"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Due to the adoption of ASU 2016-09 in the second quarter of 2016, the Company revised its net income from the amounts originally reported for the quarterly period ended March 31, 2016 to include a $15.6 million income tax benefit, which was originally recorded as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F- 46</w:t>
      </w:r>
    </w:p>
    <w:p>
      <w:pPr>
        <w:sectPr>
          <w:pgSz w:w="11900" w:h="16838" w:orient="portrait"/>
          <w:cols w:equalWidth="0" w:num="1">
            <w:col w:w="11420"/>
          </w:cols>
          <w:pgMar w:left="240" w:top="13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00" w:type="dxa"/>
            <w:vAlign w:val="bottom"/>
            <w:gridSpan w:val="4"/>
          </w:tcPr>
          <w:p>
            <w:pPr>
              <w:ind w:left="760"/>
              <w:spacing w:after="0"/>
              <w:rPr>
                <w:sz w:val="20"/>
                <w:szCs w:val="20"/>
                <w:color w:val="auto"/>
              </w:rPr>
            </w:pPr>
            <w:r>
              <w:rPr>
                <w:rFonts w:ascii="Arial" w:cs="Arial" w:eastAsia="Arial" w:hAnsi="Arial"/>
                <w:sz w:val="18"/>
                <w:szCs w:val="18"/>
                <w:b w:val="1"/>
                <w:bCs w:val="1"/>
                <w:color w:val="auto"/>
              </w:rPr>
              <w:t>Regeneron Pharmaceuticals, Inc.</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w w:val="98"/>
              </w:rPr>
              <w:t>777 Old Saw Mill River Road</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 for Time-Based Vesting</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rPr>
              <w:t>Tarrytown, New York 10591</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 Awards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31"/>
        </w:trPr>
        <w:tc>
          <w:tcPr>
            <w:tcW w:w="4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7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2260" w:type="dxa"/>
            <w:vAlign w:val="bottom"/>
            <w:gridSpan w:val="2"/>
          </w:tcPr>
          <w:p>
            <w:pPr>
              <w:ind w:left="760"/>
              <w:spacing w:after="0"/>
              <w:rPr>
                <w:sz w:val="20"/>
                <w:szCs w:val="20"/>
                <w:color w:val="auto"/>
              </w:rPr>
            </w:pPr>
            <w:r>
              <w:rPr>
                <w:rFonts w:ascii="Arial" w:cs="Arial" w:eastAsia="Arial" w:hAnsi="Arial"/>
                <w:sz w:val="18"/>
                <w:szCs w:val="18"/>
                <w:b w:val="1"/>
                <w:bCs w:val="1"/>
                <w:color w:val="auto"/>
              </w:rPr>
              <w:t>Option Number:</w:t>
            </w: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Plan:</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ID</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321"/>
        </w:trPr>
        <w:tc>
          <w:tcPr>
            <w:tcW w:w="4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w w:val="95"/>
              </w:rPr>
              <w:t>The total option price of the shares granted is $[   ].</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2"/>
        </w:trPr>
        <w:tc>
          <w:tcPr>
            <w:tcW w:w="6500" w:type="dxa"/>
            <w:vAlign w:val="bottom"/>
            <w:gridSpan w:val="7"/>
          </w:tcPr>
          <w:p>
            <w:pPr>
              <w:spacing w:after="0"/>
              <w:rPr>
                <w:sz w:val="20"/>
                <w:szCs w:val="20"/>
                <w:color w:val="auto"/>
              </w:rPr>
            </w:pPr>
            <w:r>
              <w:rPr>
                <w:rFonts w:ascii="Arial" w:cs="Arial" w:eastAsia="Arial" w:hAnsi="Arial"/>
                <w:sz w:val="18"/>
                <w:szCs w:val="18"/>
                <w:color w:val="auto"/>
              </w:rPr>
              <w:t>Shares in each period will become fully vested on the date shown.</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58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86"/>
              </w:rPr>
              <w:t>Vest Type</w:t>
            </w: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Full Vest</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71"/>
        </w:trPr>
        <w:tc>
          <w:tcPr>
            <w:tcW w:w="580" w:type="dxa"/>
            <w:vAlign w:val="bottom"/>
          </w:tcPr>
          <w:p>
            <w:pPr>
              <w:spacing w:after="0"/>
              <w:rPr>
                <w:sz w:val="23"/>
                <w:szCs w:val="23"/>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gridSpan w:val="3"/>
            <w:shd w:val="clear" w:color="auto" w:fill="CCEEFF"/>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3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gridSpan w:val="3"/>
            <w:shd w:val="clear" w:color="auto" w:fill="CCEEFF"/>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CEEFF"/>
            </w:tcBorders>
            <w:shd w:val="clear" w:color="auto" w:fill="CCEEFF"/>
          </w:tcPr>
          <w:p>
            <w:pPr>
              <w:spacing w:after="0"/>
              <w:rPr>
                <w:sz w:val="24"/>
                <w:szCs w:val="24"/>
                <w:color w:val="auto"/>
              </w:rPr>
            </w:pP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67"/>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color w:val="auto"/>
                <w:w w:val="93"/>
              </w:rPr>
              <w:t>The Non-Qualified Stock Option expires on [</w:t>
            </w:r>
          </w:p>
        </w:tc>
        <w:tc>
          <w:tcPr>
            <w:tcW w:w="2580" w:type="dxa"/>
            <w:vAlign w:val="bottom"/>
            <w:gridSpan w:val="3"/>
          </w:tcPr>
          <w:p>
            <w:pPr>
              <w:ind w:left="460"/>
              <w:spacing w:after="0"/>
              <w:rPr>
                <w:sz w:val="20"/>
                <w:szCs w:val="20"/>
                <w:color w:val="auto"/>
              </w:rPr>
            </w:pPr>
            <w:r>
              <w:rPr>
                <w:rFonts w:ascii="Arial" w:cs="Arial" w:eastAsia="Arial" w:hAnsi="Arial"/>
                <w:sz w:val="18"/>
                <w:szCs w:val="18"/>
                <w:color w:val="auto"/>
                <w:w w:val="98"/>
              </w:rPr>
              <w:t>]*** (the “Expiration Date”).</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294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159" w:lineRule="exact"/>
        <w:rPr>
          <w:sz w:val="20"/>
          <w:szCs w:val="20"/>
          <w:color w:val="auto"/>
        </w:rPr>
      </w:pPr>
    </w:p>
    <w:p>
      <w:pPr>
        <w:ind w:left="720" w:right="260" w:hanging="685"/>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305" w:lineRule="exact"/>
        <w:rPr>
          <w:rFonts w:ascii="Arial" w:cs="Arial" w:eastAsia="Arial" w:hAnsi="Arial"/>
          <w:sz w:val="18"/>
          <w:szCs w:val="18"/>
          <w:color w:val="auto"/>
        </w:rPr>
      </w:pPr>
    </w:p>
    <w:p>
      <w:pPr>
        <w:ind w:left="720" w:hanging="685"/>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364"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Stock Options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17"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987"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84" w:lineRule="exact"/>
        <w:rPr>
          <w:sz w:val="20"/>
          <w:szCs w:val="20"/>
          <w:color w:val="auto"/>
        </w:rPr>
      </w:pPr>
    </w:p>
    <w:p>
      <w:pPr>
        <w:jc w:val="both"/>
        <w:ind w:left="80" w:firstLine="563"/>
        <w:spacing w:after="0" w:line="319" w:lineRule="auto"/>
        <w:tabs>
          <w:tab w:leader="none" w:pos="134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Options </w:t>
      </w:r>
      <w:r>
        <w:rPr>
          <w:rFonts w:ascii="Arial" w:cs="Arial" w:eastAsia="Arial" w:hAnsi="Arial"/>
          <w:sz w:val="17"/>
          <w:szCs w:val="17"/>
          <w:color w:val="auto"/>
        </w:rPr>
        <w:t>and (ii) the Committee’s determination in accordance with Section 7(e) of the Plan.</w:t>
      </w:r>
    </w:p>
    <w:p>
      <w:pPr>
        <w:spacing w:after="0" w:line="48" w:lineRule="exact"/>
        <w:rPr>
          <w:rFonts w:ascii="Arial" w:cs="Arial" w:eastAsia="Arial" w:hAnsi="Arial"/>
          <w:sz w:val="17"/>
          <w:szCs w:val="17"/>
          <w:color w:val="auto"/>
        </w:rPr>
      </w:pPr>
    </w:p>
    <w:p>
      <w:pPr>
        <w:jc w:val="both"/>
        <w:ind w:left="80" w:firstLine="644"/>
        <w:spacing w:after="0" w:line="259" w:lineRule="auto"/>
        <w:tabs>
          <w:tab w:leader="none" w:pos="986"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Notwithstanding anything herein (except the following sentence)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but subject to the provisions of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Option shall be fully vested on the date of termination of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9" w:right="239" w:bottom="1440" w:gutter="0" w:footer="0" w:header="0"/>
        </w:sectPr>
      </w:pPr>
    </w:p>
    <w:bookmarkStart w:id="148" w:name="page149"/>
    <w:bookmarkEnd w:id="148"/>
    <w:p>
      <w:pPr>
        <w:jc w:val="both"/>
        <w:ind w:left="80"/>
        <w:spacing w:after="0" w:line="286" w:lineRule="auto"/>
        <w:rPr>
          <w:sz w:val="20"/>
          <w:szCs w:val="20"/>
          <w:color w:val="auto"/>
        </w:rPr>
      </w:pPr>
      <w:r>
        <w:rPr>
          <w:rFonts w:ascii="Arial" w:cs="Arial" w:eastAsia="Arial" w:hAnsi="Arial"/>
          <w:sz w:val="16"/>
          <w:szCs w:val="16"/>
          <w:color w:val="auto"/>
        </w:rPr>
        <w:t xml:space="preserve">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65" w:lineRule="exact"/>
        <w:rPr>
          <w:sz w:val="20"/>
          <w:szCs w:val="20"/>
          <w:color w:val="auto"/>
        </w:rPr>
      </w:pPr>
    </w:p>
    <w:p>
      <w:pPr>
        <w:jc w:val="both"/>
        <w:ind w:firstLine="656"/>
        <w:spacing w:after="0" w:line="217" w:lineRule="exact"/>
        <w:tabs>
          <w:tab w:leader="none" w:pos="97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w:t>
      </w:r>
      <w:r>
        <w:rPr>
          <w:rFonts w:ascii="Arial" w:cs="Arial" w:eastAsia="Arial" w:hAnsi="Arial"/>
          <w:sz w:val="22"/>
          <w:szCs w:val="22"/>
          <w:color w:val="auto"/>
          <w:vertAlign w:val="superscript"/>
        </w:rPr>
        <w:t>1</w:t>
      </w:r>
      <w:r>
        <w:rPr>
          <w:rFonts w:ascii="Arial" w:cs="Arial" w:eastAsia="Arial" w:hAnsi="Arial"/>
          <w:sz w:val="16"/>
          <w:szCs w:val="16"/>
          <w:color w:val="auto"/>
        </w:rPr>
        <w:t>, (C) one year after the termination if such termination is due to the Grantee’s [death or]</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29" w:lineRule="exact"/>
        <w:rPr>
          <w:sz w:val="20"/>
          <w:szCs w:val="20"/>
          <w:color w:val="auto"/>
        </w:rPr>
      </w:pPr>
    </w:p>
    <w:p>
      <w:pPr>
        <w:jc w:val="both"/>
        <w:ind w:firstLine="656"/>
        <w:spacing w:after="0" w:line="339" w:lineRule="auto"/>
        <w:tabs>
          <w:tab w:leader="none" w:pos="1506"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100" w:hanging="92"/>
        <w:spacing w:after="0" w:line="208" w:lineRule="auto"/>
        <w:tabs>
          <w:tab w:leader="none" w:pos="10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Only applicable to Option Agreements for George D. Yancopoulos, M.D., Ph.D.</w:t>
      </w:r>
    </w:p>
    <w:p>
      <w:pPr>
        <w:spacing w:after="0" w:line="2"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Not applicable to Option Agreements for George D. Yancopoulos, M.D.,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6" w:right="239" w:bottom="1440" w:gutter="0" w:footer="0" w:header="0"/>
        </w:sectPr>
      </w:pPr>
    </w:p>
    <w:bookmarkStart w:id="149" w:name="page150"/>
    <w:bookmarkEnd w:id="149"/>
    <w:p>
      <w:pPr>
        <w:jc w:val="both"/>
        <w:ind w:firstLine="656"/>
        <w:spacing w:after="0" w:line="334" w:lineRule="auto"/>
        <w:tabs>
          <w:tab w:leader="none" w:pos="14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“good reason” (or words 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 or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definition shall be deemed, solely for purposes of this Agreement, to include as one of the reasons that the employment of Leonard S. Schleifer, M.D., Ph.D. with the Company under the Amended and</w:t>
      </w:r>
    </w:p>
    <w:p>
      <w:pPr>
        <w:spacing w:after="0" w:line="9"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8"/>
          <w:szCs w:val="18"/>
          <w:color w:val="auto"/>
        </w:rPr>
        <w:t>Restated Employment Agreement, dated as of November 14, 2008, by and between Dr. Schleifer and the Company, as in effect from time to time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has ended due to Dr. Schleifer’s Involuntary Termination (as defined in the Employment Agreement)]</w:t>
      </w:r>
      <w:r>
        <w:rPr>
          <w:rFonts w:ascii="Arial" w:cs="Arial" w:eastAsia="Arial" w:hAnsi="Arial"/>
          <w:sz w:val="25"/>
          <w:szCs w:val="25"/>
          <w:color w:val="auto"/>
          <w:vertAlign w:val="superscript"/>
        </w:rPr>
        <w:t>3</w:t>
      </w:r>
      <w:r>
        <w:rPr>
          <w:rFonts w:ascii="Arial" w:cs="Arial" w:eastAsia="Arial" w:hAnsi="Arial"/>
          <w:sz w:val="18"/>
          <w:szCs w:val="18"/>
          <w:color w:val="auto"/>
        </w:rPr>
        <w:t>.</w:t>
      </w:r>
    </w:p>
    <w:p>
      <w:pPr>
        <w:spacing w:after="0" w:line="1" w:lineRule="exact"/>
        <w:rPr>
          <w:sz w:val="20"/>
          <w:szCs w:val="20"/>
          <w:color w:val="auto"/>
        </w:rPr>
      </w:pPr>
    </w:p>
    <w:p>
      <w:pPr>
        <w:jc w:val="both"/>
        <w:ind w:firstLine="656"/>
        <w:spacing w:after="0" w:line="254" w:lineRule="auto"/>
        <w:tabs>
          <w:tab w:leader="none" w:pos="103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jc w:val="both"/>
        <w:ind w:firstLine="656"/>
        <w:spacing w:after="0" w:line="281" w:lineRule="auto"/>
        <w:tabs>
          <w:tab w:leader="none" w:pos="979"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8" w:lineRule="auto"/>
        <w:tabs>
          <w:tab w:leader="none" w:pos="984"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9" w:lineRule="exact"/>
        <w:rPr>
          <w:sz w:val="20"/>
          <w:szCs w:val="20"/>
          <w:color w:val="auto"/>
        </w:rPr>
      </w:pPr>
    </w:p>
    <w:p>
      <w:pPr>
        <w:ind w:left="5660" w:right="5540" w:hanging="5652"/>
        <w:spacing w:after="0" w:line="527" w:lineRule="auto"/>
        <w:tabs>
          <w:tab w:leader="none" w:pos="93"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Only applicable to Option Agreements for George D. Yancopoulos, M.D., Ph.D. 3</w:t>
      </w:r>
    </w:p>
    <w:p>
      <w:pPr>
        <w:sectPr>
          <w:pgSz w:w="11900" w:h="16838" w:orient="portrait"/>
          <w:cols w:equalWidth="0" w:num="1">
            <w:col w:w="11420"/>
          </w:cols>
          <w:pgMar w:left="240" w:top="503" w:right="239" w:bottom="1440" w:gutter="0" w:footer="0" w:header="0"/>
        </w:sectPr>
      </w:pPr>
    </w:p>
    <w:bookmarkStart w:id="150" w:name="page151"/>
    <w:bookmarkEnd w:id="150"/>
    <w:p>
      <w:pPr>
        <w:jc w:val="both"/>
        <w:ind w:firstLine="656"/>
        <w:spacing w:after="0" w:line="266" w:lineRule="auto"/>
        <w:tabs>
          <w:tab w:leader="none" w:pos="10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260" w:type="dxa"/>
            <w:vAlign w:val="bottom"/>
            <w:gridSpan w:val="4"/>
          </w:tcPr>
          <w:p>
            <w:pPr>
              <w:ind w:left="1020"/>
              <w:spacing w:after="0"/>
              <w:rPr>
                <w:sz w:val="20"/>
                <w:szCs w:val="20"/>
                <w:color w:val="auto"/>
              </w:rPr>
            </w:pPr>
            <w:r>
              <w:rPr>
                <w:rFonts w:ascii="Arial" w:cs="Arial" w:eastAsia="Arial" w:hAnsi="Arial"/>
                <w:sz w:val="18"/>
                <w:szCs w:val="18"/>
                <w:b w:val="1"/>
                <w:bCs w:val="1"/>
                <w:color w:val="auto"/>
              </w:rPr>
              <w:t>Regeneron Pharmaceuticals, Inc.</w:t>
            </w:r>
          </w:p>
        </w:tc>
      </w:tr>
      <w:tr>
        <w:trPr>
          <w:trHeight w:val="297"/>
        </w:trPr>
        <w:tc>
          <w:tcPr>
            <w:tcW w:w="4140" w:type="dxa"/>
            <w:vAlign w:val="bottom"/>
          </w:tcPr>
          <w:p>
            <w:pPr>
              <w:spacing w:after="0"/>
              <w:rPr>
                <w:sz w:val="24"/>
                <w:szCs w:val="24"/>
                <w:color w:val="auto"/>
              </w:rPr>
            </w:pPr>
          </w:p>
        </w:tc>
        <w:tc>
          <w:tcPr>
            <w:tcW w:w="1720" w:type="dxa"/>
            <w:vAlign w:val="bottom"/>
          </w:tcPr>
          <w:p>
            <w:pPr>
              <w:ind w:left="102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300" w:type="dxa"/>
            <w:vAlign w:val="bottom"/>
            <w:gridSpan w:val="3"/>
          </w:tcPr>
          <w:p>
            <w:pPr>
              <w:ind w:left="1020"/>
              <w:spacing w:after="0"/>
              <w:rPr>
                <w:sz w:val="20"/>
                <w:szCs w:val="20"/>
                <w:color w:val="auto"/>
              </w:rPr>
            </w:pPr>
            <w:r>
              <w:rPr>
                <w:rFonts w:ascii="Arial" w:cs="Arial" w:eastAsia="Arial" w:hAnsi="Arial"/>
                <w:sz w:val="18"/>
                <w:szCs w:val="18"/>
                <w:color w:val="auto"/>
                <w:w w:val="98"/>
              </w:rPr>
              <w:t>777 Old Saw Mill River Road</w:t>
            </w:r>
          </w:p>
        </w:tc>
        <w:tc>
          <w:tcPr>
            <w:tcW w:w="3960" w:type="dxa"/>
            <w:vAlign w:val="bottom"/>
          </w:tcPr>
          <w:p>
            <w:pPr>
              <w:spacing w:after="0"/>
              <w:rPr>
                <w:sz w:val="24"/>
                <w:szCs w:val="24"/>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 for Time Vesting</w:t>
            </w:r>
          </w:p>
        </w:tc>
        <w:tc>
          <w:tcPr>
            <w:tcW w:w="3300" w:type="dxa"/>
            <w:vAlign w:val="bottom"/>
            <w:gridSpan w:val="3"/>
          </w:tcPr>
          <w:p>
            <w:pPr>
              <w:ind w:left="1020"/>
              <w:spacing w:after="0"/>
              <w:rPr>
                <w:sz w:val="20"/>
                <w:szCs w:val="20"/>
                <w:color w:val="auto"/>
              </w:rPr>
            </w:pPr>
            <w:r>
              <w:rPr>
                <w:rFonts w:ascii="Arial" w:cs="Arial" w:eastAsia="Arial" w:hAnsi="Arial"/>
                <w:sz w:val="18"/>
                <w:szCs w:val="18"/>
                <w:color w:val="auto"/>
              </w:rPr>
              <w:t>Tarrytown, New York 10591</w:t>
            </w:r>
          </w:p>
        </w:tc>
        <w:tc>
          <w:tcPr>
            <w:tcW w:w="3960" w:type="dxa"/>
            <w:vAlign w:val="bottom"/>
          </w:tcPr>
          <w:p>
            <w:pPr>
              <w:spacing w:after="0"/>
              <w:rPr>
                <w:sz w:val="24"/>
                <w:szCs w:val="24"/>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Option Awards</w:t>
            </w: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31"/>
        </w:trPr>
        <w:tc>
          <w:tcPr>
            <w:tcW w:w="4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7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2520" w:type="dxa"/>
            <w:vAlign w:val="bottom"/>
            <w:gridSpan w:val="2"/>
          </w:tcPr>
          <w:p>
            <w:pPr>
              <w:ind w:left="1020"/>
              <w:spacing w:after="0"/>
              <w:rPr>
                <w:sz w:val="20"/>
                <w:szCs w:val="20"/>
                <w:color w:val="auto"/>
              </w:rPr>
            </w:pPr>
            <w:r>
              <w:rPr>
                <w:rFonts w:ascii="Arial" w:cs="Arial" w:eastAsia="Arial" w:hAnsi="Arial"/>
                <w:sz w:val="18"/>
                <w:szCs w:val="18"/>
                <w:b w:val="1"/>
                <w:bCs w:val="1"/>
                <w:color w:val="auto"/>
              </w:rPr>
              <w:t>Option Number:</w:t>
            </w: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1720" w:type="dxa"/>
            <w:vAlign w:val="bottom"/>
          </w:tcPr>
          <w:p>
            <w:pPr>
              <w:ind w:left="1020"/>
              <w:spacing w:after="0"/>
              <w:rPr>
                <w:sz w:val="20"/>
                <w:szCs w:val="20"/>
                <w:color w:val="auto"/>
              </w:rPr>
            </w:pPr>
            <w:r>
              <w:rPr>
                <w:rFonts w:ascii="Arial" w:cs="Arial" w:eastAsia="Arial" w:hAnsi="Arial"/>
                <w:sz w:val="18"/>
                <w:szCs w:val="18"/>
                <w:b w:val="1"/>
                <w:bCs w:val="1"/>
                <w:color w:val="auto"/>
              </w:rPr>
              <w:t>Plan:</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140" w:type="dxa"/>
            <w:vAlign w:val="bottom"/>
          </w:tcPr>
          <w:p>
            <w:pPr>
              <w:spacing w:after="0"/>
              <w:rPr>
                <w:sz w:val="24"/>
                <w:szCs w:val="24"/>
                <w:color w:val="auto"/>
              </w:rPr>
            </w:pPr>
          </w:p>
        </w:tc>
        <w:tc>
          <w:tcPr>
            <w:tcW w:w="1720" w:type="dxa"/>
            <w:vAlign w:val="bottom"/>
          </w:tcPr>
          <w:p>
            <w:pPr>
              <w:ind w:left="1020"/>
              <w:spacing w:after="0"/>
              <w:rPr>
                <w:sz w:val="20"/>
                <w:szCs w:val="20"/>
                <w:color w:val="auto"/>
              </w:rPr>
            </w:pPr>
            <w:r>
              <w:rPr>
                <w:rFonts w:ascii="Arial" w:cs="Arial" w:eastAsia="Arial" w:hAnsi="Arial"/>
                <w:sz w:val="18"/>
                <w:szCs w:val="18"/>
                <w:b w:val="1"/>
                <w:bCs w:val="1"/>
                <w:color w:val="auto"/>
              </w:rPr>
              <w:t>ID</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321"/>
        </w:trPr>
        <w:tc>
          <w:tcPr>
            <w:tcW w:w="4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920"/>
        <w:spacing w:after="0" w:line="340" w:lineRule="auto"/>
        <w:rPr>
          <w:sz w:val="20"/>
          <w:szCs w:val="20"/>
          <w:color w:val="auto"/>
        </w:rPr>
      </w:pPr>
      <w:r>
        <w:rPr>
          <w:rFonts w:ascii="Arial" w:cs="Arial" w:eastAsia="Arial" w:hAnsi="Arial"/>
          <w:sz w:val="18"/>
          <w:szCs w:val="18"/>
          <w:color w:val="auto"/>
        </w:rPr>
        <w:t>Effective &lt;date&gt; (the “Grant Date”) you have been granted an Incentive Stock Option to buy [ ] shares of Regeneron Pharmaceuticals, Inc. (the “Company”) stock at $[ ] per share.</w:t>
      </w:r>
    </w:p>
    <w:p>
      <w:pPr>
        <w:spacing w:after="0" w:line="116"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5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6"/>
              </w:rPr>
              <w:t>Vest Type</w:t>
            </w: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0"/>
              </w:rPr>
              <w:t>Full Vest</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71"/>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gridSpan w:val="3"/>
            <w:shd w:val="clear" w:color="auto" w:fill="CCEEFF"/>
          </w:tcPr>
          <w:p>
            <w:pPr>
              <w:jc w:val="center"/>
              <w:ind w:right="1180"/>
              <w:spacing w:after="0"/>
              <w:rPr>
                <w:sz w:val="20"/>
                <w:szCs w:val="20"/>
                <w:color w:val="auto"/>
              </w:rPr>
            </w:pPr>
            <w:r>
              <w:rPr>
                <w:rFonts w:ascii="Arial" w:cs="Arial" w:eastAsia="Arial" w:hAnsi="Arial"/>
                <w:sz w:val="18"/>
                <w:szCs w:val="18"/>
                <w:color w:val="auto"/>
                <w:w w:val="88"/>
              </w:rPr>
              <w:t>On Vest Date</w:t>
            </w:r>
          </w:p>
        </w:tc>
        <w:tc>
          <w:tcPr>
            <w:tcW w:w="1880" w:type="dxa"/>
            <w:vAlign w:val="bottom"/>
            <w:tcBorders>
              <w:bottom w:val="single" w:sz="8" w:color="CCEEFF"/>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80" w:type="dxa"/>
            <w:vAlign w:val="bottom"/>
            <w:gridSpan w:val="3"/>
          </w:tcPr>
          <w:p>
            <w:pPr>
              <w:jc w:val="center"/>
              <w:ind w:right="1180"/>
              <w:spacing w:after="0"/>
              <w:rPr>
                <w:sz w:val="20"/>
                <w:szCs w:val="20"/>
                <w:color w:val="auto"/>
              </w:rPr>
            </w:pPr>
            <w:r>
              <w:rPr>
                <w:rFonts w:ascii="Arial" w:cs="Arial" w:eastAsia="Arial" w:hAnsi="Arial"/>
                <w:sz w:val="18"/>
                <w:szCs w:val="18"/>
                <w:color w:val="auto"/>
                <w:w w:val="88"/>
              </w:rPr>
              <w:t>On Vest Date</w:t>
            </w:r>
          </w:p>
        </w:tc>
        <w:tc>
          <w:tcPr>
            <w:tcW w:w="1880" w:type="dxa"/>
            <w:vAlign w:val="bottom"/>
          </w:tcPr>
          <w:p>
            <w:pPr>
              <w:jc w:val="center"/>
              <w:ind w:right="4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7"/>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gridSpan w:val="3"/>
            <w:shd w:val="clear" w:color="auto" w:fill="CCEEFF"/>
          </w:tcPr>
          <w:p>
            <w:pPr>
              <w:jc w:val="center"/>
              <w:ind w:right="1180"/>
              <w:spacing w:after="0"/>
              <w:rPr>
                <w:sz w:val="20"/>
                <w:szCs w:val="20"/>
                <w:color w:val="auto"/>
              </w:rPr>
            </w:pPr>
            <w:r>
              <w:rPr>
                <w:rFonts w:ascii="Arial" w:cs="Arial" w:eastAsia="Arial" w:hAnsi="Arial"/>
                <w:sz w:val="18"/>
                <w:szCs w:val="18"/>
                <w:color w:val="auto"/>
                <w:w w:val="88"/>
              </w:rPr>
              <w:t>On Vest Date</w:t>
            </w:r>
          </w:p>
        </w:tc>
        <w:tc>
          <w:tcPr>
            <w:tcW w:w="1880" w:type="dxa"/>
            <w:vAlign w:val="bottom"/>
            <w:tcBorders>
              <w:bottom w:val="single" w:sz="8" w:color="CCEEFF"/>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CEEFF"/>
            </w:tcBorders>
            <w:shd w:val="clear" w:color="auto" w:fill="CCEEFF"/>
          </w:tcPr>
          <w:p>
            <w:pPr>
              <w:spacing w:after="0"/>
              <w:rPr>
                <w:sz w:val="24"/>
                <w:szCs w:val="24"/>
                <w:color w:val="auto"/>
              </w:rPr>
            </w:pP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580" w:type="dxa"/>
            <w:vAlign w:val="bottom"/>
            <w:gridSpan w:val="3"/>
          </w:tcPr>
          <w:p>
            <w:pPr>
              <w:jc w:val="center"/>
              <w:ind w:right="1180"/>
              <w:spacing w:after="0"/>
              <w:rPr>
                <w:sz w:val="20"/>
                <w:szCs w:val="20"/>
                <w:color w:val="auto"/>
              </w:rPr>
            </w:pPr>
            <w:r>
              <w:rPr>
                <w:rFonts w:ascii="Arial" w:cs="Arial" w:eastAsia="Arial" w:hAnsi="Arial"/>
                <w:sz w:val="18"/>
                <w:szCs w:val="18"/>
                <w:color w:val="auto"/>
                <w:w w:val="88"/>
              </w:rPr>
              <w:t>On Vest Date</w:t>
            </w:r>
          </w:p>
        </w:tc>
        <w:tc>
          <w:tcPr>
            <w:tcW w:w="1880" w:type="dxa"/>
            <w:vAlign w:val="bottom"/>
          </w:tcPr>
          <w:p>
            <w:pPr>
              <w:jc w:val="center"/>
              <w:ind w:right="4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67"/>
        </w:trPr>
        <w:tc>
          <w:tcPr>
            <w:tcW w:w="3140" w:type="dxa"/>
            <w:vAlign w:val="bottom"/>
            <w:gridSpan w:val="3"/>
          </w:tcPr>
          <w:p>
            <w:pPr>
              <w:ind w:left="40"/>
              <w:spacing w:after="0"/>
              <w:rPr>
                <w:sz w:val="20"/>
                <w:szCs w:val="20"/>
                <w:color w:val="auto"/>
              </w:rPr>
            </w:pPr>
            <w:r>
              <w:rPr>
                <w:rFonts w:ascii="Arial" w:cs="Arial" w:eastAsia="Arial" w:hAnsi="Arial"/>
                <w:sz w:val="18"/>
                <w:szCs w:val="18"/>
                <w:color w:val="auto"/>
                <w:w w:val="98"/>
              </w:rPr>
              <w:t>The Incentive Stock Option expires on [</w:t>
            </w:r>
          </w:p>
        </w:tc>
        <w:tc>
          <w:tcPr>
            <w:tcW w:w="2580" w:type="dxa"/>
            <w:vAlign w:val="bottom"/>
            <w:gridSpan w:val="3"/>
          </w:tcPr>
          <w:p>
            <w:pPr>
              <w:ind w:left="280"/>
              <w:spacing w:after="0"/>
              <w:rPr>
                <w:sz w:val="20"/>
                <w:szCs w:val="20"/>
                <w:color w:val="auto"/>
              </w:rPr>
            </w:pPr>
            <w:r>
              <w:rPr>
                <w:rFonts w:ascii="Arial" w:cs="Arial" w:eastAsia="Arial" w:hAnsi="Arial"/>
                <w:sz w:val="18"/>
                <w:szCs w:val="18"/>
                <w:color w:val="auto"/>
              </w:rPr>
              <w:t>]*** (the “Expiration Date”).</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294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159" w:lineRule="exact"/>
        <w:rPr>
          <w:sz w:val="20"/>
          <w:szCs w:val="20"/>
          <w:color w:val="auto"/>
        </w:rPr>
      </w:pPr>
    </w:p>
    <w:p>
      <w:pPr>
        <w:ind w:left="620" w:right="360" w:hanging="585"/>
        <w:spacing w:after="0" w:line="277"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305" w:lineRule="exact"/>
        <w:rPr>
          <w:rFonts w:ascii="Arial" w:cs="Arial" w:eastAsia="Arial" w:hAnsi="Arial"/>
          <w:sz w:val="18"/>
          <w:szCs w:val="18"/>
          <w:color w:val="auto"/>
        </w:rPr>
      </w:pPr>
    </w:p>
    <w:p>
      <w:pPr>
        <w:ind w:left="620" w:hanging="585"/>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364"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Incentive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1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Stock Options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18" w:lineRule="exact"/>
        <w:tabs>
          <w:tab w:leader="none" w:pos="1017"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Option is intended to be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w:t>
      </w:r>
      <w:r>
        <w:rPr>
          <w:rFonts w:ascii="Arial" w:cs="Arial" w:eastAsia="Arial" w:hAnsi="Arial"/>
          <w:sz w:val="16"/>
          <w:szCs w:val="16"/>
          <w:u w:val="single" w:color="auto"/>
          <w:color w:val="auto"/>
        </w:rPr>
        <w:t>Subsidiary</w:t>
      </w:r>
      <w:r>
        <w:rPr>
          <w:rFonts w:ascii="Arial" w:cs="Arial" w:eastAsia="Arial" w:hAnsi="Arial"/>
          <w:sz w:val="16"/>
          <w:szCs w:val="16"/>
          <w:color w:val="auto"/>
        </w:rPr>
        <w:t>”)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w:t>
      </w:r>
    </w:p>
    <w:p>
      <w:pPr>
        <w:spacing w:after="0" w:line="91" w:lineRule="exact"/>
        <w:rPr>
          <w:rFonts w:ascii="Arial" w:cs="Arial" w:eastAsia="Arial" w:hAnsi="Arial"/>
          <w:sz w:val="16"/>
          <w:szCs w:val="16"/>
          <w:b w:val="1"/>
          <w:bCs w:val="1"/>
          <w:color w:val="auto"/>
        </w:rPr>
      </w:pPr>
    </w:p>
    <w:p>
      <w:pPr>
        <w:jc w:val="both"/>
        <w:ind w:firstLine="656"/>
        <w:spacing w:after="0" w:line="292" w:lineRule="auto"/>
        <w:tabs>
          <w:tab w:leader="none" w:pos="987"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58" w:lineRule="exact"/>
        <w:rPr>
          <w:sz w:val="20"/>
          <w:szCs w:val="20"/>
          <w:color w:val="auto"/>
        </w:rPr>
      </w:pPr>
    </w:p>
    <w:p>
      <w:pPr>
        <w:jc w:val="both"/>
        <w:ind w:firstLine="656"/>
        <w:spacing w:after="0" w:line="270" w:lineRule="auto"/>
        <w:tabs>
          <w:tab w:leader="none" w:pos="9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 xml:space="preserve">Notice of Grant of Stock Options </w:t>
      </w:r>
      <w:r>
        <w:rPr>
          <w:rFonts w:ascii="Arial" w:cs="Arial" w:eastAsia="Arial" w:hAnsi="Arial"/>
          <w:sz w:val="17"/>
          <w:szCs w:val="17"/>
          <w:color w:val="auto"/>
        </w:rPr>
        <w:t>or any employment agreement, consulting agreement, change in control agreement or plan, or similar agreement or plan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(ii) the Committee’s determination in accordance with Section 7(e) of the Plan.</w:t>
      </w:r>
    </w:p>
    <w:p>
      <w:pPr>
        <w:spacing w:after="0" w:line="20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153" w:name="page154"/>
    <w:bookmarkEnd w:id="153"/>
    <w:p>
      <w:pPr>
        <w:jc w:val="both"/>
        <w:ind w:firstLine="656"/>
        <w:spacing w:after="0" w:line="285" w:lineRule="auto"/>
        <w:tabs>
          <w:tab w:leader="none" w:pos="90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Notice of Grant of Stock Options to the contrary, but subject to the provisions of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61" w:lineRule="exact"/>
        <w:rPr>
          <w:sz w:val="20"/>
          <w:szCs w:val="20"/>
          <w:color w:val="auto"/>
        </w:rPr>
      </w:pPr>
    </w:p>
    <w:p>
      <w:pPr>
        <w:jc w:val="both"/>
        <w:ind w:firstLine="656"/>
        <w:spacing w:after="0" w:line="217" w:lineRule="exact"/>
        <w:tabs>
          <w:tab w:leader="none" w:pos="97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w:t>
      </w:r>
      <w:r>
        <w:rPr>
          <w:rFonts w:ascii="Arial" w:cs="Arial" w:eastAsia="Arial" w:hAnsi="Arial"/>
          <w:sz w:val="22"/>
          <w:szCs w:val="22"/>
          <w:color w:val="auto"/>
          <w:vertAlign w:val="superscript"/>
        </w:rPr>
        <w:t>1</w:t>
      </w:r>
      <w:r>
        <w:rPr>
          <w:rFonts w:ascii="Arial" w:cs="Arial" w:eastAsia="Arial" w:hAnsi="Arial"/>
          <w:sz w:val="16"/>
          <w:szCs w:val="16"/>
          <w:color w:val="auto"/>
        </w:rPr>
        <w:t>, (C) one year after the termination if such termination is due to the Grantee’s [death or]</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01" w:lineRule="exact"/>
        <w:rPr>
          <w:rFonts w:ascii="Arial" w:cs="Arial" w:eastAsia="Arial" w:hAnsi="Arial"/>
          <w:sz w:val="16"/>
          <w:szCs w:val="16"/>
          <w:b w:val="1"/>
          <w:bCs w:val="1"/>
          <w:color w:val="auto"/>
        </w:rPr>
      </w:pPr>
    </w:p>
    <w:p>
      <w:pPr>
        <w:jc w:val="both"/>
        <w:ind w:firstLine="1305"/>
        <w:spacing w:after="0" w:line="286" w:lineRule="auto"/>
        <w:tabs>
          <w:tab w:leader="none" w:pos="1565"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ind w:left="100" w:hanging="92"/>
        <w:spacing w:after="0" w:line="208" w:lineRule="auto"/>
        <w:tabs>
          <w:tab w:leader="none" w:pos="100" w:val="left"/>
        </w:tabs>
        <w:numPr>
          <w:ilvl w:val="0"/>
          <w:numId w:val="59"/>
        </w:numPr>
        <w:rPr>
          <w:rFonts w:ascii="Arial" w:cs="Arial" w:eastAsia="Arial" w:hAnsi="Arial"/>
          <w:sz w:val="24"/>
          <w:szCs w:val="24"/>
          <w:color w:val="auto"/>
          <w:vertAlign w:val="superscript"/>
        </w:rPr>
      </w:pPr>
      <w:r>
        <w:rPr>
          <w:rFonts w:ascii="Arial" w:cs="Arial" w:eastAsia="Arial" w:hAnsi="Arial"/>
          <w:sz w:val="17"/>
          <w:szCs w:val="17"/>
          <w:color w:val="auto"/>
        </w:rPr>
        <w:t>Only applicable to Option Agreements for George D. Yancopoulos, M.D., Ph.D.</w:t>
      </w:r>
    </w:p>
    <w:p>
      <w:pPr>
        <w:spacing w:after="0" w:line="2"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Not applicable to Option Agreements for George D. Yancopoulos, M.D., Ph.D.</w:t>
      </w:r>
    </w:p>
    <w:p>
      <w:pPr>
        <w:spacing w:after="0" w:line="200" w:lineRule="exact"/>
        <w:rPr>
          <w:sz w:val="20"/>
          <w:szCs w:val="20"/>
          <w:color w:val="auto"/>
        </w:rPr>
      </w:pPr>
    </w:p>
    <w:p>
      <w:pPr>
        <w:spacing w:after="0" w:line="3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7" w:right="239" w:bottom="1440" w:gutter="0" w:footer="0" w:header="0"/>
        </w:sectPr>
      </w:pPr>
    </w:p>
    <w:bookmarkStart w:id="154" w:name="page155"/>
    <w:bookmarkEnd w:id="154"/>
    <w:p>
      <w:pPr>
        <w:jc w:val="both"/>
        <w:ind w:firstLine="1305"/>
        <w:spacing w:after="0" w:line="284" w:lineRule="auto"/>
        <w:tabs>
          <w:tab w:leader="none" w:pos="1568" w:val="left"/>
        </w:tabs>
        <w:numPr>
          <w:ilvl w:val="1"/>
          <w:numId w:val="6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“good reason” (or words 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 or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has ended due to Dr. Schleifer’s Involuntary Termination (as defined in the Employment Agreement)]</w:t>
      </w:r>
      <w:r>
        <w:rPr>
          <w:rFonts w:ascii="Arial" w:cs="Arial" w:eastAsia="Arial" w:hAnsi="Arial"/>
          <w:sz w:val="22"/>
          <w:szCs w:val="22"/>
          <w:color w:val="auto"/>
          <w:vertAlign w:val="superscript"/>
        </w:rPr>
        <w:t>3</w:t>
      </w:r>
      <w:r>
        <w:rPr>
          <w:rFonts w:ascii="Arial" w:cs="Arial" w:eastAsia="Arial" w:hAnsi="Arial"/>
          <w:sz w:val="16"/>
          <w:szCs w:val="16"/>
          <w:color w:val="auto"/>
        </w:rPr>
        <w:t>.</w:t>
      </w:r>
    </w:p>
    <w:p>
      <w:pPr>
        <w:jc w:val="both"/>
        <w:ind w:firstLine="656"/>
        <w:spacing w:after="0" w:line="252" w:lineRule="auto"/>
        <w:tabs>
          <w:tab w:leader="none" w:pos="103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86" w:lineRule="exact"/>
        <w:rPr>
          <w:rFonts w:ascii="Arial" w:cs="Arial" w:eastAsia="Arial" w:hAnsi="Arial"/>
          <w:sz w:val="18"/>
          <w:szCs w:val="18"/>
          <w:b w:val="1"/>
          <w:bCs w:val="1"/>
          <w:color w:val="auto"/>
        </w:rPr>
      </w:pPr>
    </w:p>
    <w:p>
      <w:pPr>
        <w:jc w:val="both"/>
        <w:ind w:firstLine="656"/>
        <w:spacing w:after="0" w:line="281" w:lineRule="auto"/>
        <w:tabs>
          <w:tab w:leader="none" w:pos="979"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8" w:lineRule="auto"/>
        <w:tabs>
          <w:tab w:leader="none" w:pos="984"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9" w:lineRule="exact"/>
        <w:rPr>
          <w:sz w:val="20"/>
          <w:szCs w:val="20"/>
          <w:color w:val="auto"/>
        </w:rPr>
      </w:pPr>
    </w:p>
    <w:p>
      <w:pPr>
        <w:ind w:left="5480" w:right="5540" w:hanging="5472"/>
        <w:spacing w:after="0" w:line="495" w:lineRule="auto"/>
        <w:tabs>
          <w:tab w:leader="none" w:pos="111"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Only applicable to Option Agreements for George D. Yancopoulos, M.D., Ph.D. 3</w:t>
      </w:r>
    </w:p>
    <w:p>
      <w:pPr>
        <w:sectPr>
          <w:pgSz w:w="11900" w:h="16838" w:orient="portrait"/>
          <w:cols w:equalWidth="0" w:num="1">
            <w:col w:w="11420"/>
          </w:cols>
          <w:pgMar w:left="240" w:top="476" w:right="239" w:bottom="1440" w:gutter="0" w:footer="0" w:header="0"/>
        </w:sectPr>
      </w:pPr>
    </w:p>
    <w:bookmarkStart w:id="155" w:name="page156"/>
    <w:bookmarkEnd w:id="155"/>
    <w:p>
      <w:pPr>
        <w:jc w:val="both"/>
        <w:ind w:firstLine="656"/>
        <w:spacing w:after="0" w:line="266" w:lineRule="auto"/>
        <w:tabs>
          <w:tab w:leader="none" w:pos="10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200" w:lineRule="exact"/>
        <w:rPr>
          <w:sz w:val="20"/>
          <w:szCs w:val="20"/>
          <w:color w:val="auto"/>
        </w:rPr>
      </w:pPr>
    </w:p>
    <w:p>
      <w:pPr>
        <w:spacing w:after="0" w:line="26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2" w:right="239" w:bottom="1440" w:gutter="0" w:footer="0" w:header="0"/>
        </w:sectPr>
      </w:pPr>
    </w:p>
    <w:bookmarkStart w:id="156" w:name="page157"/>
    <w:bookmarkEnd w:id="156"/>
    <w:p>
      <w:pPr>
        <w:ind w:left="10260"/>
        <w:spacing w:after="0"/>
        <w:rPr>
          <w:sz w:val="20"/>
          <w:szCs w:val="20"/>
          <w:color w:val="auto"/>
        </w:rPr>
      </w:pPr>
      <w:r>
        <w:rPr>
          <w:rFonts w:ascii="Arial" w:cs="Arial" w:eastAsia="Arial" w:hAnsi="Arial"/>
          <w:sz w:val="16"/>
          <w:szCs w:val="16"/>
          <w:b w:val="1"/>
          <w:bCs w:val="1"/>
          <w:color w:val="auto"/>
        </w:rPr>
        <w:t>Exhibit 10.2.13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420"/>
          </w:cols>
          <w:pgMar w:left="240" w:top="364" w:right="239" w:bottom="1440" w:gutter="0" w:footer="0" w:header="0"/>
        </w:sectPr>
      </w:pP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6" w:lineRule="exact"/>
        <w:rPr>
          <w:sz w:val="20"/>
          <w:szCs w:val="20"/>
          <w:color w:val="auto"/>
        </w:rPr>
      </w:pPr>
    </w:p>
    <w:p>
      <w:pPr>
        <w:sectPr>
          <w:pgSz w:w="11900" w:h="16838" w:orient="portrait"/>
          <w:cols w:equalWidth="0" w:num="3">
            <w:col w:w="5900" w:space="60"/>
            <w:col w:w="60" w:space="580"/>
            <w:col w:w="482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Notice of Grant of Stock Options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and Option Agreement for Time-Based 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777 Old Saw Mill River Road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98" w:lineRule="exact"/>
        <w:rPr>
          <w:sz w:val="20"/>
          <w:szCs w:val="20"/>
          <w:color w:val="auto"/>
        </w:rPr>
      </w:pPr>
    </w:p>
    <w:p>
      <w:pPr>
        <w:sectPr>
          <w:pgSz w:w="11900" w:h="16838" w:orient="portrait"/>
          <w:cols w:equalWidth="0" w:num="2">
            <w:col w:w="4920" w:space="720"/>
            <w:col w:w="5780"/>
          </w:cols>
          <w:pgMar w:left="240" w:top="364" w:right="239" w:bottom="1440" w:gutter="0" w:footer="0" w:header="0"/>
          <w:type w:val="continuous"/>
        </w:sectPr>
      </w:pPr>
    </w:p>
    <w:tbl>
      <w:tblPr>
        <w:tblLayout w:type="fixed"/>
        <w:tblInd w:w="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3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567"/>
        </w:trPr>
        <w:tc>
          <w:tcPr>
            <w:tcW w:w="38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3380" w:type="dxa"/>
            <w:vAlign w:val="bottom"/>
          </w:tcPr>
          <w:p>
            <w:pPr>
              <w:ind w:left="1880"/>
              <w:spacing w:after="0"/>
              <w:rPr>
                <w:sz w:val="20"/>
                <w:szCs w:val="20"/>
                <w:color w:val="auto"/>
              </w:rPr>
            </w:pPr>
            <w:r>
              <w:rPr>
                <w:rFonts w:ascii="Arial" w:cs="Arial" w:eastAsia="Arial" w:hAnsi="Arial"/>
                <w:sz w:val="18"/>
                <w:szCs w:val="18"/>
                <w:b w:val="1"/>
                <w:bCs w:val="1"/>
                <w:color w:val="auto"/>
              </w:rPr>
              <w:t>Option Number:</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4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3380" w:type="dxa"/>
            <w:vAlign w:val="bottom"/>
          </w:tcPr>
          <w:p>
            <w:pPr>
              <w:ind w:left="1880"/>
              <w:spacing w:after="0"/>
              <w:rPr>
                <w:sz w:val="20"/>
                <w:szCs w:val="20"/>
                <w:color w:val="auto"/>
              </w:rPr>
            </w:pPr>
            <w:r>
              <w:rPr>
                <w:rFonts w:ascii="Arial" w:cs="Arial" w:eastAsia="Arial" w:hAnsi="Arial"/>
                <w:sz w:val="18"/>
                <w:szCs w:val="18"/>
                <w:b w:val="1"/>
                <w:bCs w:val="1"/>
                <w:color w:val="auto"/>
              </w:rPr>
              <w:t>Plan:</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40" w:type="dxa"/>
            <w:vAlign w:val="bottom"/>
          </w:tcPr>
          <w:p>
            <w:pPr>
              <w:spacing w:after="0"/>
              <w:rPr>
                <w:sz w:val="23"/>
                <w:szCs w:val="23"/>
                <w:color w:val="auto"/>
              </w:rPr>
            </w:pPr>
          </w:p>
        </w:tc>
        <w:tc>
          <w:tcPr>
            <w:tcW w:w="3380" w:type="dxa"/>
            <w:vAlign w:val="bottom"/>
          </w:tcPr>
          <w:p>
            <w:pPr>
              <w:ind w:left="1880"/>
              <w:spacing w:after="0"/>
              <w:rPr>
                <w:sz w:val="20"/>
                <w:szCs w:val="20"/>
                <w:color w:val="auto"/>
              </w:rPr>
            </w:pPr>
            <w:r>
              <w:rPr>
                <w:rFonts w:ascii="Arial" w:cs="Arial" w:eastAsia="Arial" w:hAnsi="Arial"/>
                <w:sz w:val="18"/>
                <w:szCs w:val="18"/>
                <w:b w:val="1"/>
                <w:bCs w:val="1"/>
                <w:color w:val="auto"/>
              </w:rPr>
              <w:t>ID</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70" w:lineRule="exact"/>
        <w:rPr>
          <w:sz w:val="20"/>
          <w:szCs w:val="20"/>
          <w:color w:val="auto"/>
        </w:rPr>
      </w:pPr>
    </w:p>
    <w:p>
      <w:pPr>
        <w:spacing w:after="0"/>
        <w:tabs>
          <w:tab w:leader="none" w:pos="362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0" w:lineRule="exact"/>
        <w:rPr>
          <w:sz w:val="20"/>
          <w:szCs w:val="20"/>
          <w:color w:val="auto"/>
        </w:rPr>
      </w:pP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 Type</w:t>
            </w:r>
          </w:p>
        </w:tc>
        <w:tc>
          <w:tcPr>
            <w:tcW w:w="3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Full Vest</w:t>
            </w:r>
          </w:p>
        </w:tc>
        <w:tc>
          <w:tcPr>
            <w:tcW w:w="28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bl>
    <w:p>
      <w:pPr>
        <w:spacing w:after="0" w:line="200" w:lineRule="exact"/>
        <w:rPr>
          <w:sz w:val="20"/>
          <w:szCs w:val="20"/>
          <w:color w:val="auto"/>
        </w:rPr>
      </w:pPr>
    </w:p>
    <w:p>
      <w:pPr>
        <w:spacing w:after="0" w:line="24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54" w:lineRule="exact"/>
        <w:rPr>
          <w:sz w:val="20"/>
          <w:szCs w:val="20"/>
          <w:color w:val="auto"/>
        </w:rPr>
      </w:pPr>
    </w:p>
    <w:p>
      <w:pPr>
        <w:ind w:left="460" w:right="16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Options will vest in approximately equal annual 25% installments. Full Vest Dates will occur on the first, second, third and fourth anniversaries of the Grant Date.</w:t>
      </w:r>
    </w:p>
    <w:p>
      <w:pPr>
        <w:sectPr>
          <w:pgSz w:w="11900" w:h="16838" w:orient="portrait"/>
          <w:cols w:equalWidth="0" w:num="1">
            <w:col w:w="11420"/>
          </w:cols>
          <w:pgMar w:left="240" w:top="364" w:right="239"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WHEREAS, the Committee (or the person or persons to whom the Committee has delegated the relevant authority pursuant to Section 4 of the Plan (as defined below) (the Committee or such person or person being referred to in this Agreement as the “</w:t>
      </w:r>
      <w:r>
        <w:rPr>
          <w:rFonts w:ascii="Arial" w:cs="Arial" w:eastAsia="Arial" w:hAnsi="Arial"/>
          <w:sz w:val="17"/>
          <w:szCs w:val="17"/>
          <w:u w:val="single" w:color="auto"/>
          <w:color w:val="auto"/>
        </w:rPr>
        <w:t>Committee</w:t>
      </w:r>
      <w:r>
        <w:rPr>
          <w:rFonts w:ascii="Arial" w:cs="Arial" w:eastAsia="Arial" w:hAnsi="Arial"/>
          <w:sz w:val="17"/>
          <w:szCs w:val="17"/>
          <w:color w:val="auto"/>
        </w:rPr>
        <w:t>”)) administering the Amended and Restated Regeneron Pharmaceuticals, Inc. 2014 Long</w:t>
      </w:r>
      <w:r>
        <w:rPr>
          <w:rFonts w:ascii="MS PGothic" w:cs="MS PGothic" w:eastAsia="MS PGothic" w:hAnsi="MS PGothic"/>
          <w:sz w:val="17"/>
          <w:szCs w:val="17"/>
          <w:color w:val="auto"/>
        </w:rPr>
        <w:t>‑</w:t>
      </w:r>
      <w:r>
        <w:rPr>
          <w:rFonts w:ascii="Arial" w:cs="Arial" w:eastAsia="Arial" w:hAnsi="Arial"/>
          <w:sz w:val="17"/>
          <w:szCs w:val="17"/>
          <w:color w:val="auto"/>
        </w:rPr>
        <w:t>Term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has granted (as of the effective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Grantee a Stock Option to purchase the number of shares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as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17"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987"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84" w:lineRule="exact"/>
        <w:rPr>
          <w:sz w:val="20"/>
          <w:szCs w:val="20"/>
          <w:color w:val="auto"/>
        </w:rPr>
      </w:pPr>
    </w:p>
    <w:p>
      <w:pPr>
        <w:jc w:val="both"/>
        <w:ind w:left="80" w:firstLine="563"/>
        <w:spacing w:after="0" w:line="319" w:lineRule="auto"/>
        <w:tabs>
          <w:tab w:leader="none" w:pos="1343"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any employment agreement, consulting agreement or similar agreement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(ii) the Committee’s determination in accordance with Section 7(e) of the Plan.</w:t>
      </w:r>
    </w:p>
    <w:p>
      <w:pPr>
        <w:spacing w:after="0" w:line="48" w:lineRule="exact"/>
        <w:rPr>
          <w:rFonts w:ascii="Arial" w:cs="Arial" w:eastAsia="Arial" w:hAnsi="Arial"/>
          <w:sz w:val="17"/>
          <w:szCs w:val="17"/>
          <w:color w:val="auto"/>
        </w:rPr>
      </w:pPr>
    </w:p>
    <w:p>
      <w:pPr>
        <w:ind w:firstLine="656"/>
        <w:spacing w:after="0" w:line="277" w:lineRule="auto"/>
        <w:tabs>
          <w:tab w:leader="none" w:pos="8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Notwithstanding anything herein (except the following sentence)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the Option shall be fully vested on the date of a Change in Control. Except as otherwise provided in any employment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158" w:name="page159"/>
    <w:bookmarkEnd w:id="158"/>
    <w:p>
      <w:pPr>
        <w:jc w:val="both"/>
        <w:spacing w:after="0" w:line="286" w:lineRule="auto"/>
        <w:rPr>
          <w:sz w:val="20"/>
          <w:szCs w:val="20"/>
          <w:color w:val="auto"/>
        </w:rPr>
      </w:pPr>
      <w:r>
        <w:rPr>
          <w:rFonts w:ascii="Arial" w:cs="Arial" w:eastAsia="Arial" w:hAnsi="Arial"/>
          <w:sz w:val="16"/>
          <w:szCs w:val="16"/>
          <w:color w:val="auto"/>
        </w:rPr>
        <w:t xml:space="preserve">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63" w:lineRule="exact"/>
        <w:rPr>
          <w:sz w:val="20"/>
          <w:szCs w:val="20"/>
          <w:color w:val="auto"/>
        </w:rPr>
      </w:pPr>
    </w:p>
    <w:p>
      <w:pPr>
        <w:jc w:val="both"/>
        <w:ind w:firstLine="656"/>
        <w:spacing w:after="0" w:line="218" w:lineRule="exact"/>
        <w:tabs>
          <w:tab w:leader="none" w:pos="972"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Option as shown on the Notice of Grant of Stock Options. In the event of termination of employment or service with the Employer, except as may be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 (C) one year after the termination if such termination is due to the Grantee’s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not due to death, retirement, or long-term disability.</w:t>
      </w:r>
    </w:p>
    <w:p>
      <w:pPr>
        <w:spacing w:after="0" w:line="124" w:lineRule="exact"/>
        <w:rPr>
          <w:sz w:val="20"/>
          <w:szCs w:val="20"/>
          <w:color w:val="auto"/>
        </w:rPr>
      </w:pPr>
    </w:p>
    <w:p>
      <w:pPr>
        <w:jc w:val="both"/>
        <w:ind w:firstLine="656"/>
        <w:spacing w:after="0" w:line="339" w:lineRule="auto"/>
        <w:tabs>
          <w:tab w:leader="none" w:pos="1506"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31" w:lineRule="exact"/>
        <w:rPr>
          <w:sz w:val="20"/>
          <w:szCs w:val="20"/>
          <w:color w:val="auto"/>
        </w:rPr>
      </w:pPr>
    </w:p>
    <w:p>
      <w:pPr>
        <w:jc w:val="both"/>
        <w:ind w:firstLine="656"/>
        <w:spacing w:after="0" w:line="254" w:lineRule="auto"/>
        <w:tabs>
          <w:tab w:leader="none" w:pos="103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ind w:right="20" w:firstLine="656"/>
        <w:spacing w:after="0" w:line="282" w:lineRule="auto"/>
        <w:tabs>
          <w:tab w:leader="none" w:pos="979"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Shareholder. </w:t>
      </w:r>
      <w:r>
        <w:rPr>
          <w:rFonts w:ascii="Arial" w:cs="Arial" w:eastAsia="Arial" w:hAnsi="Arial"/>
          <w:sz w:val="18"/>
          <w:szCs w:val="18"/>
          <w:color w:val="auto"/>
        </w:rPr>
        <w:t>The Grantee shall have no rights as a shareholder with respect to any shares of Common Stock subject to this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issuance to the Grantee of a certificate or certificates or book-entry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7" w:right="239" w:bottom="1440" w:gutter="0" w:footer="0" w:header="0"/>
        </w:sectPr>
      </w:pPr>
    </w:p>
    <w:bookmarkStart w:id="159" w:name="page160"/>
    <w:bookmarkEnd w:id="159"/>
    <w:p>
      <w:pPr>
        <w:jc w:val="both"/>
        <w:spacing w:after="0" w:line="264" w:lineRule="auto"/>
        <w:rPr>
          <w:sz w:val="20"/>
          <w:szCs w:val="20"/>
          <w:color w:val="auto"/>
        </w:rPr>
      </w:pPr>
      <w:r>
        <w:rPr>
          <w:rFonts w:ascii="Arial" w:cs="Arial" w:eastAsia="Arial" w:hAnsi="Arial"/>
          <w:sz w:val="18"/>
          <w:szCs w:val="18"/>
          <w:color w:val="auto"/>
        </w:rPr>
        <w:t>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69" w:lineRule="exact"/>
        <w:rPr>
          <w:sz w:val="20"/>
          <w:szCs w:val="20"/>
          <w:color w:val="auto"/>
        </w:rPr>
      </w:pPr>
    </w:p>
    <w:p>
      <w:pPr>
        <w:jc w:val="both"/>
        <w:ind w:firstLine="656"/>
        <w:spacing w:after="0" w:line="288" w:lineRule="auto"/>
        <w:tabs>
          <w:tab w:leader="none" w:pos="984"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jc w:val="both"/>
        <w:ind w:firstLine="656"/>
        <w:spacing w:after="0" w:line="266" w:lineRule="auto"/>
        <w:tabs>
          <w:tab w:leader="none" w:pos="10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10.2.14</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840" w:type="dxa"/>
            <w:vAlign w:val="bottom"/>
            <w:gridSpan w:val="4"/>
          </w:tcPr>
          <w:p>
            <w:pPr>
              <w:ind w:left="1300"/>
              <w:spacing w:after="0"/>
              <w:rPr>
                <w:sz w:val="20"/>
                <w:szCs w:val="20"/>
                <w:color w:val="auto"/>
              </w:rPr>
            </w:pPr>
            <w:r>
              <w:rPr>
                <w:rFonts w:ascii="Arial" w:cs="Arial" w:eastAsia="Arial" w:hAnsi="Arial"/>
                <w:sz w:val="18"/>
                <w:szCs w:val="18"/>
                <w:b w:val="1"/>
                <w:bCs w:val="1"/>
                <w:color w:val="auto"/>
                <w:w w:val="88"/>
              </w:rPr>
              <w:t>Regeneron Pharmaceuticals, Inc.</w:t>
            </w:r>
          </w:p>
        </w:tc>
      </w:tr>
      <w:tr>
        <w:trPr>
          <w:trHeight w:val="270"/>
        </w:trPr>
        <w:tc>
          <w:tcPr>
            <w:tcW w:w="4400" w:type="dxa"/>
            <w:vAlign w:val="bottom"/>
          </w:tcPr>
          <w:p>
            <w:pPr>
              <w:spacing w:after="0"/>
              <w:rPr>
                <w:sz w:val="23"/>
                <w:szCs w:val="23"/>
                <w:color w:val="auto"/>
              </w:rPr>
            </w:pP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3840" w:type="dxa"/>
            <w:vAlign w:val="bottom"/>
            <w:gridSpan w:val="4"/>
          </w:tcPr>
          <w:p>
            <w:pPr>
              <w:ind w:left="1300"/>
              <w:spacing w:after="0"/>
              <w:rPr>
                <w:sz w:val="20"/>
                <w:szCs w:val="20"/>
                <w:color w:val="auto"/>
              </w:rPr>
            </w:pPr>
            <w:r>
              <w:rPr>
                <w:rFonts w:ascii="Arial" w:cs="Arial" w:eastAsia="Arial" w:hAnsi="Arial"/>
                <w:sz w:val="18"/>
                <w:szCs w:val="18"/>
                <w:color w:val="auto"/>
              </w:rPr>
              <w:t>777 Old Saw Mill River Road</w:t>
            </w: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and Option Agreement for Time Vesting</w:t>
            </w:r>
          </w:p>
        </w:tc>
        <w:tc>
          <w:tcPr>
            <w:tcW w:w="3400" w:type="dxa"/>
            <w:vAlign w:val="bottom"/>
            <w:gridSpan w:val="3"/>
          </w:tcPr>
          <w:p>
            <w:pPr>
              <w:ind w:left="1300"/>
              <w:spacing w:after="0"/>
              <w:rPr>
                <w:sz w:val="20"/>
                <w:szCs w:val="20"/>
                <w:color w:val="auto"/>
              </w:rPr>
            </w:pPr>
            <w:r>
              <w:rPr>
                <w:rFonts w:ascii="Arial" w:cs="Arial" w:eastAsia="Arial" w:hAnsi="Arial"/>
                <w:sz w:val="18"/>
                <w:szCs w:val="18"/>
                <w:color w:val="auto"/>
                <w:w w:val="93"/>
              </w:rPr>
              <w:t>Tarrytown, New York 10591</w:t>
            </w:r>
          </w:p>
        </w:tc>
        <w:tc>
          <w:tcPr>
            <w:tcW w:w="440" w:type="dxa"/>
            <w:vAlign w:val="bottom"/>
          </w:tcPr>
          <w:p>
            <w:pPr>
              <w:spacing w:after="0"/>
              <w:rPr>
                <w:sz w:val="23"/>
                <w:szCs w:val="23"/>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67"/>
        </w:trPr>
        <w:tc>
          <w:tcPr>
            <w:tcW w:w="440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740" w:type="dxa"/>
            <w:vAlign w:val="bottom"/>
            <w:gridSpan w:val="2"/>
          </w:tcPr>
          <w:p>
            <w:pPr>
              <w:ind w:left="1300"/>
              <w:spacing w:after="0"/>
              <w:rPr>
                <w:sz w:val="20"/>
                <w:szCs w:val="20"/>
                <w:color w:val="auto"/>
              </w:rPr>
            </w:pPr>
            <w:r>
              <w:rPr>
                <w:rFonts w:ascii="Arial" w:cs="Arial" w:eastAsia="Arial" w:hAnsi="Arial"/>
                <w:sz w:val="18"/>
                <w:szCs w:val="18"/>
                <w:b w:val="1"/>
                <w:bCs w:val="1"/>
                <w:color w:val="auto"/>
              </w:rPr>
              <w:t>Option Number:</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Plan:</w:t>
            </w:r>
          </w:p>
        </w:tc>
        <w:tc>
          <w:tcPr>
            <w:tcW w:w="820" w:type="dxa"/>
            <w:vAlign w:val="bottom"/>
          </w:tcPr>
          <w:p>
            <w:pPr>
              <w:spacing w:after="0"/>
              <w:rPr>
                <w:sz w:val="23"/>
                <w:szCs w:val="23"/>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70"/>
        </w:trPr>
        <w:tc>
          <w:tcPr>
            <w:tcW w:w="4400" w:type="dxa"/>
            <w:vAlign w:val="bottom"/>
          </w:tcPr>
          <w:p>
            <w:pPr>
              <w:spacing w:after="0"/>
              <w:rPr>
                <w:sz w:val="23"/>
                <w:szCs w:val="23"/>
                <w:color w:val="auto"/>
              </w:rPr>
            </w:pP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ID</w:t>
            </w:r>
          </w:p>
        </w:tc>
        <w:tc>
          <w:tcPr>
            <w:tcW w:w="820" w:type="dxa"/>
            <w:vAlign w:val="bottom"/>
          </w:tcPr>
          <w:p>
            <w:pPr>
              <w:spacing w:after="0"/>
              <w:rPr>
                <w:sz w:val="23"/>
                <w:szCs w:val="23"/>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Effective &lt;date&gt; (the “Grant Date”) you have been granted an Incentive Stock Option to buy [ ] shares of Regeneron Pharmaceuticals, Inc. (the “Company”) stock at $[ ] per share.</w:t>
      </w:r>
    </w:p>
    <w:p>
      <w:pPr>
        <w:spacing w:after="0" w:line="170" w:lineRule="exact"/>
        <w:rPr>
          <w:sz w:val="20"/>
          <w:szCs w:val="20"/>
          <w:color w:val="auto"/>
        </w:rPr>
      </w:pPr>
    </w:p>
    <w:p>
      <w:pPr>
        <w:spacing w:after="0"/>
        <w:tabs>
          <w:tab w:leader="none" w:pos="362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0" w:lineRule="exact"/>
        <w:rPr>
          <w:sz w:val="20"/>
          <w:szCs w:val="20"/>
          <w:color w:val="auto"/>
        </w:rPr>
      </w:pP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 Type</w:t>
            </w:r>
          </w:p>
        </w:tc>
        <w:tc>
          <w:tcPr>
            <w:tcW w:w="3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Full Vest</w:t>
            </w:r>
          </w:p>
        </w:tc>
        <w:tc>
          <w:tcPr>
            <w:tcW w:w="28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bl>
    <w:p>
      <w:pPr>
        <w:spacing w:after="0" w:line="200" w:lineRule="exact"/>
        <w:rPr>
          <w:sz w:val="20"/>
          <w:szCs w:val="20"/>
          <w:color w:val="auto"/>
        </w:rPr>
      </w:pPr>
    </w:p>
    <w:p>
      <w:pPr>
        <w:spacing w:after="0" w:line="24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54" w:lineRule="exact"/>
        <w:rPr>
          <w:sz w:val="20"/>
          <w:szCs w:val="20"/>
          <w:color w:val="auto"/>
        </w:rPr>
      </w:pPr>
    </w:p>
    <w:p>
      <w:pPr>
        <w:ind w:left="460" w:right="16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Options will vest in approximately equal annual 25% installments. Full Vest Dates will occur on the first, second, third and fourth anniversaries of the Grant Date.</w:t>
      </w:r>
    </w:p>
    <w:p>
      <w:pPr>
        <w:sectPr>
          <w:pgSz w:w="11900" w:h="16838" w:orient="portrait"/>
          <w:cols w:equalWidth="0" w:num="1">
            <w:col w:w="11420"/>
          </w:cols>
          <w:pgMar w:left="240" w:top="364"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Incentive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1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WHEREAS, the Committee (or the person or persons to whom the Committee has delegated the relevant authority pursuant to Section 4 of the Plan (as defined below) (the Committee or such person or person being referred to in this Agreement as the “</w:t>
      </w:r>
      <w:r>
        <w:rPr>
          <w:rFonts w:ascii="Arial" w:cs="Arial" w:eastAsia="Arial" w:hAnsi="Arial"/>
          <w:sz w:val="17"/>
          <w:szCs w:val="17"/>
          <w:u w:val="single" w:color="auto"/>
          <w:color w:val="auto"/>
        </w:rPr>
        <w:t>Committee</w:t>
      </w:r>
      <w:r>
        <w:rPr>
          <w:rFonts w:ascii="Arial" w:cs="Arial" w:eastAsia="Arial" w:hAnsi="Arial"/>
          <w:sz w:val="17"/>
          <w:szCs w:val="17"/>
          <w:color w:val="auto"/>
        </w:rPr>
        <w:t>”)) administering the Amended and Restated Regeneron Pharmaceuticals, Inc. 2014 Long</w:t>
      </w:r>
      <w:r>
        <w:rPr>
          <w:rFonts w:ascii="MS PGothic" w:cs="MS PGothic" w:eastAsia="MS PGothic" w:hAnsi="MS PGothic"/>
          <w:sz w:val="17"/>
          <w:szCs w:val="17"/>
          <w:color w:val="auto"/>
        </w:rPr>
        <w:t>‑</w:t>
      </w:r>
      <w:r>
        <w:rPr>
          <w:rFonts w:ascii="Arial" w:cs="Arial" w:eastAsia="Arial" w:hAnsi="Arial"/>
          <w:sz w:val="17"/>
          <w:szCs w:val="17"/>
          <w:color w:val="auto"/>
        </w:rPr>
        <w:t>Term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has granted (as of the effective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Grantee a Stock Option to purchase the number of shares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as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18" w:lineRule="exact"/>
        <w:tabs>
          <w:tab w:leader="none" w:pos="1017"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Option is intended to be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w:t>
      </w:r>
      <w:r>
        <w:rPr>
          <w:rFonts w:ascii="Arial" w:cs="Arial" w:eastAsia="Arial" w:hAnsi="Arial"/>
          <w:sz w:val="16"/>
          <w:szCs w:val="16"/>
          <w:u w:val="single" w:color="auto"/>
          <w:color w:val="auto"/>
        </w:rPr>
        <w:t>Subsidiary</w:t>
      </w:r>
      <w:r>
        <w:rPr>
          <w:rFonts w:ascii="Arial" w:cs="Arial" w:eastAsia="Arial" w:hAnsi="Arial"/>
          <w:sz w:val="16"/>
          <w:szCs w:val="16"/>
          <w:color w:val="auto"/>
        </w:rPr>
        <w:t>”)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w:t>
      </w:r>
    </w:p>
    <w:p>
      <w:pPr>
        <w:spacing w:after="0" w:line="91" w:lineRule="exact"/>
        <w:rPr>
          <w:rFonts w:ascii="Arial" w:cs="Arial" w:eastAsia="Arial" w:hAnsi="Arial"/>
          <w:sz w:val="16"/>
          <w:szCs w:val="16"/>
          <w:b w:val="1"/>
          <w:bCs w:val="1"/>
          <w:color w:val="auto"/>
        </w:rPr>
      </w:pPr>
    </w:p>
    <w:p>
      <w:pPr>
        <w:jc w:val="both"/>
        <w:ind w:firstLine="656"/>
        <w:spacing w:after="0" w:line="292" w:lineRule="auto"/>
        <w:tabs>
          <w:tab w:leader="none" w:pos="987"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85" w:lineRule="exact"/>
        <w:rPr>
          <w:sz w:val="20"/>
          <w:szCs w:val="20"/>
          <w:color w:val="auto"/>
        </w:rPr>
      </w:pPr>
    </w:p>
    <w:p>
      <w:pPr>
        <w:jc w:val="both"/>
        <w:ind w:firstLine="656"/>
        <w:spacing w:after="0" w:line="320" w:lineRule="auto"/>
        <w:tabs>
          <w:tab w:leader="none" w:pos="1506"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 xml:space="preserve">Notice of Grant of Stock Options </w:t>
      </w:r>
      <w:r>
        <w:rPr>
          <w:rFonts w:ascii="Arial" w:cs="Arial" w:eastAsia="Arial" w:hAnsi="Arial"/>
          <w:sz w:val="17"/>
          <w:szCs w:val="17"/>
          <w:color w:val="auto"/>
        </w:rPr>
        <w:t>or any employment agreement, consulting agreement or similar agreement in effect between the Employer and the Grantee</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applicable to the Grantee)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t xml:space="preserve">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(ii) the Committee’s determination in accordance with Section 7(e) of the Plan.</w:t>
      </w:r>
    </w:p>
    <w:p>
      <w:pPr>
        <w:spacing w:after="0" w:line="142" w:lineRule="exact"/>
        <w:rPr>
          <w:sz w:val="20"/>
          <w:szCs w:val="20"/>
          <w:color w:val="auto"/>
        </w:rPr>
      </w:pPr>
    </w:p>
    <w:p>
      <w:pPr>
        <w:jc w:val="both"/>
        <w:ind w:firstLine="656"/>
        <w:spacing w:after="0" w:line="286" w:lineRule="auto"/>
        <w:tabs>
          <w:tab w:leader="none" w:pos="1044"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57" w:lineRule="exact"/>
        <w:rPr>
          <w:sz w:val="20"/>
          <w:szCs w:val="20"/>
          <w:color w:val="auto"/>
        </w:rPr>
      </w:pPr>
    </w:p>
    <w:p>
      <w:pPr>
        <w:jc w:val="both"/>
        <w:ind w:firstLine="656"/>
        <w:spacing w:after="0" w:line="218" w:lineRule="exact"/>
        <w:tabs>
          <w:tab w:leader="none" w:pos="97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Option as shown on the Notice of Grant of Stock Options. In the event of termination of employment or service with the Employer, except as may be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 (C) one year after the termination if such termination is due to the Grantee’s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not due to death, retirement, or long-term disability.</w:t>
      </w:r>
    </w:p>
    <w:p>
      <w:pPr>
        <w:spacing w:after="0" w:line="124" w:lineRule="exact"/>
        <w:rPr>
          <w:sz w:val="20"/>
          <w:szCs w:val="20"/>
          <w:color w:val="auto"/>
        </w:rPr>
      </w:pPr>
    </w:p>
    <w:p>
      <w:pPr>
        <w:jc w:val="both"/>
        <w:ind w:firstLine="656"/>
        <w:spacing w:after="0" w:line="339" w:lineRule="auto"/>
        <w:tabs>
          <w:tab w:leader="none" w:pos="1506"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31" w:lineRule="exact"/>
        <w:rPr>
          <w:sz w:val="20"/>
          <w:szCs w:val="20"/>
          <w:color w:val="auto"/>
        </w:rPr>
      </w:pPr>
    </w:p>
    <w:p>
      <w:pPr>
        <w:jc w:val="both"/>
        <w:ind w:firstLine="656"/>
        <w:spacing w:after="0" w:line="272" w:lineRule="auto"/>
        <w:tabs>
          <w:tab w:leader="none" w:pos="1038"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Option. </w:t>
      </w:r>
      <w:r>
        <w:rPr>
          <w:rFonts w:ascii="Arial" w:cs="Arial" w:eastAsia="Arial" w:hAnsi="Arial"/>
          <w:sz w:val="17"/>
          <w:szCs w:val="17"/>
          <w:color w:val="auto"/>
        </w:rPr>
        <w:t>The Option granted hereby shall not be transferable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03" w:right="239" w:bottom="1440" w:gutter="0" w:footer="0" w:header="0"/>
        </w:sectPr>
      </w:pPr>
    </w:p>
    <w:bookmarkStart w:id="163" w:name="page164"/>
    <w:bookmarkEnd w:id="163"/>
    <w:p>
      <w:pPr>
        <w:spacing w:after="0" w:line="277" w:lineRule="auto"/>
        <w:rPr>
          <w:sz w:val="20"/>
          <w:szCs w:val="20"/>
          <w:color w:val="auto"/>
        </w:rPr>
      </w:pPr>
      <w:r>
        <w:rPr>
          <w:rFonts w:ascii="Arial" w:cs="Arial" w:eastAsia="Arial" w:hAnsi="Arial"/>
          <w:sz w:val="18"/>
          <w:szCs w:val="18"/>
          <w:color w:val="auto"/>
        </w:rPr>
        <w:t xml:space="preserve">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58" w:lineRule="exact"/>
        <w:rPr>
          <w:sz w:val="20"/>
          <w:szCs w:val="20"/>
          <w:color w:val="auto"/>
        </w:rPr>
      </w:pPr>
    </w:p>
    <w:p>
      <w:pPr>
        <w:jc w:val="both"/>
        <w:ind w:firstLine="656"/>
        <w:spacing w:after="0" w:line="281" w:lineRule="auto"/>
        <w:tabs>
          <w:tab w:leader="none" w:pos="979"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8" w:lineRule="auto"/>
        <w:tabs>
          <w:tab w:leader="none" w:pos="984"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jc w:val="both"/>
        <w:ind w:firstLine="656"/>
        <w:spacing w:after="0" w:line="266" w:lineRule="auto"/>
        <w:tabs>
          <w:tab w:leader="none" w:pos="10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7"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10.2.15</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420"/>
          </w:cols>
          <w:pgMar w:left="240" w:top="364"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Notice of Grant of Award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Award Agreement</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89"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Effective &lt;</w:t>
      </w:r>
      <w:r>
        <w:rPr>
          <w:rFonts w:ascii="Arial" w:cs="Arial" w:eastAsia="Arial" w:hAnsi="Arial"/>
          <w:sz w:val="17"/>
          <w:szCs w:val="17"/>
          <w:b w:val="1"/>
          <w:bCs w:val="1"/>
          <w:color w:val="auto"/>
        </w:rPr>
        <w:t>date</w:t>
      </w:r>
      <w:r>
        <w:rPr>
          <w:rFonts w:ascii="Arial" w:cs="Arial" w:eastAsia="Arial" w:hAnsi="Arial"/>
          <w:sz w:val="17"/>
          <w:szCs w:val="17"/>
          <w:color w:val="auto"/>
        </w:rPr>
        <w:t>&gt; (the “Grant Date”) you have been granted an award of [ These shares are restricted until the vest date(s) shown below.</w:t>
      </w:r>
    </w:p>
    <w:p>
      <w:pPr>
        <w:spacing w:after="0" w:line="183"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The current total value of the award is $[</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on the date(s) shown.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ID: [</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777 Old Saw Mill River Road</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Tarrytown, New York 10591</w:t>
      </w:r>
    </w:p>
    <w:p>
      <w:pPr>
        <w:spacing w:after="0" w:line="200" w:lineRule="exact"/>
        <w:rPr>
          <w:sz w:val="20"/>
          <w:szCs w:val="20"/>
          <w:color w:val="auto"/>
        </w:rPr>
      </w:pPr>
    </w:p>
    <w:p>
      <w:pPr>
        <w:spacing w:after="0" w:line="255" w:lineRule="exact"/>
        <w:rPr>
          <w:sz w:val="20"/>
          <w:szCs w:val="20"/>
          <w:color w:val="auto"/>
        </w:rPr>
      </w:pPr>
    </w:p>
    <w:p>
      <w:pPr>
        <w:spacing w:after="0"/>
        <w:tabs>
          <w:tab w:leader="none" w:pos="1800" w:val="left"/>
          <w:tab w:leader="none" w:pos="2220" w:val="left"/>
        </w:tabs>
        <w:rPr>
          <w:sz w:val="20"/>
          <w:szCs w:val="20"/>
          <w:color w:val="auto"/>
        </w:rPr>
      </w:pPr>
      <w:r>
        <w:rPr>
          <w:rFonts w:ascii="Arial" w:cs="Arial" w:eastAsia="Arial" w:hAnsi="Arial"/>
          <w:sz w:val="18"/>
          <w:szCs w:val="18"/>
          <w:color w:val="auto"/>
        </w:rPr>
        <w:t>Award Number: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1800" w:val="left"/>
          <w:tab w:leader="none" w:pos="2220" w:val="left"/>
        </w:tabs>
        <w:rPr>
          <w:sz w:val="20"/>
          <w:szCs w:val="20"/>
          <w:color w:val="auto"/>
        </w:rPr>
      </w:pPr>
      <w:r>
        <w:rPr>
          <w:rFonts w:ascii="Arial" w:cs="Arial" w:eastAsia="Arial" w:hAnsi="Arial"/>
          <w:sz w:val="18"/>
          <w:szCs w:val="18"/>
          <w:color w:val="auto"/>
        </w:rPr>
        <w:t>Plan: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shares of Regeneron Pharmaceuticals, Inc. (the “Company”) common stock.</w:t>
      </w:r>
    </w:p>
    <w:p>
      <w:pPr>
        <w:spacing w:after="0" w:line="1384" w:lineRule="exact"/>
        <w:rPr>
          <w:sz w:val="20"/>
          <w:szCs w:val="20"/>
          <w:color w:val="auto"/>
        </w:rPr>
      </w:pPr>
    </w:p>
    <w:p>
      <w:pPr>
        <w:sectPr>
          <w:pgSz w:w="11900" w:h="16838" w:orient="portrait"/>
          <w:cols w:equalWidth="0" w:num="2">
            <w:col w:w="5360" w:space="280"/>
            <w:col w:w="5780"/>
          </w:cols>
          <w:pgMar w:left="240" w:top="364" w:right="239" w:bottom="1440" w:gutter="0" w:footer="0" w:header="0"/>
          <w:type w:val="continuous"/>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1"/>
              </w:rPr>
              <w:t>Shares</w:t>
            </w:r>
          </w:p>
        </w:tc>
        <w:tc>
          <w:tcPr>
            <w:tcW w:w="520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jc w:val="right"/>
              <w:ind w:right="2176"/>
              <w:spacing w:after="0"/>
              <w:rPr>
                <w:sz w:val="20"/>
                <w:szCs w:val="20"/>
                <w:color w:val="auto"/>
              </w:rPr>
            </w:pPr>
            <w:r>
              <w:rPr>
                <w:rFonts w:ascii="Arial" w:cs="Arial" w:eastAsia="Arial" w:hAnsi="Arial"/>
                <w:sz w:val="14"/>
                <w:szCs w:val="14"/>
                <w:b w:val="1"/>
                <w:bCs w:val="1"/>
                <w:color w:val="auto"/>
              </w:rPr>
              <w:t>Full Vest</w:t>
            </w: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0" w:type="dxa"/>
            <w:vAlign w:val="bottom"/>
            <w:tcBorders>
              <w:bottom w:val="single" w:sz="8" w:color="CCEEFF"/>
            </w:tcBorders>
            <w:shd w:val="clear" w:color="auto" w:fill="CCEEFF"/>
          </w:tcPr>
          <w:p>
            <w:pPr>
              <w:jc w:val="right"/>
              <w:ind w:right="49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Borders>
              <w:bottom w:val="single" w:sz="8" w:color="CCEEFF"/>
            </w:tcBorders>
            <w:shd w:val="clear" w:color="auto" w:fill="CCEEFF"/>
          </w:tcPr>
          <w:p>
            <w:pPr>
              <w:jc w:val="right"/>
              <w:ind w:right="4376"/>
              <w:spacing w:after="0"/>
              <w:rPr>
                <w:sz w:val="20"/>
                <w:szCs w:val="20"/>
                <w:color w:val="auto"/>
              </w:rPr>
            </w:pPr>
            <w:r>
              <w:rPr>
                <w:rFonts w:ascii="Arial" w:cs="Arial" w:eastAsia="Arial" w:hAnsi="Arial"/>
                <w:sz w:val="18"/>
                <w:szCs w:val="18"/>
                <w:color w:val="auto"/>
              </w:rPr>
              <w:t>]*</w:t>
            </w: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9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jc w:val="right"/>
              <w:ind w:right="4376"/>
              <w:spacing w:after="0"/>
              <w:rPr>
                <w:sz w:val="20"/>
                <w:szCs w:val="20"/>
                <w:color w:val="auto"/>
              </w:rPr>
            </w:pPr>
            <w:r>
              <w:rPr>
                <w:rFonts w:ascii="Arial" w:cs="Arial" w:eastAsia="Arial" w:hAnsi="Arial"/>
                <w:sz w:val="18"/>
                <w:szCs w:val="18"/>
                <w:color w:val="auto"/>
              </w:rPr>
              <w:t>]*</w:t>
            </w:r>
          </w:p>
        </w:tc>
      </w:tr>
      <w:tr>
        <w:trPr>
          <w:trHeight w:val="27"/>
        </w:trPr>
        <w:tc>
          <w:tcPr>
            <w:tcW w:w="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43"/>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0" w:type="dxa"/>
            <w:vAlign w:val="bottom"/>
            <w:shd w:val="clear" w:color="auto" w:fill="CCEEFF"/>
          </w:tcPr>
          <w:p>
            <w:pPr>
              <w:jc w:val="right"/>
              <w:ind w:right="49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shd w:val="clear" w:color="auto" w:fill="CCEEFF"/>
          </w:tcPr>
          <w:p>
            <w:pPr>
              <w:jc w:val="right"/>
              <w:ind w:right="4376"/>
              <w:spacing w:after="0"/>
              <w:rPr>
                <w:sz w:val="20"/>
                <w:szCs w:val="20"/>
                <w:color w:val="auto"/>
              </w:rPr>
            </w:pPr>
            <w:r>
              <w:rPr>
                <w:rFonts w:ascii="Arial" w:cs="Arial" w:eastAsia="Arial" w:hAnsi="Arial"/>
                <w:sz w:val="18"/>
                <w:szCs w:val="18"/>
                <w:color w:val="auto"/>
              </w:rPr>
              <w:t>]*</w:t>
            </w:r>
          </w:p>
        </w:tc>
      </w:tr>
      <w:tr>
        <w:trPr>
          <w:trHeight w:val="27"/>
        </w:trPr>
        <w:tc>
          <w:tcPr>
            <w:tcW w:w="44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and the Company agree that this award is granted under and governed by the terms and conditions of the Amended and Restated Regeneron Pharmaceuticals, Inc. 2014 Long Term Incentive Plan, as amended from time to time, and the Award Agreement, both of which are attached and made a part of this document.</w:t>
      </w:r>
    </w:p>
    <w:p>
      <w:pPr>
        <w:sectPr>
          <w:pgSz w:w="11900" w:h="16838" w:orient="portrait"/>
          <w:cols w:equalWidth="0" w:num="1">
            <w:col w:w="11420"/>
          </w:cols>
          <w:pgMar w:left="240" w:top="364" w:right="2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330" w:lineRule="exact"/>
        <w:rPr>
          <w:sz w:val="20"/>
          <w:szCs w:val="20"/>
          <w:color w:val="auto"/>
        </w:rPr>
      </w:pPr>
    </w:p>
    <w:p>
      <w:pPr>
        <w:jc w:val="both"/>
        <w:ind w:firstLine="1297"/>
        <w:spacing w:after="0" w:line="344"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73"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8"/>
          <w:szCs w:val="18"/>
          <w:color w:val="auto"/>
        </w:rPr>
        <w:t>WHEREAS, the Committee (or the person or persons to whom the Committee has delegated the relevant authority pursuant to Section 4 of the Plan (as defined below) (the Committee or such person or person being referred to in this Agreement as the “</w:t>
      </w:r>
      <w:r>
        <w:rPr>
          <w:rFonts w:ascii="Arial" w:cs="Arial" w:eastAsia="Arial" w:hAnsi="Arial"/>
          <w:sz w:val="18"/>
          <w:szCs w:val="18"/>
          <w:u w:val="single" w:color="auto"/>
          <w:color w:val="auto"/>
        </w:rPr>
        <w:t>Committee</w:t>
      </w:r>
      <w:r>
        <w:rPr>
          <w:rFonts w:ascii="Arial" w:cs="Arial" w:eastAsia="Arial" w:hAnsi="Arial"/>
          <w:sz w:val="18"/>
          <w:szCs w:val="18"/>
          <w:color w:val="auto"/>
        </w:rPr>
        <w:t>”))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to the Recipient the shares of Restricted Stock as set forth in the </w:t>
      </w:r>
      <w:r>
        <w:rPr>
          <w:rFonts w:ascii="Arial" w:cs="Arial" w:eastAsia="Arial" w:hAnsi="Arial"/>
          <w:sz w:val="18"/>
          <w:szCs w:val="18"/>
          <w:i w:val="1"/>
          <w:iCs w:val="1"/>
          <w:color w:val="auto"/>
        </w:rPr>
        <w:t>Notice of Grant of</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Stock</w:t>
      </w:r>
      <w:r>
        <w:rPr>
          <w:rFonts w:ascii="Arial" w:cs="Arial" w:eastAsia="Arial" w:hAnsi="Arial"/>
          <w:sz w:val="18"/>
          <w:szCs w:val="18"/>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40" w:lineRule="exact"/>
        <w:rPr>
          <w:sz w:val="20"/>
          <w:szCs w:val="20"/>
          <w:color w:val="auto"/>
        </w:rPr>
      </w:pPr>
    </w:p>
    <w:p>
      <w:pPr>
        <w:jc w:val="both"/>
        <w:ind w:firstLine="1305"/>
        <w:spacing w:after="0" w:line="330" w:lineRule="auto"/>
        <w:tabs>
          <w:tab w:leader="none" w:pos="20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Grant of Award</w:t>
      </w:r>
      <w:r>
        <w:rPr>
          <w:rFonts w:ascii="Arial" w:cs="Arial" w:eastAsia="Arial" w:hAnsi="Arial"/>
          <w:sz w:val="17"/>
          <w:szCs w:val="17"/>
          <w:color w:val="auto"/>
        </w:rPr>
        <w:t>. Pursuant to Section 8 of the Plan, the Company grants to the Recipient, subject to the terms and conditions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Plan and subject further to the terms and conditions set forth herein, the number of shares of Restricted Stock as shown on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Restricted Stock</w:t>
      </w:r>
      <w:r>
        <w:rPr>
          <w:rFonts w:ascii="Arial" w:cs="Arial" w:eastAsia="Arial" w:hAnsi="Arial"/>
          <w:sz w:val="17"/>
          <w:szCs w:val="17"/>
          <w:color w:val="auto"/>
        </w:rPr>
        <w:t>. The Participant’s grant and record of Restricted Stock share ownership shall be kept on the books of the Company until the restrictions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have lapsed. At the Recipient’s request, vested shares may be evidenced by stock certificates or book-entry registration.</w:t>
      </w:r>
    </w:p>
    <w:p>
      <w:pPr>
        <w:spacing w:after="0" w:line="32" w:lineRule="exact"/>
        <w:rPr>
          <w:rFonts w:ascii="Arial" w:cs="Arial" w:eastAsia="Arial" w:hAnsi="Arial"/>
          <w:sz w:val="17"/>
          <w:szCs w:val="17"/>
          <w:color w:val="auto"/>
        </w:rPr>
      </w:pPr>
    </w:p>
    <w:p>
      <w:pPr>
        <w:jc w:val="both"/>
        <w:ind w:firstLine="1305"/>
        <w:spacing w:after="0" w:line="254" w:lineRule="auto"/>
        <w:tabs>
          <w:tab w:leader="none" w:pos="166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 The shares of Restricted Stock granted to the Recipient shall vest in installments as provided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Notice of Grant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Restricted Stock</w:t>
      </w:r>
      <w:r>
        <w:rPr>
          <w:rFonts w:ascii="Arial" w:cs="Arial" w:eastAsia="Arial" w:hAnsi="Arial"/>
          <w:sz w:val="18"/>
          <w:szCs w:val="18"/>
          <w:color w:val="auto"/>
        </w:rPr>
        <w:t>. The vesting schedule in the</w:t>
      </w:r>
      <w:r>
        <w:rPr>
          <w:rFonts w:ascii="Arial" w:cs="Arial" w:eastAsia="Arial" w:hAnsi="Arial"/>
          <w:sz w:val="18"/>
          <w:szCs w:val="18"/>
          <w:i w:val="1"/>
          <w:iCs w:val="1"/>
          <w:color w:val="auto"/>
        </w:rPr>
        <w:t xml:space="preserve"> Notice of Grant of Restricted Stock </w:t>
      </w:r>
      <w:r>
        <w:rPr>
          <w:rFonts w:ascii="Arial" w:cs="Arial" w:eastAsia="Arial" w:hAnsi="Arial"/>
          <w:sz w:val="18"/>
          <w:szCs w:val="18"/>
          <w:color w:val="auto"/>
        </w:rPr>
        <w:t>indicates each date upon which the restrictions on transfer on the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Restricted Stock shall lapse, entitling the Recipient to freely transfer such shares, provided that the Recipient has not incurred a termination of employment with the Company and all Subsidiaries (the Company and its Subsidiaries shall be referred to herein, collectively, as the “</w:t>
      </w:r>
      <w:r>
        <w:rPr>
          <w:rFonts w:ascii="Arial" w:cs="Arial" w:eastAsia="Arial" w:hAnsi="Arial"/>
          <w:sz w:val="18"/>
          <w:szCs w:val="18"/>
          <w:u w:val="single" w:color="auto"/>
          <w:color w:val="auto"/>
        </w:rPr>
        <w:t>Employer</w:t>
      </w:r>
      <w:r>
        <w:rPr>
          <w:rFonts w:ascii="Arial" w:cs="Arial" w:eastAsia="Arial" w:hAnsi="Arial"/>
          <w:sz w:val="18"/>
          <w:szCs w:val="18"/>
          <w:color w:val="auto"/>
        </w:rPr>
        <w:t xml:space="preserve">”). There shall be no proportionate or partial vesting in the periods between the Full Vest Dates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and all vesting shall occur only on such Full Vest Dates. No vesting shall occur after the termination of the Recipient’s employment with the Employer for any reason. The provisions of this Section 2(a) are subject to (i) the provisions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or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and (ii) the Committee’s determination in accordance with Section 8(h) of the Plan.</w:t>
      </w:r>
    </w:p>
    <w:p>
      <w:pPr>
        <w:spacing w:after="0" w:line="82" w:lineRule="exact"/>
        <w:rPr>
          <w:sz w:val="20"/>
          <w:szCs w:val="20"/>
          <w:color w:val="auto"/>
        </w:rPr>
      </w:pPr>
    </w:p>
    <w:p>
      <w:pPr>
        <w:jc w:val="both"/>
        <w:ind w:firstLine="1305"/>
        <w:spacing w:after="0" w:line="270" w:lineRule="auto"/>
        <w:tabs>
          <w:tab w:leader="none" w:pos="17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Notwithstanding anything herein (except the following sentence) or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to the contrary, but subject to the provisions of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Restricted Stock granted to Recipient shall be fully vested on the date the Recipient’s employment with the Employer is terminated if the Recipient’s employment with the Employer is terminated on or within two years after the occurrence of a Change in Control by the Employer (other than for Cause) or by the Recipient for Good Reason.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if the application of the provision in the foregoing sentence, similar provisions in other stock option or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grants, and other payments and benefits payable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73" w:right="239" w:bottom="1440" w:gutter="0" w:footer="0" w:header="0"/>
        </w:sectPr>
      </w:pPr>
    </w:p>
    <w:bookmarkStart w:id="166" w:name="page167"/>
    <w:bookmarkEnd w:id="166"/>
    <w:p>
      <w:pPr>
        <w:jc w:val="both"/>
        <w:spacing w:after="0" w:line="269" w:lineRule="auto"/>
        <w:rPr>
          <w:sz w:val="20"/>
          <w:szCs w:val="20"/>
          <w:color w:val="auto"/>
        </w:rPr>
      </w:pPr>
      <w:r>
        <w:rPr>
          <w:rFonts w:ascii="Arial" w:cs="Arial" w:eastAsia="Arial" w:hAnsi="Arial"/>
          <w:sz w:val="17"/>
          <w:szCs w:val="17"/>
          <w:color w:val="auto"/>
        </w:rPr>
        <w:t>to the Recipient upon termination of employment with the Employer (collectively, the “</w:t>
      </w:r>
      <w:r>
        <w:rPr>
          <w:rFonts w:ascii="Arial" w:cs="Arial" w:eastAsia="Arial" w:hAnsi="Arial"/>
          <w:sz w:val="17"/>
          <w:szCs w:val="17"/>
          <w:u w:val="single" w:color="auto"/>
          <w:color w:val="auto"/>
        </w:rPr>
        <w:t>Company Payments</w:t>
      </w:r>
      <w:r>
        <w:rPr>
          <w:rFonts w:ascii="Arial" w:cs="Arial" w:eastAsia="Arial" w:hAnsi="Arial"/>
          <w:sz w:val="17"/>
          <w:szCs w:val="17"/>
          <w:color w:val="auto"/>
        </w:rPr>
        <w:t>”) would result in the Recipient being subject to excise tax (the “</w:t>
      </w:r>
      <w:r>
        <w:rPr>
          <w:rFonts w:ascii="Arial" w:cs="Arial" w:eastAsia="Arial" w:hAnsi="Arial"/>
          <w:sz w:val="17"/>
          <w:szCs w:val="17"/>
          <w:u w:val="single" w:color="auto"/>
          <w:color w:val="auto"/>
        </w:rPr>
        <w:t>Excise Tax</w:t>
      </w:r>
      <w:r>
        <w:rPr>
          <w:rFonts w:ascii="Arial" w:cs="Arial" w:eastAsia="Arial" w:hAnsi="Arial"/>
          <w:sz w:val="17"/>
          <w:szCs w:val="17"/>
          <w:color w:val="auto"/>
        </w:rPr>
        <w:t>”) payable under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 the amount of any Company Payments shall be automatically reduced to an amount one dollar less than an amount that would subject the Recipient to the Excise Tax;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75" w:lineRule="exact"/>
        <w:rPr>
          <w:sz w:val="20"/>
          <w:szCs w:val="20"/>
          <w:color w:val="auto"/>
        </w:rPr>
      </w:pPr>
    </w:p>
    <w:p>
      <w:pPr>
        <w:jc w:val="both"/>
        <w:ind w:firstLine="8"/>
        <w:spacing w:after="0" w:line="288" w:lineRule="auto"/>
        <w:tabs>
          <w:tab w:leader="none" w:pos="41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or plan but it does not define “cause” (or words of like import))</w:t>
      </w: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 the willful and continued failure by the Recipient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Recipient (or otherwise applicable to the Recipient) on the date of grant specified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that defines “cause” (or words of like import), as defined under such agreement or plan. For purposes of this Section 3(c), no act, or failure to act, on the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78" w:lineRule="exact"/>
        <w:rPr>
          <w:rFonts w:ascii="Arial" w:cs="Arial" w:eastAsia="Arial" w:hAnsi="Arial"/>
          <w:sz w:val="16"/>
          <w:szCs w:val="16"/>
          <w:color w:val="auto"/>
        </w:rPr>
      </w:pPr>
    </w:p>
    <w:p>
      <w:pPr>
        <w:jc w:val="both"/>
        <w:ind w:firstLine="8"/>
        <w:spacing w:after="0" w:line="283" w:lineRule="auto"/>
        <w:tabs>
          <w:tab w:leader="none" w:pos="426"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or plan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w:t>
      </w:r>
    </w:p>
    <w:p>
      <w:pPr>
        <w:spacing w:after="0" w:line="6" w:lineRule="exact"/>
        <w:rPr>
          <w:rFonts w:ascii="Arial" w:cs="Arial" w:eastAsia="Arial" w:hAnsi="Arial"/>
          <w:sz w:val="16"/>
          <w:szCs w:val="16"/>
          <w:color w:val="auto"/>
        </w:rPr>
      </w:pPr>
    </w:p>
    <w:p>
      <w:pPr>
        <w:jc w:val="both"/>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Recipient (or otherwise applicable to the Recipient) on the date on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that defines “good reason” (or words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89" w:right="239" w:bottom="1440" w:gutter="0" w:footer="0" w:header="0"/>
        </w:sectPr>
      </w:pPr>
    </w:p>
    <w:bookmarkStart w:id="167" w:name="page168"/>
    <w:bookmarkEnd w:id="167"/>
    <w:p>
      <w:pPr>
        <w:jc w:val="both"/>
        <w:spacing w:after="0" w:line="271" w:lineRule="auto"/>
        <w:rPr>
          <w:sz w:val="20"/>
          <w:szCs w:val="20"/>
          <w:color w:val="auto"/>
        </w:rPr>
      </w:pPr>
      <w:r>
        <w:rPr>
          <w:rFonts w:ascii="Arial" w:cs="Arial" w:eastAsia="Arial" w:hAnsi="Arial"/>
          <w:sz w:val="17"/>
          <w:szCs w:val="17"/>
          <w:color w:val="auto"/>
        </w:rPr>
        <w:t xml:space="preserve">of like import), as defined under such agreement or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has ended due to Dr. Schleifer’s Involuntary Termination (as defined in the Employment Agreement)]</w:t>
      </w:r>
      <w:r>
        <w:rPr>
          <w:rFonts w:ascii="Arial" w:cs="Arial" w:eastAsia="Arial" w:hAnsi="Arial"/>
          <w:sz w:val="24"/>
          <w:szCs w:val="24"/>
          <w:color w:val="auto"/>
          <w:vertAlign w:val="superscript"/>
        </w:rPr>
        <w:t>1</w:t>
      </w:r>
      <w:r>
        <w:rPr>
          <w:rFonts w:ascii="Arial" w:cs="Arial" w:eastAsia="Arial" w:hAnsi="Arial"/>
          <w:sz w:val="17"/>
          <w:szCs w:val="17"/>
          <w:color w:val="auto"/>
        </w:rPr>
        <w:t>.</w:t>
      </w:r>
    </w:p>
    <w:p>
      <w:pPr>
        <w:spacing w:after="0" w:line="3" w:lineRule="exact"/>
        <w:rPr>
          <w:sz w:val="20"/>
          <w:szCs w:val="20"/>
          <w:color w:val="auto"/>
        </w:rPr>
      </w:pPr>
    </w:p>
    <w:p>
      <w:pPr>
        <w:jc w:val="both"/>
        <w:ind w:firstLine="1305"/>
        <w:spacing w:after="0" w:line="255" w:lineRule="auto"/>
        <w:tabs>
          <w:tab w:leader="none" w:pos="162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2(b) hereof, if the Recipient’s employment with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any reason (other than as set forth in Section 2(b) hereof and as a result of Recipient’s death), the Recipient shall forfeit any or all of the shares of Restricted Stock that have not vested in accordance with Section 2 hereof (the “</w:t>
      </w:r>
      <w:r>
        <w:rPr>
          <w:rFonts w:ascii="Arial" w:cs="Arial" w:eastAsia="Arial" w:hAnsi="Arial"/>
          <w:sz w:val="18"/>
          <w:szCs w:val="18"/>
          <w:u w:val="single" w:color="auto"/>
          <w:color w:val="auto"/>
        </w:rPr>
        <w:t>Unvested Shares</w:t>
      </w:r>
      <w:r>
        <w:rPr>
          <w:rFonts w:ascii="Arial" w:cs="Arial" w:eastAsia="Arial" w:hAnsi="Arial"/>
          <w:sz w:val="18"/>
          <w:szCs w:val="18"/>
          <w:color w:val="auto"/>
        </w:rPr>
        <w:t>”). Shares of Restricted Stock granted to the Recipient in the Notice of Grant of Restricted Stock shall become fully vested as of the date of death of the Recipient, provided that the Recipient is employed by the Employer on the date of his/her death.</w:t>
      </w:r>
    </w:p>
    <w:p>
      <w:pPr>
        <w:spacing w:after="0" w:line="80" w:lineRule="exact"/>
        <w:rPr>
          <w:rFonts w:ascii="Arial" w:cs="Arial" w:eastAsia="Arial" w:hAnsi="Arial"/>
          <w:sz w:val="18"/>
          <w:szCs w:val="18"/>
          <w:color w:val="auto"/>
        </w:rPr>
      </w:pPr>
    </w:p>
    <w:p>
      <w:pPr>
        <w:ind w:firstLine="1305"/>
        <w:spacing w:after="0" w:line="282" w:lineRule="auto"/>
        <w:tabs>
          <w:tab w:leader="none" w:pos="165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Unvested Shares may not be transferred or otherwise disposed of by the Recipient including by way of</w:t>
      </w:r>
      <w:r>
        <w:rPr>
          <w:rFonts w:ascii="Arial" w:cs="Arial" w:eastAsia="Arial" w:hAnsi="Arial"/>
          <w:sz w:val="18"/>
          <w:szCs w:val="18"/>
          <w:b w:val="1"/>
          <w:bCs w:val="1"/>
          <w:color w:val="auto"/>
        </w:rPr>
        <w:t xml:space="preserve"> </w:t>
      </w:r>
      <w:r>
        <w:rPr>
          <w:rFonts w:ascii="Arial" w:cs="Arial" w:eastAsia="Arial" w:hAnsi="Arial"/>
          <w:sz w:val="18"/>
          <w:szCs w:val="18"/>
          <w:color w:val="auto"/>
        </w:rPr>
        <w:t>sale, assignment, transfer, pledge, hypothecation or otherwise, except as permitted by the Committee in its sole discretion.</w:t>
      </w:r>
    </w:p>
    <w:p>
      <w:pPr>
        <w:spacing w:after="0" w:line="53" w:lineRule="exact"/>
        <w:rPr>
          <w:rFonts w:ascii="Arial" w:cs="Arial" w:eastAsia="Arial" w:hAnsi="Arial"/>
          <w:sz w:val="18"/>
          <w:szCs w:val="18"/>
          <w:color w:val="auto"/>
        </w:rPr>
      </w:pPr>
    </w:p>
    <w:p>
      <w:pPr>
        <w:jc w:val="both"/>
        <w:ind w:firstLine="1305"/>
        <w:spacing w:after="0" w:line="266" w:lineRule="auto"/>
        <w:tabs>
          <w:tab w:leader="none" w:pos="1679"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Unvested Shares or other shares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the Recipient, if such transfer, in the opinion of counsel for the Company, would violate the Securities Act (or any other federal or state statutes having similar requirements as may be in effect at that time).</w:t>
      </w:r>
    </w:p>
    <w:p>
      <w:pPr>
        <w:spacing w:after="0" w:line="68" w:lineRule="exact"/>
        <w:rPr>
          <w:rFonts w:ascii="Arial" w:cs="Arial" w:eastAsia="Arial" w:hAnsi="Arial"/>
          <w:sz w:val="18"/>
          <w:szCs w:val="18"/>
          <w:color w:val="auto"/>
        </w:rPr>
      </w:pPr>
    </w:p>
    <w:p>
      <w:pPr>
        <w:jc w:val="both"/>
        <w:ind w:firstLine="1305"/>
        <w:spacing w:after="0" w:line="256" w:lineRule="auto"/>
        <w:tabs>
          <w:tab w:leader="none" w:pos="1719"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79" w:lineRule="exact"/>
        <w:rPr>
          <w:rFonts w:ascii="Arial" w:cs="Arial" w:eastAsia="Arial" w:hAnsi="Arial"/>
          <w:sz w:val="18"/>
          <w:szCs w:val="18"/>
          <w:color w:val="auto"/>
        </w:rPr>
      </w:pPr>
    </w:p>
    <w:p>
      <w:pPr>
        <w:jc w:val="both"/>
        <w:ind w:firstLine="1305"/>
        <w:spacing w:after="0" w:line="288" w:lineRule="auto"/>
        <w:tabs>
          <w:tab w:leader="none" w:pos="1652"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The Recipient shall promptly notify the Company of any election made pursuant to Section 83(b) of the Code. The Recipient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pay to the Company promptly upon request, and in any event at the time the Recipient recognizes taxable income in respect to the shares of Restricted Stock (including if the Recipient makes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addition, except where the Recipient makes an election under Section 83(b) of the Code, Recipient may elect to have any withholding obligation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her or she (and not the Company) shall be responsible for any tax liability that may arise as a result of the transactions contemplated by this Agreement.</w:t>
      </w:r>
    </w:p>
    <w:p>
      <w:pPr>
        <w:spacing w:after="0" w:line="6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9" w:lineRule="exact"/>
        <w:rPr>
          <w:sz w:val="20"/>
          <w:szCs w:val="20"/>
          <w:color w:val="auto"/>
        </w:rPr>
      </w:pPr>
    </w:p>
    <w:p>
      <w:pPr>
        <w:ind w:left="5660" w:right="4860" w:hanging="5652"/>
        <w:spacing w:after="0" w:line="907" w:lineRule="auto"/>
        <w:tabs>
          <w:tab w:leader="none" w:pos="93" w:val="left"/>
        </w:tabs>
        <w:numPr>
          <w:ilvl w:val="0"/>
          <w:numId w:val="83"/>
        </w:numPr>
        <w:rPr>
          <w:rFonts w:ascii="Arial" w:cs="Arial" w:eastAsia="Arial" w:hAnsi="Arial"/>
          <w:sz w:val="23"/>
          <w:szCs w:val="23"/>
          <w:color w:val="auto"/>
          <w:vertAlign w:val="superscript"/>
        </w:rPr>
      </w:pPr>
      <w:r>
        <w:rPr>
          <w:rFonts w:ascii="Arial" w:cs="Arial" w:eastAsia="Arial" w:hAnsi="Arial"/>
          <w:sz w:val="17"/>
          <w:szCs w:val="17"/>
          <w:color w:val="auto"/>
        </w:rPr>
        <w:t>Only applicable to Restricted Stock Agreements for George D. Yancopoulos, M.D., Ph.D. 3</w:t>
      </w:r>
    </w:p>
    <w:p>
      <w:pPr>
        <w:sectPr>
          <w:pgSz w:w="11900" w:h="16838" w:orient="portrait"/>
          <w:cols w:equalWidth="0" w:num="1">
            <w:col w:w="11420"/>
          </w:cols>
          <w:pgMar w:left="240" w:top="990" w:right="239" w:bottom="1440" w:gutter="0" w:footer="0" w:header="0"/>
        </w:sectPr>
      </w:pPr>
    </w:p>
    <w:bookmarkStart w:id="168" w:name="page169"/>
    <w:bookmarkEnd w:id="168"/>
    <w:p>
      <w:pPr>
        <w:jc w:val="both"/>
        <w:ind w:firstLine="1305"/>
        <w:spacing w:after="0" w:line="261" w:lineRule="auto"/>
        <w:tabs>
          <w:tab w:leader="none" w:pos="1652"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Rights as a Shareholder</w:t>
      </w:r>
      <w:r>
        <w:rPr>
          <w:rFonts w:ascii="Arial" w:cs="Arial" w:eastAsia="Arial" w:hAnsi="Arial"/>
          <w:sz w:val="18"/>
          <w:szCs w:val="18"/>
          <w:color w:val="auto"/>
        </w:rPr>
        <w:t>. Pursuant to Section 8(e) of the Plan, the Company shall hold in escrow all dividends, if any, that are paid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w:t>
      </w:r>
    </w:p>
    <w:p>
      <w:pPr>
        <w:spacing w:after="0" w:line="71" w:lineRule="exact"/>
        <w:rPr>
          <w:rFonts w:ascii="Arial" w:cs="Arial" w:eastAsia="Arial" w:hAnsi="Arial"/>
          <w:sz w:val="18"/>
          <w:szCs w:val="18"/>
          <w:color w:val="auto"/>
        </w:rPr>
      </w:pPr>
    </w:p>
    <w:p>
      <w:pPr>
        <w:jc w:val="both"/>
        <w:ind w:firstLine="1305"/>
        <w:spacing w:after="0" w:line="295" w:lineRule="auto"/>
        <w:tabs>
          <w:tab w:leader="none" w:pos="1611"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Compliance with Law and Regulations</w:t>
      </w:r>
      <w:r>
        <w:rPr>
          <w:rFonts w:ascii="Arial" w:cs="Arial" w:eastAsia="Arial" w:hAnsi="Arial"/>
          <w:sz w:val="16"/>
          <w:szCs w:val="16"/>
          <w:color w:val="auto"/>
        </w:rPr>
        <w:t>. This Agreement, the award hereunder and any obligation of the Company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47" w:lineRule="exact"/>
        <w:rPr>
          <w:rFonts w:ascii="Arial" w:cs="Arial" w:eastAsia="Arial" w:hAnsi="Arial"/>
          <w:sz w:val="16"/>
          <w:szCs w:val="16"/>
          <w:color w:val="auto"/>
        </w:rPr>
      </w:pPr>
    </w:p>
    <w:p>
      <w:pPr>
        <w:jc w:val="both"/>
        <w:ind w:firstLine="1305"/>
        <w:spacing w:after="0" w:line="314" w:lineRule="auto"/>
        <w:tabs>
          <w:tab w:leader="none" w:pos="1715"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 bound by</w:t>
      </w:r>
      <w:r>
        <w:rPr>
          <w:rFonts w:ascii="Arial" w:cs="Arial" w:eastAsia="Arial" w:hAnsi="Arial"/>
          <w:sz w:val="16"/>
          <w:szCs w:val="16"/>
          <w:b w:val="1"/>
          <w:bCs w:val="1"/>
          <w:color w:val="auto"/>
        </w:rPr>
        <w:t xml:space="preserve"> </w:t>
      </w:r>
      <w:r>
        <w:rPr>
          <w:rFonts w:ascii="Arial" w:cs="Arial" w:eastAsia="Arial" w:hAnsi="Arial"/>
          <w:sz w:val="16"/>
          <w:szCs w:val="16"/>
          <w:color w:val="auto"/>
        </w:rPr>
        <w:t>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4" w:lineRule="exact"/>
        <w:rPr>
          <w:rFonts w:ascii="Arial" w:cs="Arial" w:eastAsia="Arial" w:hAnsi="Arial"/>
          <w:sz w:val="16"/>
          <w:szCs w:val="16"/>
          <w:color w:val="auto"/>
        </w:rPr>
      </w:pPr>
    </w:p>
    <w:p>
      <w:pPr>
        <w:jc w:val="both"/>
        <w:ind w:firstLine="1305"/>
        <w:spacing w:after="0" w:line="277" w:lineRule="auto"/>
        <w:tabs>
          <w:tab w:leader="none" w:pos="1695"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60" w:lineRule="exact"/>
        <w:rPr>
          <w:rFonts w:ascii="Arial" w:cs="Arial" w:eastAsia="Arial" w:hAnsi="Arial"/>
          <w:sz w:val="17"/>
          <w:szCs w:val="17"/>
          <w:color w:val="auto"/>
        </w:rPr>
      </w:pPr>
    </w:p>
    <w:p>
      <w:pPr>
        <w:ind w:right="20" w:firstLine="1305"/>
        <w:spacing w:after="0" w:line="282" w:lineRule="auto"/>
        <w:tabs>
          <w:tab w:leader="none" w:pos="1728"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time period, nor does it modify in any respect the Recipient’s employment or compensation.</w:t>
      </w:r>
    </w:p>
    <w:p>
      <w:pPr>
        <w:spacing w:after="0" w:line="161" w:lineRule="exact"/>
        <w:rPr>
          <w:rFonts w:ascii="Arial" w:cs="Arial" w:eastAsia="Arial" w:hAnsi="Arial"/>
          <w:sz w:val="18"/>
          <w:szCs w:val="18"/>
          <w:color w:val="auto"/>
        </w:rPr>
      </w:pPr>
    </w:p>
    <w:p>
      <w:pPr>
        <w:jc w:val="both"/>
        <w:ind w:firstLine="1305"/>
        <w:spacing w:after="0" w:line="261" w:lineRule="auto"/>
        <w:tabs>
          <w:tab w:leader="none" w:pos="1728"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By entering into this Agreement and accepting the award hereunder, the Recipient agrees to be bound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shares of Restricted Stock granted hereunder (including after all restrictions on such shares have lapsed).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86" w:right="239" w:bottom="1440" w:gutter="0" w:footer="0" w:header="0"/>
        </w:sectPr>
      </w:pPr>
    </w:p>
    <w:bookmarkStart w:id="169" w:name="page170"/>
    <w:bookmarkEnd w:id="169"/>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Exhibit 10.2.16</w:t>
            </w:r>
          </w:p>
        </w:tc>
      </w:tr>
      <w:tr>
        <w:trPr>
          <w:trHeight w:val="675"/>
        </w:trPr>
        <w:tc>
          <w:tcPr>
            <w:tcW w:w="4200" w:type="dxa"/>
            <w:vAlign w:val="bottom"/>
          </w:tcPr>
          <w:p>
            <w:pPr>
              <w:spacing w:after="0"/>
              <w:rPr>
                <w:sz w:val="24"/>
                <w:szCs w:val="24"/>
                <w:color w:val="auto"/>
              </w:rPr>
            </w:pPr>
          </w:p>
        </w:tc>
        <w:tc>
          <w:tcPr>
            <w:tcW w:w="4800" w:type="dxa"/>
            <w:vAlign w:val="bottom"/>
            <w:gridSpan w:val="2"/>
          </w:tcPr>
          <w:p>
            <w:pPr>
              <w:ind w:left="1640"/>
              <w:spacing w:after="0"/>
              <w:rPr>
                <w:sz w:val="20"/>
                <w:szCs w:val="20"/>
                <w:color w:val="auto"/>
              </w:rPr>
            </w:pPr>
            <w:r>
              <w:rPr>
                <w:rFonts w:ascii="Arial" w:cs="Arial" w:eastAsia="Arial" w:hAnsi="Arial"/>
                <w:sz w:val="18"/>
                <w:szCs w:val="18"/>
                <w:b w:val="1"/>
                <w:bCs w:val="1"/>
                <w:color w:val="auto"/>
              </w:rPr>
              <w:t>Regeneron Pharmaceuticals, Inc.</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Notice of Grant of Stock Options</w:t>
            </w:r>
          </w:p>
        </w:tc>
        <w:tc>
          <w:tcPr>
            <w:tcW w:w="2300" w:type="dxa"/>
            <w:vAlign w:val="bottom"/>
          </w:tcPr>
          <w:p>
            <w:pPr>
              <w:ind w:left="164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2500" w:type="dxa"/>
            <w:vAlign w:val="bottom"/>
          </w:tcPr>
          <w:p>
            <w:pPr>
              <w:jc w:val="right"/>
              <w:ind w:right="209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and Option Agreement</w:t>
            </w:r>
          </w:p>
        </w:tc>
        <w:tc>
          <w:tcPr>
            <w:tcW w:w="4800" w:type="dxa"/>
            <w:vAlign w:val="bottom"/>
            <w:gridSpan w:val="2"/>
          </w:tcPr>
          <w:p>
            <w:pPr>
              <w:ind w:left="1640"/>
              <w:spacing w:after="0"/>
              <w:rPr>
                <w:sz w:val="20"/>
                <w:szCs w:val="20"/>
                <w:color w:val="auto"/>
              </w:rPr>
            </w:pPr>
            <w:r>
              <w:rPr>
                <w:rFonts w:ascii="Arial" w:cs="Arial" w:eastAsia="Arial" w:hAnsi="Arial"/>
                <w:sz w:val="18"/>
                <w:szCs w:val="18"/>
                <w:color w:val="auto"/>
              </w:rPr>
              <w:t>777 Old Saw Mill River Road</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200" w:type="dxa"/>
            <w:vAlign w:val="bottom"/>
          </w:tcPr>
          <w:p>
            <w:pPr>
              <w:spacing w:after="0"/>
              <w:rPr>
                <w:sz w:val="23"/>
                <w:szCs w:val="23"/>
                <w:color w:val="auto"/>
              </w:rPr>
            </w:pPr>
          </w:p>
        </w:tc>
        <w:tc>
          <w:tcPr>
            <w:tcW w:w="4800" w:type="dxa"/>
            <w:vAlign w:val="bottom"/>
            <w:gridSpan w:val="2"/>
          </w:tcPr>
          <w:p>
            <w:pPr>
              <w:ind w:left="1640"/>
              <w:spacing w:after="0"/>
              <w:rPr>
                <w:sz w:val="20"/>
                <w:szCs w:val="20"/>
                <w:color w:val="auto"/>
              </w:rPr>
            </w:pPr>
            <w:r>
              <w:rPr>
                <w:rFonts w:ascii="Arial" w:cs="Arial" w:eastAsia="Arial" w:hAnsi="Arial"/>
                <w:sz w:val="18"/>
                <w:szCs w:val="18"/>
                <w:color w:val="auto"/>
              </w:rPr>
              <w:t>Tarrytown, New York 10591</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4"/>
        </w:trPr>
        <w:tc>
          <w:tcPr>
            <w:tcW w:w="42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9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[OPTIONEE NAME]</w:t>
            </w:r>
          </w:p>
        </w:tc>
        <w:tc>
          <w:tcPr>
            <w:tcW w:w="4800" w:type="dxa"/>
            <w:vAlign w:val="bottom"/>
            <w:gridSpan w:val="2"/>
          </w:tcPr>
          <w:p>
            <w:pPr>
              <w:ind w:left="1640"/>
              <w:spacing w:after="0"/>
              <w:rPr>
                <w:sz w:val="20"/>
                <w:szCs w:val="20"/>
                <w:color w:val="auto"/>
              </w:rPr>
            </w:pPr>
            <w:r>
              <w:rPr>
                <w:rFonts w:ascii="Arial" w:cs="Arial" w:eastAsia="Arial" w:hAnsi="Arial"/>
                <w:sz w:val="18"/>
                <w:szCs w:val="18"/>
                <w:b w:val="1"/>
                <w:bCs w:val="1"/>
                <w:color w:val="auto"/>
              </w:rPr>
              <w:t>Option Number:</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0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[OPTIONEE ADDRESS]</w:t>
            </w:r>
          </w:p>
        </w:tc>
        <w:tc>
          <w:tcPr>
            <w:tcW w:w="2300" w:type="dxa"/>
            <w:vAlign w:val="bottom"/>
          </w:tcPr>
          <w:p>
            <w:pPr>
              <w:ind w:left="1640"/>
              <w:spacing w:after="0"/>
              <w:rPr>
                <w:sz w:val="20"/>
                <w:szCs w:val="20"/>
                <w:color w:val="auto"/>
              </w:rPr>
            </w:pPr>
            <w:r>
              <w:rPr>
                <w:rFonts w:ascii="Arial" w:cs="Arial" w:eastAsia="Arial" w:hAnsi="Arial"/>
                <w:sz w:val="18"/>
                <w:szCs w:val="18"/>
                <w:b w:val="1"/>
                <w:bCs w:val="1"/>
                <w:color w:val="auto"/>
              </w:rPr>
              <w:t>Plan:</w:t>
            </w:r>
          </w:p>
        </w:tc>
        <w:tc>
          <w:tcPr>
            <w:tcW w:w="250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0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r>
      <w:tr>
        <w:trPr>
          <w:trHeight w:val="270"/>
        </w:trPr>
        <w:tc>
          <w:tcPr>
            <w:tcW w:w="4200" w:type="dxa"/>
            <w:vAlign w:val="bottom"/>
          </w:tcPr>
          <w:p>
            <w:pPr>
              <w:spacing w:after="0"/>
              <w:rPr>
                <w:sz w:val="23"/>
                <w:szCs w:val="23"/>
                <w:color w:val="auto"/>
              </w:rPr>
            </w:pPr>
          </w:p>
        </w:tc>
        <w:tc>
          <w:tcPr>
            <w:tcW w:w="2300" w:type="dxa"/>
            <w:vAlign w:val="bottom"/>
          </w:tcPr>
          <w:p>
            <w:pPr>
              <w:ind w:left="1640"/>
              <w:spacing w:after="0"/>
              <w:rPr>
                <w:sz w:val="20"/>
                <w:szCs w:val="20"/>
                <w:color w:val="auto"/>
              </w:rPr>
            </w:pPr>
            <w:r>
              <w:rPr>
                <w:rFonts w:ascii="Arial" w:cs="Arial" w:eastAsia="Arial" w:hAnsi="Arial"/>
                <w:sz w:val="18"/>
                <w:szCs w:val="18"/>
                <w:b w:val="1"/>
                <w:bCs w:val="1"/>
                <w:color w:val="auto"/>
              </w:rPr>
              <w:t>ID</w:t>
            </w:r>
          </w:p>
        </w:tc>
        <w:tc>
          <w:tcPr>
            <w:tcW w:w="250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0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&lt;date&gt; (the “Grant Date”) you have been granted a Non-Qualified Stock Option to buy [ “Company”) stock at $[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 shares of Regeneron Pharmaceuticals, Inc. (the</w:t>
      </w:r>
    </w:p>
    <w:p>
      <w:pPr>
        <w:spacing w:after="0" w:line="463" w:lineRule="exact"/>
        <w:rPr>
          <w:sz w:val="20"/>
          <w:szCs w:val="20"/>
          <w:color w:val="auto"/>
        </w:rPr>
      </w:pPr>
    </w:p>
    <w:p>
      <w:pPr>
        <w:sectPr>
          <w:pgSz w:w="11900" w:h="16838" w:orient="portrait"/>
          <w:cols w:equalWidth="0" w:num="2">
            <w:col w:w="7100" w:space="540"/>
            <w:col w:w="3780"/>
          </w:cols>
          <w:pgMar w:left="240" w:top="36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total option price of the shares granted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460" w:space="540"/>
            <w:col w:w="7420"/>
          </w:cols>
          <w:pgMar w:left="240" w:top="36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 Type</w:t>
            </w: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Full Vest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On Vest Date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On Vest Date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On Vest Date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3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right="160" w:hanging="465"/>
        <w:spacing w:after="0" w:line="277"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Options for non-employee directors will vest in approximately equal annual 33-1/3% installments. Full Vest Dates will occur on the first, second, and third anniversaries of the Grant Date.</w:t>
      </w:r>
    </w:p>
    <w:p>
      <w:pPr>
        <w:sectPr>
          <w:pgSz w:w="11900" w:h="16838" w:orient="portrait"/>
          <w:cols w:equalWidth="0" w:num="1">
            <w:col w:w="11420"/>
          </w:cols>
          <w:pgMar w:left="240" w:top="364" w:right="239" w:bottom="144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Grant)</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Stock Options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0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12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70" w:lineRule="auto"/>
        <w:tabs>
          <w:tab w:leader="none" w:pos="987"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Exercise. </w:t>
      </w:r>
      <w:r>
        <w:rPr>
          <w:rFonts w:ascii="Arial" w:cs="Arial" w:eastAsia="Arial" w:hAnsi="Arial"/>
          <w:sz w:val="17"/>
          <w:szCs w:val="17"/>
          <w:color w:val="auto"/>
        </w:rPr>
        <w:t>(a) The Option becomes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has become 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Grantee acknowledges that it is the Grantee’s responsibility to satisfy any federal, state and local tax requirements related to the exercise of the Option.</w:t>
      </w:r>
    </w:p>
    <w:p>
      <w:pPr>
        <w:spacing w:after="0" w:line="101" w:lineRule="exact"/>
        <w:rPr>
          <w:sz w:val="20"/>
          <w:szCs w:val="20"/>
          <w:color w:val="auto"/>
        </w:rPr>
      </w:pPr>
    </w:p>
    <w:p>
      <w:pPr>
        <w:jc w:val="both"/>
        <w:ind w:firstLine="656"/>
        <w:spacing w:after="0" w:line="319" w:lineRule="auto"/>
        <w:tabs>
          <w:tab w:leader="none" w:pos="1506"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(except as set forth below with respect to Retirement or the Grantee’s death) the Grantee has not incurred a termination of service as a member of the Board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Except as otherwise provided below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as may be otherwise determined by the Committee in accordance with Section 12(e) of the Plan, no vesting shall occur after such date as the Grantee ceases to be on the Board and the entire unvested portion of the Option shall be forfeited at such time. Notwithstanding the preceding sentence, upon the Grantee’s Retirement from service on the Board, the Option shall continue to vest in installments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as if the Grantee had remained in service on the Board.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shall mean a voluntary termination of service on the Board (including by not standing for re-election) by the Grantee at a time when the Grantee meets both of the following criteria: the Grantee has served as a member of the Board for a minimum of three (3) years, and the combination of the Grantee’s age and total years of service as a member of the Board equals a minimum of 80.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171" w:name="page172"/>
    <w:bookmarkEnd w:id="171"/>
    <w:p>
      <w:pPr>
        <w:jc w:val="both"/>
        <w:ind w:left="80" w:firstLine="644"/>
        <w:spacing w:after="0" w:line="286" w:lineRule="auto"/>
        <w:tabs>
          <w:tab w:leader="none" w:pos="973"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the Grantee’s death if the Grantee’s service on the Board has not terminated prior to the Grantee’s death. In addition, and also 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if the Grantee’s service on the Board has not terminated prior to such date. If the application of the provision in the foregoing sentence, similar provisions in other stock option or restricted stock grants, and other payments and benefits payable to the Grantee in connection with a Change in Control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64" w:lineRule="exact"/>
        <w:rPr>
          <w:rFonts w:ascii="Arial" w:cs="Arial" w:eastAsia="Arial" w:hAnsi="Arial"/>
          <w:sz w:val="16"/>
          <w:szCs w:val="16"/>
          <w:color w:val="auto"/>
        </w:rPr>
      </w:pPr>
    </w:p>
    <w:p>
      <w:pPr>
        <w:jc w:val="both"/>
        <w:ind w:firstLine="656"/>
        <w:spacing w:after="0" w:line="219" w:lineRule="exact"/>
        <w:tabs>
          <w:tab w:leader="none" w:pos="981"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Term. </w:t>
      </w:r>
      <w:r>
        <w:rPr>
          <w:rFonts w:ascii="Arial" w:cs="Arial" w:eastAsia="Arial" w:hAnsi="Arial"/>
          <w:sz w:val="17"/>
          <w:szCs w:val="17"/>
          <w:color w:val="auto"/>
        </w:rPr>
        <w:t>Except as otherwise provided in the next sentence or in the Plan, the Option shall expire on the tenth anniversary of the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In the event of termination of service as a member of the Board of the Company, except as may be otherwise determined by the Committee in accordance with Section 12(e) of the Plan, the vested portion of the Option shall expire on the earlier of (i) the tenth anniversary of this grant, or (ii)(A) subject to (D) below, three months after such termination if such termination is for any reason other than death, Retirement, or long</w:t>
      </w:r>
      <w:r>
        <w:rPr>
          <w:rFonts w:ascii="MS PGothic" w:cs="MS PGothic" w:eastAsia="MS PGothic" w:hAnsi="MS PGothic"/>
          <w:sz w:val="17"/>
          <w:szCs w:val="17"/>
          <w:color w:val="auto"/>
        </w:rPr>
        <w:t>‑</w:t>
      </w:r>
      <w:r>
        <w:rPr>
          <w:rFonts w:ascii="Arial" w:cs="Arial" w:eastAsia="Arial" w:hAnsi="Arial"/>
          <w:sz w:val="17"/>
          <w:szCs w:val="17"/>
          <w:color w:val="auto"/>
        </w:rPr>
        <w:t>term disability, (B) the tenth anniversary of this grant if such termination is due to Retirement or death, (C) one year after the termination if such termination is due to the Grantee’s long</w:t>
      </w:r>
      <w:r>
        <w:rPr>
          <w:rFonts w:ascii="MS PGothic" w:cs="MS PGothic" w:eastAsia="MS PGothic" w:hAnsi="MS PGothic"/>
          <w:sz w:val="17"/>
          <w:szCs w:val="17"/>
          <w:color w:val="auto"/>
        </w:rPr>
        <w:t>‑</w:t>
      </w:r>
      <w:r>
        <w:rPr>
          <w:rFonts w:ascii="Arial" w:cs="Arial" w:eastAsia="Arial" w:hAnsi="Arial"/>
          <w:sz w:val="17"/>
          <w:szCs w:val="17"/>
          <w:color w:val="auto"/>
        </w:rPr>
        <w:t>term disability or (D) one year after such termination if such termination is at any time within two years after the occurrence of a Change in Control and is not due to death, Retirement, or long-term disability.</w:t>
      </w:r>
    </w:p>
    <w:p>
      <w:pPr>
        <w:spacing w:after="0" w:line="92" w:lineRule="exact"/>
        <w:rPr>
          <w:rFonts w:ascii="Arial" w:cs="Arial" w:eastAsia="Arial" w:hAnsi="Arial"/>
          <w:sz w:val="17"/>
          <w:szCs w:val="17"/>
          <w:b w:val="1"/>
          <w:bCs w:val="1"/>
          <w:color w:val="auto"/>
        </w:rPr>
      </w:pPr>
    </w:p>
    <w:p>
      <w:pPr>
        <w:jc w:val="both"/>
        <w:ind w:firstLine="656"/>
        <w:spacing w:after="0" w:line="254" w:lineRule="auto"/>
        <w:tabs>
          <w:tab w:leader="none" w:pos="103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jc w:val="both"/>
        <w:ind w:firstLine="656"/>
        <w:spacing w:after="0" w:line="281" w:lineRule="auto"/>
        <w:tabs>
          <w:tab w:leader="none" w:pos="979"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984"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6"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shall be construed and administered in accordance with the laws of the State of New York without reference to its principles of conflicts of law.</w:t>
      </w:r>
    </w:p>
    <w:p>
      <w:pPr>
        <w:spacing w:after="0" w:line="113" w:lineRule="exact"/>
        <w:rPr>
          <w:sz w:val="20"/>
          <w:szCs w:val="20"/>
          <w:color w:val="auto"/>
        </w:rPr>
      </w:pPr>
    </w:p>
    <w:p>
      <w:pPr>
        <w:jc w:val="both"/>
        <w:ind w:firstLine="656"/>
        <w:spacing w:after="0" w:line="266" w:lineRule="auto"/>
        <w:tabs>
          <w:tab w:leader="none" w:pos="10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Company, to: Regeneron Pharmaceuticals, Inc., 777 Old Saw Mill River Road, Tarrytown, NY 10591, Attention: Secretary, and (ii) if to the Grantee, to: the Grantee at Regeneron Pharmaceuticals, Inc., 777 Old Saw Mill River Road, Tarrytown, NY 10591, or, if the Grantee has terminated service, to the last address for the Grantee indicated in the records of the Company, or such other address as the relevant party shall specify at any time hereafter in accordance with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7"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tcPr>
          <w:p>
            <w:pPr>
              <w:spacing w:after="0"/>
              <w:rPr>
                <w:sz w:val="17"/>
                <w:szCs w:val="17"/>
                <w:color w:val="auto"/>
              </w:rPr>
            </w:pPr>
          </w:p>
        </w:tc>
      </w:tr>
      <w:tr>
        <w:trPr>
          <w:trHeight w:val="196"/>
        </w:trPr>
        <w:tc>
          <w:tcPr>
            <w:tcW w:w="5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Name of Subsidiary*</w:t>
            </w:r>
          </w:p>
        </w:tc>
        <w:tc>
          <w:tcPr>
            <w:tcW w:w="2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2"/>
              </w:rPr>
              <w:t>Incorporation or Organization</w:t>
            </w:r>
          </w:p>
        </w:tc>
      </w:tr>
      <w:tr>
        <w:trPr>
          <w:trHeight w:val="20"/>
        </w:trPr>
        <w:tc>
          <w:tcPr>
            <w:tcW w:w="1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91"/>
        </w:trPr>
        <w:tc>
          <w:tcPr>
            <w:tcW w:w="5140" w:type="dxa"/>
            <w:vAlign w:val="bottom"/>
            <w:gridSpan w:val="2"/>
          </w:tcPr>
          <w:p>
            <w:pPr>
              <w:spacing w:after="0"/>
              <w:rPr>
                <w:sz w:val="20"/>
                <w:szCs w:val="20"/>
                <w:color w:val="auto"/>
              </w:rPr>
            </w:pPr>
            <w:r>
              <w:rPr>
                <w:rFonts w:ascii="Arial" w:cs="Arial" w:eastAsia="Arial" w:hAnsi="Arial"/>
                <w:sz w:val="18"/>
                <w:szCs w:val="18"/>
                <w:color w:val="auto"/>
              </w:rPr>
              <w:t>Loop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Old Saw Mill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Assurance,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Belgium BVBA</w:t>
            </w:r>
          </w:p>
        </w:tc>
        <w:tc>
          <w:tcPr>
            <w:tcW w:w="23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International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Ireland Holdings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Ireland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Spain, S.L.U.</w:t>
            </w:r>
          </w:p>
        </w:tc>
        <w:tc>
          <w:tcPr>
            <w:tcW w:w="23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Rockwood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bl>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220"/>
          </w:cols>
          <w:pgMar w:left="1440" w:top="66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(Nos. 333-61132, 333-97375, 333-119257, 333-151941, 333-169569, 333-174863, 333-196799, 333-198794, and 333-218669) of Regeneron Pharmaceuticals, Inc., of our report dated February 8, 2018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ectPr>
          <w:pgSz w:w="11900" w:h="16838" w:orient="portrait"/>
          <w:cols w:equalWidth="0" w:num="1">
            <w:col w:w="11420"/>
          </w:cols>
          <w:pgMar w:left="240" w:top="58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2017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2018</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2018</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lowerLetter"/>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1)"/>
      <w:numFmt w:val="decimal"/>
      <w:start w:val="3"/>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Ÿ"/>
      <w:numFmt w:val="bullet"/>
      <w:start w:val="1"/>
    </w:lvl>
  </w:abstractNum>
  <w:abstractNum w:abstractNumId="24">
    <w:nsid w:val="354FE9F9"/>
    <w:multiLevelType w:val="hybridMultilevel"/>
    <w:lvl w:ilvl="0">
      <w:lvlJc w:val="left"/>
      <w:lvlText w:val="Ÿ"/>
      <w:numFmt w:val="bullet"/>
      <w:start w:val="1"/>
    </w:lvl>
  </w:abstractNum>
  <w:abstractNum w:abstractNumId="25">
    <w:nsid w:val="15B5AF5C"/>
    <w:multiLevelType w:val="hybridMultilevel"/>
    <w:lvl w:ilvl="0">
      <w:lvlJc w:val="left"/>
      <w:lvlText w:val="Ÿ"/>
      <w:numFmt w:val="bullet"/>
      <w:start w:val="1"/>
    </w:lvl>
  </w:abstractNum>
  <w:abstractNum w:abstractNumId="26">
    <w:nsid w:val="741226BB"/>
    <w:multiLevelType w:val="hybridMultilevel"/>
    <w:lvl w:ilvl="0">
      <w:lvlJc w:val="left"/>
      <w:lvlText w:val="Ÿ"/>
      <w:numFmt w:val="bullet"/>
      <w:start w:val="1"/>
    </w:lvl>
  </w:abstractNum>
  <w:abstractNum w:abstractNumId="27">
    <w:nsid w:val="D34B6A8"/>
    <w:multiLevelType w:val="hybridMultilevel"/>
    <w:lvl w:ilvl="0">
      <w:lvlJc w:val="left"/>
      <w:lvlText w:val="Ÿ"/>
      <w:numFmt w:val="bullet"/>
      <w:start w:val="1"/>
    </w:lvl>
  </w:abstractNum>
  <w:abstractNum w:abstractNumId="28">
    <w:nsid w:val="10233C99"/>
    <w:multiLevelType w:val="hybridMultilevel"/>
    <w:lvl w:ilvl="0">
      <w:lvlJc w:val="left"/>
      <w:lvlText w:val="Ÿ"/>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1"/>
      <w:numFmt w:val="decimal"/>
      <w:start w:val="32"/>
    </w:lvl>
  </w:abstractNum>
  <w:abstractNum w:abstractNumId="33">
    <w:nsid w:val="579BE4F1"/>
    <w:multiLevelType w:val="hybridMultilevel"/>
    <w:lvl w:ilvl="0">
      <w:lvlJc w:val="left"/>
      <w:lvlText w:val="+"/>
      <w:numFmt w:val="bullet"/>
      <w:start w:val="1"/>
    </w:lvl>
    <w:lvl w:ilvl="1">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1)"/>
      <w:numFmt w:val="lowerLetter"/>
      <w:start w:val="2"/>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lowerLetter"/>
      <w:start w:val="2"/>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lvl w:ilvl="1">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lowerLetter"/>
      <w:start w:val="2"/>
    </w:lvl>
    <w:lvl w:ilvl="1">
      <w:lvlJc w:val="left"/>
      <w:lvlText w:val="(%2)"/>
      <w:numFmt w:val="lowerLetter"/>
      <w:start w:val="3"/>
    </w:lvl>
  </w:abstractNum>
  <w:abstractNum w:abstractNumId="45">
    <w:nsid w:val="15014ACB"/>
    <w:multiLevelType w:val="hybridMultilevel"/>
    <w:lvl w:ilvl="0">
      <w:lvlJc w:val="left"/>
      <w:lvlText w:val="%1."/>
      <w:numFmt w:val="decimal"/>
      <w:start w:val="3"/>
    </w:lvl>
  </w:abstractNum>
  <w:abstractNum w:abstractNumId="46">
    <w:nsid w:val="5F5E7FD0"/>
    <w:multiLevelType w:val="hybridMultilevel"/>
    <w:lvl w:ilvl="0">
      <w:lvlJc w:val="left"/>
      <w:lvlText w:val="(%1)"/>
      <w:numFmt w:val="lowerLetter"/>
      <w:start w:val="2"/>
    </w:lvl>
  </w:abstractNum>
  <w:abstractNum w:abstractNumId="47">
    <w:nsid w:val="98A3148"/>
    <w:multiLevelType w:val="hybridMultilevel"/>
    <w:lvl w:ilvl="0">
      <w:lvlJc w:val="left"/>
      <w:lvlText w:val="1"/>
      <w:numFmt w:val="bullet"/>
      <w:start w:val="1"/>
    </w:lvl>
  </w:abstractNum>
  <w:abstractNum w:abstractNumId="48">
    <w:nsid w:val="799D0247"/>
    <w:multiLevelType w:val="hybridMultilevel"/>
    <w:lvl w:ilvl="0">
      <w:lvlJc w:val="left"/>
      <w:lvlText w:val="(%1)"/>
      <w:numFmt w:val="lowerLetter"/>
      <w:start w:val="3"/>
    </w:lvl>
  </w:abstractNum>
  <w:abstractNum w:abstractNumId="49">
    <w:nsid w:val="6B94764"/>
    <w:multiLevelType w:val="hybridMultilevel"/>
    <w:lvl w:ilvl="0">
      <w:lvlJc w:val="left"/>
      <w:lvlText w:val="%1."/>
      <w:numFmt w:val="decimal"/>
      <w:start w:val="4"/>
    </w:lvl>
  </w:abstractNum>
  <w:abstractNum w:abstractNumId="50">
    <w:nsid w:val="42C296BD"/>
    <w:multiLevelType w:val="hybridMultilevel"/>
    <w:lvl w:ilvl="0">
      <w:lvlJc w:val="left"/>
      <w:lvlText w:val="3"/>
      <w:numFmt w:val="bullet"/>
      <w:start w:val="1"/>
    </w:lvl>
  </w:abstractNum>
  <w:abstractNum w:abstractNumId="51">
    <w:nsid w:val="168E121F"/>
    <w:multiLevelType w:val="hybridMultilevel"/>
    <w:lvl w:ilvl="0">
      <w:lvlJc w:val="left"/>
      <w:lvlText w:val="%1."/>
      <w:numFmt w:val="decimal"/>
      <w:start w:val="7"/>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lowerLetter"/>
      <w:start w:val="2"/>
    </w:lvl>
  </w:abstractNum>
  <w:abstractNum w:abstractNumId="56">
    <w:nsid w:val="7BD3EE7B"/>
    <w:multiLevelType w:val="hybridMultilevel"/>
    <w:lvl w:ilvl="0">
      <w:lvlJc w:val="left"/>
      <w:lvlText w:val="(%1)"/>
      <w:numFmt w:val="lowerLetter"/>
      <w:start w:val="3"/>
    </w:lvl>
  </w:abstractNum>
  <w:abstractNum w:abstractNumId="57">
    <w:nsid w:val="51D9C564"/>
    <w:multiLevelType w:val="hybridMultilevel"/>
    <w:lvl w:ilvl="0">
      <w:lvlJc w:val="left"/>
      <w:lvlText w:val="%1."/>
      <w:numFmt w:val="decimal"/>
      <w:start w:val="3"/>
    </w:lvl>
    <w:lvl w:ilvl="1">
      <w:lvlJc w:val="left"/>
      <w:lvlText w:val="(%2)"/>
      <w:numFmt w:val="lowerLetter"/>
      <w:start w:val="2"/>
    </w:lvl>
  </w:abstractNum>
  <w:abstractNum w:abstractNumId="58">
    <w:nsid w:val="613EFDC5"/>
    <w:multiLevelType w:val="hybridMultilevel"/>
    <w:lvl w:ilvl="0">
      <w:lvlJc w:val="left"/>
      <w:lvlText w:val="1"/>
      <w:numFmt w:val="bullet"/>
      <w:start w:val="1"/>
    </w:lvl>
  </w:abstractNum>
  <w:abstractNum w:abstractNumId="59">
    <w:nsid w:val="BF72B14"/>
    <w:multiLevelType w:val="hybridMultilevel"/>
    <w:lvl w:ilvl="0">
      <w:lvlJc w:val="left"/>
      <w:lvlText w:val="%1"/>
      <w:numFmt w:val="decimal"/>
      <w:start w:val="1"/>
    </w:lvl>
    <w:lvl w:ilvl="1">
      <w:lvlJc w:val="left"/>
      <w:lvlText w:val="(%2)"/>
      <w:numFmt w:val="lowerLetter"/>
      <w:start w:val="3"/>
    </w:lvl>
  </w:abstractNum>
  <w:abstractNum w:abstractNumId="60">
    <w:nsid w:val="11447B73"/>
    <w:multiLevelType w:val="hybridMultilevel"/>
    <w:lvl w:ilvl="0">
      <w:lvlJc w:val="left"/>
      <w:lvlText w:val="%1."/>
      <w:numFmt w:val="decimal"/>
      <w:start w:val="4"/>
    </w:lvl>
    <w:lvl w:ilvl="1">
      <w:lvlJc w:val="left"/>
      <w:lvlText w:val="%2"/>
      <w:numFmt w:val="lowerLetter"/>
      <w:start w:val="1"/>
    </w:lvl>
  </w:abstractNum>
  <w:abstractNum w:abstractNumId="61">
    <w:nsid w:val="42963E5A"/>
    <w:multiLevelType w:val="hybridMultilevel"/>
    <w:lvl w:ilvl="0">
      <w:lvlJc w:val="left"/>
      <w:lvlText w:val="3"/>
      <w:numFmt w:val="bullet"/>
      <w:start w:val="1"/>
    </w:lvl>
  </w:abstractNum>
  <w:abstractNum w:abstractNumId="62">
    <w:nsid w:val="A0382C5"/>
    <w:multiLevelType w:val="hybridMultilevel"/>
    <w:lvl w:ilvl="0">
      <w:lvlJc w:val="left"/>
      <w:lvlText w:val="%1."/>
      <w:numFmt w:val="decimal"/>
      <w:start w:val="7"/>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lowerLetter"/>
      <w:start w:val="2"/>
    </w:lvl>
  </w:abstractNum>
  <w:abstractNum w:abstractNumId="66">
    <w:nsid w:val="68EB2F63"/>
    <w:multiLevelType w:val="hybridMultilevel"/>
    <w:lvl w:ilvl="0">
      <w:lvlJc w:val="left"/>
      <w:lvlText w:val="%1."/>
      <w:numFmt w:val="decimal"/>
      <w:start w:val="3"/>
    </w:lvl>
  </w:abstractNum>
  <w:abstractNum w:abstractNumId="67">
    <w:nsid w:val="4962813B"/>
    <w:multiLevelType w:val="hybridMultilevel"/>
    <w:lvl w:ilvl="0">
      <w:lvlJc w:val="left"/>
      <w:lvlText w:val="(%1)"/>
      <w:numFmt w:val="lowerLetter"/>
      <w:start w:val="2"/>
    </w:lvl>
  </w:abstractNum>
  <w:abstractNum w:abstractNumId="68">
    <w:nsid w:val="60B6DF70"/>
    <w:multiLevelType w:val="hybridMultilevel"/>
    <w:lvl w:ilvl="0">
      <w:lvlJc w:val="left"/>
      <w:lvlText w:val="%1."/>
      <w:numFmt w:val="decimal"/>
      <w:start w:val="4"/>
    </w:lvl>
  </w:abstractNum>
  <w:abstractNum w:abstractNumId="69">
    <w:nsid w:val="6A5EE64"/>
    <w:multiLevelType w:val="hybridMultilevel"/>
    <w:lvl w:ilvl="0">
      <w:lvlJc w:val="left"/>
      <w:lvlText w:val="%1."/>
      <w:numFmt w:val="decimal"/>
      <w:start w:val="6"/>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3"/>
    </w:lvl>
  </w:abstractNum>
  <w:abstractNum w:abstractNumId="74">
    <w:nsid w:val="100F59DC"/>
    <w:multiLevelType w:val="hybridMultilevel"/>
    <w:lvl w:ilvl="0">
      <w:lvlJc w:val="left"/>
      <w:lvlText w:val="%1."/>
      <w:numFmt w:val="decimal"/>
      <w:start w:val="3"/>
    </w:lvl>
  </w:abstractNum>
  <w:abstractNum w:abstractNumId="75">
    <w:nsid w:val="7FB7E0AA"/>
    <w:multiLevelType w:val="hybridMultilevel"/>
    <w:lvl w:ilvl="0">
      <w:lvlJc w:val="left"/>
      <w:lvlText w:val="(%1)"/>
      <w:numFmt w:val="lowerLetter"/>
      <w:start w:val="2"/>
    </w:lvl>
  </w:abstractNum>
  <w:abstractNum w:abstractNumId="76">
    <w:nsid w:val="6EB5BD4"/>
    <w:multiLevelType w:val="hybridMultilevel"/>
    <w:lvl w:ilvl="0">
      <w:lvlJc w:val="left"/>
      <w:lvlText w:val="%1."/>
      <w:numFmt w:val="decimal"/>
      <w:start w:val="4"/>
    </w:lvl>
  </w:abstractNum>
  <w:abstractNum w:abstractNumId="77">
    <w:nsid w:val="6F6DD9AC"/>
    <w:multiLevelType w:val="hybridMultilevel"/>
    <w:lvl w:ilvl="0">
      <w:lvlJc w:val="left"/>
      <w:lvlText w:val="%1."/>
      <w:numFmt w:val="decimal"/>
      <w:start w:val="5"/>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lowerLetter"/>
      <w:start w:val="2"/>
    </w:lvl>
  </w:abstractNum>
  <w:abstractNum w:abstractNumId="80">
    <w:nsid w:val="76272110"/>
    <w:multiLevelType w:val="hybridMultilevel"/>
    <w:lvl w:ilvl="0">
      <w:lvlJc w:val="left"/>
      <w:lvlText w:val="(%1)"/>
      <w:numFmt w:val="lowerLetter"/>
      <w:start w:val="3"/>
    </w:lvl>
  </w:abstractNum>
  <w:abstractNum w:abstractNumId="81">
    <w:nsid w:val="4C04A8AF"/>
    <w:multiLevelType w:val="hybridMultilevel"/>
    <w:lvl w:ilvl="0">
      <w:lvlJc w:val="left"/>
      <w:lvlText w:val="%1."/>
      <w:numFmt w:val="decimal"/>
      <w:start w:val="3"/>
    </w:lvl>
  </w:abstractNum>
  <w:abstractNum w:abstractNumId="82">
    <w:nsid w:val="1716703B"/>
    <w:multiLevelType w:val="hybridMultilevel"/>
    <w:lvl w:ilvl="0">
      <w:lvlJc w:val="left"/>
      <w:lvlText w:val="1"/>
      <w:numFmt w:val="bullet"/>
      <w:start w:val="1"/>
    </w:lvl>
  </w:abstractNum>
  <w:abstractNum w:abstractNumId="83">
    <w:nsid w:val="14E17E33"/>
    <w:multiLevelType w:val="hybridMultilevel"/>
    <w:lvl w:ilvl="0">
      <w:lvlJc w:val="left"/>
      <w:lvlText w:val="%1."/>
      <w:numFmt w:val="decimal"/>
      <w:start w:val="8"/>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lowerLetter"/>
      <w:start w:val="2"/>
    </w:lvl>
  </w:abstractNum>
  <w:abstractNum w:abstractNumId="87">
    <w:nsid w:val="2DF6D648"/>
    <w:multiLevelType w:val="hybridMultilevel"/>
    <w:lvl w:ilvl="0">
      <w:lvlJc w:val="left"/>
      <w:lvlText w:val="%1"/>
      <w:numFmt w:val="decimal"/>
      <w:start w:val="1"/>
    </w:lvl>
    <w:lvl w:ilvl="1">
      <w:lvlJc w:val="left"/>
      <w:lvlText w:val="(%2)"/>
      <w:numFmt w:val="lowerLetter"/>
      <w:start w:val="3"/>
    </w:lvl>
  </w:abstractNum>
  <w:abstractNum w:abstractNumId="88">
    <w:nsid w:val="46B7D447"/>
    <w:multiLevelType w:val="hybridMultilevel"/>
    <w:lvl w:ilvl="0">
      <w:lvlJc w:val="left"/>
      <w:lvlText w:val="%1."/>
      <w:numFmt w:val="decimal"/>
      <w:start w:val="3"/>
    </w:lvl>
    <w:lvl w:ilvl="1">
      <w:lvlJc w:val="left"/>
      <w:lvlText w:val="%2"/>
      <w:numFmt w:val="lowerLetter"/>
      <w:start w:val="1"/>
    </w:lvl>
  </w:abstractNum>
  <w:abstractNum w:abstractNumId="89">
    <w:nsid w:val="4A2AC315"/>
    <w:multiLevelType w:val="hybridMultilevel"/>
    <w:lvl w:ilvl="0">
      <w:lvlJc w:val="left"/>
      <w:lvlText w:val="%1."/>
      <w:numFmt w:val="decimal"/>
      <w:start w:val="7"/>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134" Type="http://schemas.openxmlformats.org/officeDocument/2006/relationships/image" Target="media/image23.png"/><Relationship Id="rId135" Type="http://schemas.openxmlformats.org/officeDocument/2006/relationships/image" Target="media/image24.png"/><Relationship Id="rId136" Type="http://schemas.openxmlformats.org/officeDocument/2006/relationships/image" Target="media/image25.png"/><Relationship Id="rId137" Type="http://schemas.openxmlformats.org/officeDocument/2006/relationships/image" Target="media/image26.png"/><Relationship Id="rId138" Type="http://schemas.openxmlformats.org/officeDocument/2006/relationships/image" Target="media/image27.png"/><Relationship Id="rId139" Type="http://schemas.openxmlformats.org/officeDocument/2006/relationships/image" Target="media/image28.png"/><Relationship Id="rId140" Type="http://schemas.openxmlformats.org/officeDocument/2006/relationships/image" Target="media/image29.png"/><Relationship Id="rId141" Type="http://schemas.openxmlformats.org/officeDocument/2006/relationships/image" Target="media/image30.png"/><Relationship Id="rId142" Type="http://schemas.openxmlformats.org/officeDocument/2006/relationships/image" Target="media/image31.png"/><Relationship Id="rId143" Type="http://schemas.openxmlformats.org/officeDocument/2006/relationships/image" Target="media/image32.png"/><Relationship Id="rId144" Type="http://schemas.openxmlformats.org/officeDocument/2006/relationships/image" Target="media/image33.png"/><Relationship Id="rId145" Type="http://schemas.openxmlformats.org/officeDocument/2006/relationships/image" Target="media/image34.png"/><Relationship Id="rId146" Type="http://schemas.openxmlformats.org/officeDocument/2006/relationships/image" Target="media/image35.png"/><Relationship Id="rId147" Type="http://schemas.openxmlformats.org/officeDocument/2006/relationships/image" Target="media/image36.png"/><Relationship Id="rId148" Type="http://schemas.openxmlformats.org/officeDocument/2006/relationships/image" Target="media/image37.png"/><Relationship Id="rId149" Type="http://schemas.openxmlformats.org/officeDocument/2006/relationships/image" Target="media/image38.png"/><Relationship Id="rId150" Type="http://schemas.openxmlformats.org/officeDocument/2006/relationships/image" Target="media/image39.png"/><Relationship Id="rId151" Type="http://schemas.openxmlformats.org/officeDocument/2006/relationships/image" Target="media/image40.png"/><Relationship Id="rId152" Type="http://schemas.openxmlformats.org/officeDocument/2006/relationships/image" Target="media/image41.png"/><Relationship Id="rId153" Type="http://schemas.openxmlformats.org/officeDocument/2006/relationships/image" Target="media/image42.png"/><Relationship Id="rId154" Type="http://schemas.openxmlformats.org/officeDocument/2006/relationships/image" Target="media/image43.png"/><Relationship Id="rId30" Type="http://schemas.openxmlformats.org/officeDocument/2006/relationships/hyperlink" Target="http://www.sec.gov/Archives/edgar/data/872589/000153217615000029/regn-ex_31x06302015x10q.htm" TargetMode="External"/><Relationship Id="rId31" Type="http://schemas.openxmlformats.org/officeDocument/2006/relationships/hyperlink" Target="http://www.sec.gov/Archives/edgar/data/872589/000110465916163216/a16-23471_1ex3d2.htm" TargetMode="External"/><Relationship Id="rId32" Type="http://schemas.openxmlformats.org/officeDocument/2006/relationships/hyperlink" Target="http://www.sec.gov/Archives/edgar/data/872589/000119312511278786/d245760dex41.htm" TargetMode="External"/><Relationship Id="rId33" Type="http://schemas.openxmlformats.org/officeDocument/2006/relationships/hyperlink" Target="http://www.sec.gov/Archives/edgar/data/872589/000119312511278786/d245760dex42.htm" TargetMode="External"/><Relationship Id="rId34" Type="http://schemas.openxmlformats.org/officeDocument/2006/relationships/hyperlink" Target="http://www.sec.gov/Archives/edgar/data/872589/000120677411001374/exhibit99-1.htm" TargetMode="External"/><Relationship Id="rId35" Type="http://schemas.openxmlformats.org/officeDocument/2006/relationships/hyperlink" Target="http://www.sec.gov/Archives/edgar/data/872589/000095012305014882/y15671exv10w01.htm" TargetMode="External"/><Relationship Id="rId36" Type="http://schemas.openxmlformats.org/officeDocument/2006/relationships/hyperlink" Target="http://www.sec.gov/Archives/edgar/data/872589/000095012305014882/y15671exv10w02.htm" TargetMode="External"/><Relationship Id="rId37" Type="http://schemas.openxmlformats.org/officeDocument/2006/relationships/hyperlink" Target="http://www.sec.gov/Archives/edgar/data/872589/000095012304014716/y69569exv10w03.htm" TargetMode="External"/><Relationship Id="rId38" Type="http://schemas.openxmlformats.org/officeDocument/2006/relationships/hyperlink" Target="http://www.sec.gov/Archives/edgar/data/872589/000120677409000907/exhibit10-1.htm" TargetMode="External"/><Relationship Id="rId39" Type="http://schemas.openxmlformats.org/officeDocument/2006/relationships/hyperlink" Target="http://www.sec.gov/Archives/edgar/data/872589/000120677409000907/exhibit10-2.htm" TargetMode="External"/><Relationship Id="rId40" Type="http://schemas.openxmlformats.org/officeDocument/2006/relationships/hyperlink" Target="http://www.sec.gov/Archives/edgar/data/872589/000120677411000263/exhibit10_1-7.htm" TargetMode="External"/><Relationship Id="rId41" Type="http://schemas.openxmlformats.org/officeDocument/2006/relationships/hyperlink" Target="http://www.sec.gov/Archives/edgar/data/872589/000120677411000263/exhibit10_1-8.htm" TargetMode="External"/><Relationship Id="rId42" Type="http://schemas.openxmlformats.org/officeDocument/2006/relationships/hyperlink" Target="http://www.sec.gov/Archives/edgar/data/872589/000120677412000709/exhibit10-1_9.htm" TargetMode="External"/><Relationship Id="rId43" Type="http://schemas.openxmlformats.org/officeDocument/2006/relationships/hyperlink" Target="http://www.sec.gov/Archives/edgar/data/872589/000153217614000008/exhibit10110.htm" TargetMode="External"/><Relationship Id="rId44" Type="http://schemas.openxmlformats.org/officeDocument/2006/relationships/hyperlink" Target="http://www.sec.gov/Archives/edgar/data/872589/000110465917038718/a17-14867_1ex99d1.htm" TargetMode="External"/><Relationship Id="rId45" Type="http://schemas.openxmlformats.org/officeDocument/2006/relationships/hyperlink" Target="http://www.sec.gov/Archives/edgar/data/872589/000119312514240075/d741250dex101.htm" TargetMode="External"/><Relationship Id="rId46" Type="http://schemas.openxmlformats.org/officeDocument/2006/relationships/hyperlink" Target="http://www.sec.gov/Archives/edgar/data/872589/000119312514240075/d741250dex102.htm" TargetMode="External"/><Relationship Id="rId47" Type="http://schemas.openxmlformats.org/officeDocument/2006/relationships/hyperlink" Target="http://www.sec.gov/Archives/edgar/data/872589/000119312514240075/d741250dex103.htm" TargetMode="External"/><Relationship Id="rId48" Type="http://schemas.openxmlformats.org/officeDocument/2006/relationships/hyperlink" Target="http://www.sec.gov/Archives/edgar/data/872589/000119312514240075/d741250dex104.htm" TargetMode="External"/><Relationship Id="rId49" Type="http://schemas.openxmlformats.org/officeDocument/2006/relationships/hyperlink" Target="http://www.sec.gov/Archives/edgar/data/872589/000153217616000045/regn-ex_1025x12312015x10k.htm" TargetMode="External"/><Relationship Id="rId50" Type="http://schemas.openxmlformats.org/officeDocument/2006/relationships/hyperlink" Target="http://www.sec.gov/Archives/edgar/data/872589/000153217616000045/regn-ex_1026x12312015x10k.htm" TargetMode="External"/><Relationship Id="rId51" Type="http://schemas.openxmlformats.org/officeDocument/2006/relationships/hyperlink" Target="http://www.sec.gov/Archives/edgar/data/872589/000110465915080234/a15-23696_1ex10d1.htm" TargetMode="External"/><Relationship Id="rId52" Type="http://schemas.openxmlformats.org/officeDocument/2006/relationships/hyperlink" Target="http://www.sec.gov/Archives/edgar/data/872589/000110465915080234/a15-23696_1ex10d2.htm" TargetMode="External"/><Relationship Id="rId53" Type="http://schemas.openxmlformats.org/officeDocument/2006/relationships/hyperlink" Target="http://www.sec.gov/Archives/edgar/data/872589/000110465915080234/a15-23696_1ex10d3.htm" TargetMode="External"/><Relationship Id="rId54" Type="http://schemas.openxmlformats.org/officeDocument/2006/relationships/hyperlink" Target="http://www.sec.gov/Archives/edgar/data/872589/000153217616000045/regn-ex_10210x12312015x10k.htm" TargetMode="External"/><Relationship Id="rId55" Type="http://schemas.openxmlformats.org/officeDocument/2006/relationships/hyperlink" Target="http://www.sec.gov/Archives/edgar/data/872589/000120677409000338/exhibit10-3.htm" TargetMode="External"/><Relationship Id="rId56" Type="http://schemas.openxmlformats.org/officeDocument/2006/relationships/hyperlink" Target="http://www.sec.gov/Archives/edgar/data/872589/000095012305002979/y06183exv10w7.txt" TargetMode="External"/><Relationship Id="rId57" Type="http://schemas.openxmlformats.org/officeDocument/2006/relationships/hyperlink" Target="http://www.sec.gov/Archives/edgar/data/872589/000119312513365438/d596986dex101.htm" TargetMode="External"/><Relationship Id="rId58" Type="http://schemas.openxmlformats.org/officeDocument/2006/relationships/hyperlink" Target="http://www.sec.gov/Archives/edgar/data/872589/000120677409000338/exhibit10-5.htm" TargetMode="External"/><Relationship Id="rId59" Type="http://schemas.openxmlformats.org/officeDocument/2006/relationships/hyperlink" Target="http://www.sec.gov/Archives/edgar/data/872589/000110465915045962/a15-14252_1ex10d1.htm" TargetMode="External"/><Relationship Id="rId60" Type="http://schemas.openxmlformats.org/officeDocument/2006/relationships/hyperlink" Target="http://www.sec.gov/Archives/edgar/data/872589/000120677409001498/exhibit10-1.htm" TargetMode="External"/><Relationship Id="rId61" Type="http://schemas.openxmlformats.org/officeDocument/2006/relationships/hyperlink" Target="http://www.sec.gov/Archives/edgar/data/872589/000153217615000020/regn-ex_101x03312015x10q.htm" TargetMode="External"/><Relationship Id="rId62" Type="http://schemas.openxmlformats.org/officeDocument/2006/relationships/hyperlink" Target="http://www.sec.gov/Archives/edgar/data/872589/000095012306013527/y26593exv10w1.htm" TargetMode="External"/><Relationship Id="rId63" Type="http://schemas.openxmlformats.org/officeDocument/2006/relationships/hyperlink" Target="http://www.sec.gov/Archives/edgar/data/872589/000153217615000008/regn-ex_10101x12312014x10k.htm" TargetMode="External"/><Relationship Id="rId64" Type="http://schemas.openxmlformats.org/officeDocument/2006/relationships/hyperlink" Target="http://www.sec.gov/Archives/edgar/data/872589/000153217614000022/regn-ex_102x03312014x10q.htm" TargetMode="External"/><Relationship Id="rId65" Type="http://schemas.openxmlformats.org/officeDocument/2006/relationships/hyperlink" Target="http://www.sec.gov/Archives/edgar/data/872589/000095012306015550/y28268exv99w1.htm" TargetMode="External"/><Relationship Id="rId66" Type="http://schemas.openxmlformats.org/officeDocument/2006/relationships/hyperlink" Target="http://www.sec.gov/Archives/edgar/data/872589/000095012307015042/y41903exv10w1.htm" TargetMode="External"/><Relationship Id="rId67" Type="http://schemas.openxmlformats.org/officeDocument/2006/relationships/hyperlink" Target="http://www.sec.gov/Archives/edgar/data/872589/000095012308014408/y72322exv10w3.htm" TargetMode="External"/><Relationship Id="rId68" Type="http://schemas.openxmlformats.org/officeDocument/2006/relationships/hyperlink" Target="http://www.sec.gov/Archives/edgar/data/872589/000120677409000907/exhibit10-3.htm" TargetMode="External"/><Relationship Id="rId69" Type="http://schemas.openxmlformats.org/officeDocument/2006/relationships/hyperlink" Target="http://www.sec.gov/Archives/edgar/data/872589/000120677409002305/exhibit99-1.htm" TargetMode="External"/><Relationship Id="rId70" Type="http://schemas.openxmlformats.org/officeDocument/2006/relationships/hyperlink" Target="http://www.sec.gov/Archives/edgar/data/872589/000120677410000283/exhibit99-1.htm" TargetMode="External"/><Relationship Id="rId71" Type="http://schemas.openxmlformats.org/officeDocument/2006/relationships/hyperlink" Target="http://www.sec.gov/Archives/edgar/data/872589/000120677410001689/exhibit10-1.htm" TargetMode="External"/><Relationship Id="rId72" Type="http://schemas.openxmlformats.org/officeDocument/2006/relationships/hyperlink" Target="http://www.sec.gov/Archives/edgar/data/872589/000120677411000263/exhibit10_11-7.htm" TargetMode="External"/><Relationship Id="rId73" Type="http://schemas.openxmlformats.org/officeDocument/2006/relationships/hyperlink" Target="http://www.sec.gov/Archives/edgar/data/872589/000120677411002300/exhibit10-1.htm" TargetMode="External"/><Relationship Id="rId74" Type="http://schemas.openxmlformats.org/officeDocument/2006/relationships/hyperlink" Target="http://www.sec.gov/Archives/edgar/data/872589/000120677411002300/exhibit10-2.htm" TargetMode="External"/><Relationship Id="rId75" Type="http://schemas.openxmlformats.org/officeDocument/2006/relationships/hyperlink" Target="http://www.sec.gov/Archives/edgar/data/872589/000153217615000029/regn-ex_102x06302015x10q.htm" TargetMode="External"/><Relationship Id="rId76" Type="http://schemas.openxmlformats.org/officeDocument/2006/relationships/hyperlink" Target="http://www.sec.gov/Archives/edgar/data/872589/000153217613000022/regn-ex_102x6302013x10q.htm" TargetMode="External"/><Relationship Id="rId77" Type="http://schemas.openxmlformats.org/officeDocument/2006/relationships/hyperlink" Target="http://www.sec.gov/Archives/edgar/data/872589/000153217613000022/regn-ex_103x6302013x10q.htm" TargetMode="External"/><Relationship Id="rId78" Type="http://schemas.openxmlformats.org/officeDocument/2006/relationships/hyperlink" Target="http://www.sec.gov/Archives/edgar/data/872589/000153217613000022/regn-ex_104x6302013x10q.htm" TargetMode="External"/><Relationship Id="rId79" Type="http://schemas.openxmlformats.org/officeDocument/2006/relationships/hyperlink" Target="http://www.sec.gov/Archives/edgar/data/872589/000153217615000029/regn-ex_103x06302015x10q.htm" TargetMode="External"/><Relationship Id="rId80" Type="http://schemas.openxmlformats.org/officeDocument/2006/relationships/hyperlink" Target="http://www.sec.gov/Archives/edgar/data/872589/000153217615000029/regn-ex_104x06302015x10q.htm" TargetMode="External"/><Relationship Id="rId81" Type="http://schemas.openxmlformats.org/officeDocument/2006/relationships/hyperlink" Target="http://www.sec.gov/Archives/edgar/data/872589/000153217615000029/regn-ex_105x06302015x10q.htm" TargetMode="External"/><Relationship Id="rId82" Type="http://schemas.openxmlformats.org/officeDocument/2006/relationships/hyperlink" Target="http://www.sec.gov/Archives/edgar/data/872589/000153217615000037/regn-ex_106x09302015x10q.htm" TargetMode="External"/><Relationship Id="rId83" Type="http://schemas.openxmlformats.org/officeDocument/2006/relationships/hyperlink" Target="http://www.sec.gov/Archives/edgar/data/872589/000153217613000022/regn-ex_101x6302013x10q.htm" TargetMode="External"/><Relationship Id="rId84" Type="http://schemas.openxmlformats.org/officeDocument/2006/relationships/hyperlink" Target="http://www.sec.gov/Archives/edgar/data/872589/000153217615000029/regn-ex_106x06302015x10q.htm" TargetMode="External"/><Relationship Id="rId85" Type="http://schemas.openxmlformats.org/officeDocument/2006/relationships/hyperlink" Target="http://www.sec.gov/Archives/edgar/data/872589/000095012307006735/y34395exv10w1.htm" TargetMode="External"/><Relationship Id="rId86" Type="http://schemas.openxmlformats.org/officeDocument/2006/relationships/hyperlink" Target="http://www.sec.gov/Archives/edgar/data/872589/000120677410002228/exhibit10-1.htm" TargetMode="External"/><Relationship Id="rId87" Type="http://schemas.openxmlformats.org/officeDocument/2006/relationships/hyperlink" Target="http://www.sec.gov/Archives/edgar/data/872589/000120677410001385/exhibit10-14.htm" TargetMode="External"/><Relationship Id="rId88" Type="http://schemas.openxmlformats.org/officeDocument/2006/relationships/hyperlink" Target="http://www.sec.gov/Archives/edgar/data/872589/000153217615000037/regn-ex_103x09302015x10q.htm" TargetMode="External"/><Relationship Id="rId89" Type="http://schemas.openxmlformats.org/officeDocument/2006/relationships/hyperlink" Target="http://www.sec.gov/Archives/edgar/data/872589/000120677410001385/exhibit10-15.htm" TargetMode="External"/><Relationship Id="rId90" Type="http://schemas.openxmlformats.org/officeDocument/2006/relationships/hyperlink" Target="http://www.sec.gov/Archives/edgar/data/872589/000153217613000022/regn-ex_105x6302013x10q.htm" TargetMode="External"/><Relationship Id="rId91" Type="http://schemas.openxmlformats.org/officeDocument/2006/relationships/hyperlink" Target="http://www.sec.gov/Archives/edgar/data/872589/000153217615000037/regn-ex_104x09302015x10q.htm" TargetMode="External"/><Relationship Id="rId92" Type="http://schemas.openxmlformats.org/officeDocument/2006/relationships/hyperlink" Target="http://www.sec.gov/Archives/edgar/data/872589/000119312514008775/d659864dex101.htm" TargetMode="External"/><Relationship Id="rId93" Type="http://schemas.openxmlformats.org/officeDocument/2006/relationships/hyperlink" Target="http://www.sec.gov/Archives/edgar/data/872589/000119312511278786/d245760dex11.htm" TargetMode="External"/><Relationship Id="rId94" Type="http://schemas.openxmlformats.org/officeDocument/2006/relationships/hyperlink" Target="http://www.sec.gov/Archives/edgar/data/872589/000119312511278786/d245760dex101.htm" TargetMode="External"/><Relationship Id="rId95" Type="http://schemas.openxmlformats.org/officeDocument/2006/relationships/hyperlink" Target="http://www.sec.gov/Archives/edgar/data/872589/000119312511278786/d245760dex102.htm" TargetMode="External"/><Relationship Id="rId96" Type="http://schemas.openxmlformats.org/officeDocument/2006/relationships/hyperlink" Target="http://www.sec.gov/Archives/edgar/data/872589/000153217614000035/regn-ex_108xamendmentxgold.htm" TargetMode="External"/><Relationship Id="rId97" Type="http://schemas.openxmlformats.org/officeDocument/2006/relationships/hyperlink" Target="http://www.sec.gov/Archives/edgar/data/872589/000153217615000008/regn-ex_10212x12312014x10k.htm" TargetMode="External"/><Relationship Id="rId98" Type="http://schemas.openxmlformats.org/officeDocument/2006/relationships/hyperlink" Target="http://www.sec.gov/Archives/edgar/data/872589/000153217615000020/regn-ex_102x03312015x10q.htm" TargetMode="External"/><Relationship Id="rId99" Type="http://schemas.openxmlformats.org/officeDocument/2006/relationships/hyperlink" Target="http://www.sec.gov/Archives/edgar/data/872589/000153217617000008/regn-ex_10204xgoldmansachs.htm" TargetMode="External"/><Relationship Id="rId100" Type="http://schemas.openxmlformats.org/officeDocument/2006/relationships/hyperlink" Target="http://www.sec.gov/Archives/edgar/data/872589/000119312511278786/d245760dex103.htm" TargetMode="External"/><Relationship Id="rId101" Type="http://schemas.openxmlformats.org/officeDocument/2006/relationships/hyperlink" Target="http://www.sec.gov/Archives/edgar/data/872589/000119312511278786/d245760dex104.htm" TargetMode="External"/><Relationship Id="rId102" Type="http://schemas.openxmlformats.org/officeDocument/2006/relationships/hyperlink" Target="http://www.sec.gov/Archives/edgar/data/872589/000153217614000035/regn-ex_106xamendemntxciti.htm" TargetMode="External"/><Relationship Id="rId103" Type="http://schemas.openxmlformats.org/officeDocument/2006/relationships/hyperlink" Target="http://www.sec.gov/Archives/edgar/data/872589/000153217616000055/regn-ex_101x03312016x10q.htm" TargetMode="External"/><Relationship Id="rId104" Type="http://schemas.openxmlformats.org/officeDocument/2006/relationships/hyperlink" Target="http://www.sec.gov/Archives/edgar/data/872589/000153217617000008/regn-ex_10223xciti3rdwarra.htm" TargetMode="External"/><Relationship Id="rId105" Type="http://schemas.openxmlformats.org/officeDocument/2006/relationships/hyperlink" Target="http://www.sec.gov/Archives/edgar/data/872589/000153217617000008/regn-ex_10224xcititerminat.htm" TargetMode="External"/><Relationship Id="rId106" Type="http://schemas.openxmlformats.org/officeDocument/2006/relationships/hyperlink" Target="http://www.sec.gov/Archives/edgar/data/872589/000119312511278786/d245760dex105.htm" TargetMode="External"/><Relationship Id="rId107" Type="http://schemas.openxmlformats.org/officeDocument/2006/relationships/hyperlink" Target="http://www.sec.gov/Archives/edgar/data/872589/000119312511278786/d245760dex106.htm" TargetMode="External"/><Relationship Id="rId108" Type="http://schemas.openxmlformats.org/officeDocument/2006/relationships/hyperlink" Target="http://www.sec.gov/Archives/edgar/data/872589/000153217614000035/regn-ex_107xamendmentxcred.htm" TargetMode="External"/><Relationship Id="rId109" Type="http://schemas.openxmlformats.org/officeDocument/2006/relationships/hyperlink" Target="http://www.sec.gov/Archives/edgar/data/872589/000153217615000008/regn-ex_10252x12312014x10k.htm" TargetMode="External"/><Relationship Id="rId110" Type="http://schemas.openxmlformats.org/officeDocument/2006/relationships/hyperlink" Target="http://www.sec.gov/Archives/edgar/data/872589/000153217615000008/regn-ex_10253x12312014x10k.htm" TargetMode="External"/><Relationship Id="rId111" Type="http://schemas.openxmlformats.org/officeDocument/2006/relationships/hyperlink" Target="http://www.sec.gov/Archives/edgar/data/872589/000153217616000045/regn-ex_10264x12312015x10k.htm" TargetMode="External"/><Relationship Id="rId112" Type="http://schemas.openxmlformats.org/officeDocument/2006/relationships/hyperlink" Target="http://www.sec.gov/Archives/edgar/data/872589/000153217617000008/regn-ex_10245xcreditsuisse.htm" TargetMode="External"/><Relationship Id="rId113" Type="http://schemas.openxmlformats.org/officeDocument/2006/relationships/hyperlink" Target="http://www.sec.gov/Archives/edgar/data/872589/000119312511278786/d245760dex107.htm" TargetMode="External"/><Relationship Id="rId114" Type="http://schemas.openxmlformats.org/officeDocument/2006/relationships/hyperlink" Target="http://www.sec.gov/Archives/edgar/data/872589/000119312511278786/d245760dex108.htm" TargetMode="External"/><Relationship Id="rId115" Type="http://schemas.openxmlformats.org/officeDocument/2006/relationships/hyperlink" Target="http://www.sec.gov/Archives/edgar/data/872589/000153217614000035/regn-ex_109xamendmentxmorg.htm" TargetMode="External"/><Relationship Id="rId116" Type="http://schemas.openxmlformats.org/officeDocument/2006/relationships/hyperlink" Target="http://www.sec.gov/Archives/edgar/data/872589/000153217615000037/regn-ex_105x09302015x10q.htm" TargetMode="External"/><Relationship Id="rId117" Type="http://schemas.openxmlformats.org/officeDocument/2006/relationships/hyperlink" Target="http://www.sec.gov/Archives/edgar/data/872589/000153217617000008/regn-ex_10263xmorganstanle.htm" TargetMode="External"/><Relationship Id="rId118" Type="http://schemas.openxmlformats.org/officeDocument/2006/relationships/hyperlink" Target="http://www.sec.gov/Archives/edgar/data/872589/000120677412000709/exhibit10-26.htm" TargetMode="External"/><Relationship Id="rId119" Type="http://schemas.openxmlformats.org/officeDocument/2006/relationships/hyperlink" Target="http://www.sec.gov/Archives/edgar/data/872589/000153217613000022/regn-ex_107x6302013x10q.htm" TargetMode="External"/><Relationship Id="rId120" Type="http://schemas.openxmlformats.org/officeDocument/2006/relationships/hyperlink" Target="http://www.sec.gov/Archives/edgar/data/872589/000153217613000022/regn-ex_108x6302013x10q.htm" TargetMode="External"/><Relationship Id="rId121" Type="http://schemas.openxmlformats.org/officeDocument/2006/relationships/hyperlink" Target="http://www.sec.gov/Archives/edgar/data/872589/000153217613000022/regn-ex_109x6302013x10q.htm" TargetMode="External"/><Relationship Id="rId122" Type="http://schemas.openxmlformats.org/officeDocument/2006/relationships/hyperlink" Target="http://www.sec.gov/Archives/edgar/data/872589/000153217613000022/regn-ex_106x6302013x10q.htm" TargetMode="External"/><Relationship Id="rId123" Type="http://schemas.openxmlformats.org/officeDocument/2006/relationships/hyperlink" Target="http://www.sec.gov/Archives/edgar/data/872589/000110465915021521/a15-7353_1ex10d1.htm" TargetMode="External"/><Relationship Id="rId124" Type="http://schemas.openxmlformats.org/officeDocument/2006/relationships/hyperlink" Target="http://www.sec.gov/Archives/edgar/data/872589/000110465917006777/a17-3908_1ex10d1.htm" TargetMode="External"/><Relationship Id="rId125" Type="http://schemas.openxmlformats.org/officeDocument/2006/relationships/hyperlink" Target="http://www.sec.gov/Archives/edgar/data/872589/000153217615000037/regn-ex_101x09302015x10q.htm" TargetMode="External"/><Relationship Id="rId126" Type="http://schemas.openxmlformats.org/officeDocument/2006/relationships/hyperlink" Target="http://www.sec.gov/Archives/edgar/data/872589/000153217615000037/regn-ex_102x09302015x10q.htm" TargetMode="External"/><Relationship Id="rId127" Type="http://schemas.openxmlformats.org/officeDocument/2006/relationships/hyperlink" Target="http://www.sec.gov/Archives/edgar/data/872589/000153217615000037/regn-ex_107x09302015x10q.htm" TargetMode="External"/><Relationship Id="rId128" Type="http://schemas.openxmlformats.org/officeDocument/2006/relationships/hyperlink" Target="http://www.sec.gov/Archives/edgar/data/872589/000153217616000055/regn-ex_102x03312016x10q.htm" TargetMode="External"/><Relationship Id="rId129" Type="http://schemas.openxmlformats.org/officeDocument/2006/relationships/hyperlink" Target="http://www.sec.gov/Archives/edgar/data/872589/000153217616000082/regn-ex_101xteva.htm" TargetMode="External"/><Relationship Id="rId130" Type="http://schemas.openxmlformats.org/officeDocument/2006/relationships/hyperlink" Target="http://www.sec.gov/Archives/edgar/data/872589/000153217617000008/regn-ex_1035xlandmarkpsaex.htm" TargetMode="External"/><Relationship Id="rId131" Type="http://schemas.openxmlformats.org/officeDocument/2006/relationships/hyperlink" Target="http://www.sec.gov/Archives/edgar/data/872589/000110465917015313/a17-7791_1ex10d1.htm" TargetMode="External"/><Relationship Id="rId132" Type="http://schemas.openxmlformats.org/officeDocument/2006/relationships/hyperlink" Target="http://www.sec.gov/Archives/edgar/data/872589/000110465917015313/a17-7791_1ex10d2.htm" TargetMode="External"/><Relationship Id="rId133" Type="http://schemas.openxmlformats.org/officeDocument/2006/relationships/hyperlink" Target="http://www.sec.gov/Archives/edgar/data/872589/000110465917015313/a17-7791_1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2019-12-29T01:50:59Z</dcterms:created>
  <dcterms:modified xsi:type="dcterms:W3CDTF">2019-12-29T01:50:59Z</dcterms:modified>
</cp:coreProperties>
</file>