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56" w:lineRule="exact"/>
        <w:rPr>
          <w:sz w:val="24"/>
          <w:szCs w:val="24"/>
          <w:color w:val="auto"/>
        </w:rPr>
      </w:pPr>
    </w:p>
    <w:p>
      <w:pPr>
        <w:ind w:left="400" w:right="2160" w:hanging="374"/>
        <w:spacing w:after="0" w:line="290"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2020</w:t>
      </w:r>
    </w:p>
    <w:p>
      <w:pPr>
        <w:ind w:left="170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400" w:right="2160" w:hanging="374"/>
        <w:spacing w:after="0" w:line="34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REGENERON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3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13-3444607</w:t>
      </w:r>
    </w:p>
    <w:p>
      <w:pPr>
        <w:spacing w:after="0" w:line="90" w:lineRule="exact"/>
        <w:rPr>
          <w:sz w:val="24"/>
          <w:szCs w:val="24"/>
          <w:color w:val="auto"/>
        </w:rPr>
      </w:pPr>
    </w:p>
    <w:p>
      <w:pPr>
        <w:sectPr>
          <w:pgSz w:w="11900" w:h="16838" w:orient="portrait"/>
          <w:cols w:equalWidth="0" w:num="2">
            <w:col w:w="7320" w:space="720"/>
            <w:col w:w="3200"/>
          </w:cols>
          <w:pgMar w:left="320" w:top="1039" w:right="339" w:bottom="1440" w:gutter="0" w:footer="0" w:header="0"/>
          <w:type w:val="continuous"/>
        </w:sectPr>
      </w:pPr>
    </w:p>
    <w:p>
      <w:pPr>
        <w:ind w:left="5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177" w:lineRule="exact"/>
        <w:rPr>
          <w:sz w:val="24"/>
          <w:szCs w:val="24"/>
          <w:color w:val="auto"/>
        </w:rPr>
      </w:pPr>
    </w:p>
    <w:p>
      <w:pPr>
        <w:sectPr>
          <w:pgSz w:w="11900" w:h="16838" w:orient="portrait"/>
          <w:cols w:equalWidth="0" w:num="2">
            <w:col w:w="6480" w:space="720"/>
            <w:col w:w="4040"/>
          </w:cols>
          <w:pgMar w:left="320" w:top="1039" w:right="3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40" w:lineRule="exact"/>
        <w:rPr>
          <w:sz w:val="24"/>
          <w:szCs w:val="24"/>
          <w:color w:val="auto"/>
        </w:rPr>
      </w:pPr>
    </w:p>
    <w:p>
      <w:pPr>
        <w:ind w:left="352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5"/>
          </w:tcPr>
          <w:p>
            <w:pPr>
              <w:jc w:val="center"/>
              <w:ind w:right="23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60" w:type="dxa"/>
            <w:vAlign w:val="bottom"/>
          </w:tcPr>
          <w:p>
            <w:pPr>
              <w:spacing w:after="0"/>
              <w:rPr>
                <w:sz w:val="20"/>
                <w:szCs w:val="20"/>
                <w:color w:val="auto"/>
              </w:rPr>
            </w:pPr>
          </w:p>
        </w:tc>
      </w:tr>
      <w:tr>
        <w:trPr>
          <w:trHeight w:val="324"/>
        </w:trPr>
        <w:tc>
          <w:tcPr>
            <w:tcW w:w="2080" w:type="dxa"/>
            <w:vAlign w:val="bottom"/>
          </w:tcPr>
          <w:p>
            <w:pPr>
              <w:spacing w:after="0"/>
              <w:rPr>
                <w:sz w:val="24"/>
                <w:szCs w:val="24"/>
                <w:color w:val="auto"/>
              </w:rPr>
            </w:pPr>
          </w:p>
        </w:tc>
        <w:tc>
          <w:tcPr>
            <w:tcW w:w="2980" w:type="dxa"/>
            <w:vAlign w:val="bottom"/>
            <w:gridSpan w:val="2"/>
          </w:tcPr>
          <w:p>
            <w:pPr>
              <w:jc w:val="center"/>
              <w:ind w:right="1610"/>
              <w:spacing w:after="0"/>
              <w:rPr>
                <w:sz w:val="20"/>
                <w:szCs w:val="20"/>
                <w:color w:val="auto"/>
              </w:rPr>
            </w:pPr>
            <w:r>
              <w:rPr>
                <w:rFonts w:ascii="Arial" w:cs="Arial" w:eastAsia="Arial" w:hAnsi="Arial"/>
                <w:sz w:val="18"/>
                <w:szCs w:val="18"/>
                <w:i w:val="1"/>
                <w:iCs w:val="1"/>
                <w:color w:val="auto"/>
                <w:w w:val="88"/>
              </w:rPr>
              <w:t>Title of each class</w:t>
            </w:r>
          </w:p>
        </w:tc>
        <w:tc>
          <w:tcPr>
            <w:tcW w:w="1860" w:type="dxa"/>
            <w:vAlign w:val="bottom"/>
            <w:gridSpan w:val="2"/>
          </w:tcPr>
          <w:p>
            <w:pPr>
              <w:spacing w:after="0"/>
              <w:rPr>
                <w:sz w:val="20"/>
                <w:szCs w:val="20"/>
                <w:color w:val="auto"/>
              </w:rPr>
            </w:pPr>
            <w:r>
              <w:rPr>
                <w:rFonts w:ascii="Arial" w:cs="Arial" w:eastAsia="Arial" w:hAnsi="Arial"/>
                <w:sz w:val="18"/>
                <w:szCs w:val="18"/>
                <w:i w:val="1"/>
                <w:iCs w:val="1"/>
                <w:color w:val="auto"/>
              </w:rPr>
              <w:t>Trading Symbol</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460" w:type="dxa"/>
            <w:vAlign w:val="bottom"/>
          </w:tcPr>
          <w:p>
            <w:pPr>
              <w:spacing w:after="0"/>
              <w:rPr>
                <w:sz w:val="24"/>
                <w:szCs w:val="24"/>
                <w:color w:val="auto"/>
              </w:rPr>
            </w:pPr>
          </w:p>
        </w:tc>
      </w:tr>
      <w:tr>
        <w:trPr>
          <w:trHeight w:val="20"/>
        </w:trPr>
        <w:tc>
          <w:tcPr>
            <w:tcW w:w="20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0"/>
        </w:trPr>
        <w:tc>
          <w:tcPr>
            <w:tcW w:w="5060" w:type="dxa"/>
            <w:vAlign w:val="bottom"/>
            <w:gridSpan w:val="3"/>
          </w:tcPr>
          <w:p>
            <w:pPr>
              <w:jc w:val="center"/>
              <w:ind w:left="298"/>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18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9"/>
              </w:rPr>
              <w:t>REGN</w:t>
            </w:r>
          </w:p>
        </w:tc>
        <w:tc>
          <w:tcPr>
            <w:tcW w:w="3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NASDAQ Global Select Market</w:t>
            </w:r>
          </w:p>
        </w:tc>
        <w:tc>
          <w:tcPr>
            <w:tcW w:w="460" w:type="dxa"/>
            <w:vAlign w:val="bottom"/>
          </w:tcPr>
          <w:p>
            <w:pPr>
              <w:spacing w:after="0"/>
              <w:rPr>
                <w:sz w:val="24"/>
                <w:szCs w:val="24"/>
                <w:color w:val="auto"/>
              </w:rPr>
            </w:pPr>
          </w:p>
        </w:tc>
      </w:tr>
      <w:tr>
        <w:trPr>
          <w:trHeight w:val="355"/>
        </w:trPr>
        <w:tc>
          <w:tcPr>
            <w:tcW w:w="10220" w:type="dxa"/>
            <w:vAlign w:val="bottom"/>
            <w:gridSpan w:val="7"/>
          </w:tcPr>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w:t>
            </w:r>
          </w:p>
        </w:tc>
        <w:tc>
          <w:tcPr>
            <w:tcW w:w="460" w:type="dxa"/>
            <w:vAlign w:val="bottom"/>
          </w:tcPr>
          <w:p>
            <w:pPr>
              <w:spacing w:after="0"/>
              <w:rPr>
                <w:sz w:val="24"/>
                <w:szCs w:val="24"/>
                <w:color w:val="auto"/>
              </w:rPr>
            </w:pPr>
          </w:p>
        </w:tc>
      </w:tr>
      <w:tr>
        <w:trPr>
          <w:trHeight w:val="165"/>
        </w:trPr>
        <w:tc>
          <w:tcPr>
            <w:tcW w:w="10220" w:type="dxa"/>
            <w:vAlign w:val="bottom"/>
            <w:gridSpan w:val="7"/>
          </w:tcPr>
          <w:p>
            <w:pPr>
              <w:spacing w:after="0" w:line="165" w:lineRule="exact"/>
              <w:rPr>
                <w:sz w:val="20"/>
                <w:szCs w:val="20"/>
                <w:color w:val="auto"/>
              </w:rPr>
            </w:pPr>
            <w:r>
              <w:rPr>
                <w:rFonts w:ascii="Arial" w:cs="Arial" w:eastAsia="Arial" w:hAnsi="Arial"/>
                <w:sz w:val="16"/>
                <w:szCs w:val="16"/>
                <w:color w:val="auto"/>
                <w:w w:val="99"/>
              </w:rPr>
              <w:t>of 1934 during the preceding 12 months (or for such shorter period that the registrant was required to file such reports), and (2) has been subject</w:t>
            </w:r>
          </w:p>
        </w:tc>
        <w:tc>
          <w:tcPr>
            <w:tcW w:w="460" w:type="dxa"/>
            <w:vAlign w:val="bottom"/>
          </w:tcPr>
          <w:p>
            <w:pPr>
              <w:spacing w:after="0"/>
              <w:rPr>
                <w:sz w:val="14"/>
                <w:szCs w:val="14"/>
                <w:color w:val="auto"/>
              </w:rPr>
            </w:pPr>
          </w:p>
        </w:tc>
      </w:tr>
      <w:tr>
        <w:trPr>
          <w:trHeight w:val="283"/>
        </w:trPr>
        <w:tc>
          <w:tcPr>
            <w:tcW w:w="5060" w:type="dxa"/>
            <w:vAlign w:val="bottom"/>
            <w:gridSpan w:val="3"/>
          </w:tcPr>
          <w:p>
            <w:pPr>
              <w:spacing w:after="0"/>
              <w:rPr>
                <w:sz w:val="20"/>
                <w:szCs w:val="20"/>
                <w:color w:val="auto"/>
              </w:rPr>
            </w:pPr>
            <w:r>
              <w:rPr>
                <w:rFonts w:ascii="Arial" w:cs="Arial" w:eastAsia="Arial" w:hAnsi="Arial"/>
                <w:sz w:val="16"/>
                <w:szCs w:val="16"/>
                <w:color w:val="auto"/>
              </w:rPr>
              <w:t>to such filing requirements for the past 90 days.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2"/>
          </w:tcPr>
          <w:p>
            <w:pPr>
              <w:ind w:left="274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60" w:type="dxa"/>
            <w:vAlign w:val="bottom"/>
          </w:tcPr>
          <w:p>
            <w:pPr>
              <w:ind w:left="120"/>
              <w:spacing w:after="0" w:line="196" w:lineRule="exact"/>
              <w:rPr>
                <w:sz w:val="20"/>
                <w:szCs w:val="20"/>
                <w:color w:val="auto"/>
              </w:rPr>
            </w:pPr>
            <w:r>
              <w:rPr>
                <w:rFonts w:ascii="Arial" w:cs="Arial" w:eastAsia="Arial" w:hAnsi="Arial"/>
                <w:sz w:val="13"/>
                <w:szCs w:val="13"/>
                <w:color w:val="auto"/>
                <w:w w:val="85"/>
              </w:rPr>
              <w:t xml:space="preserve">No </w:t>
            </w:r>
            <w:r>
              <w:rPr>
                <w:rFonts w:ascii="MS PGothic" w:cs="MS PGothic" w:eastAsia="MS PGothic" w:hAnsi="MS PGothic"/>
                <w:sz w:val="17"/>
                <w:szCs w:val="17"/>
                <w:color w:val="auto"/>
                <w:w w:val="85"/>
              </w:rPr>
              <w:t>☐</w:t>
            </w:r>
          </w:p>
        </w:tc>
      </w:tr>
      <w:tr>
        <w:trPr>
          <w:trHeight w:val="267"/>
        </w:trPr>
        <w:tc>
          <w:tcPr>
            <w:tcW w:w="10220" w:type="dxa"/>
            <w:vAlign w:val="bottom"/>
            <w:gridSpan w:val="7"/>
          </w:tcPr>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460" w:type="dxa"/>
            <w:vAlign w:val="bottom"/>
          </w:tcPr>
          <w:p>
            <w:pPr>
              <w:spacing w:after="0"/>
              <w:rPr>
                <w:sz w:val="23"/>
                <w:szCs w:val="23"/>
                <w:color w:val="auto"/>
              </w:rPr>
            </w:pPr>
          </w:p>
        </w:tc>
      </w:tr>
      <w:tr>
        <w:trPr>
          <w:trHeight w:val="165"/>
        </w:trPr>
        <w:tc>
          <w:tcPr>
            <w:tcW w:w="10220" w:type="dxa"/>
            <w:vAlign w:val="bottom"/>
            <w:gridSpan w:val="7"/>
          </w:tcPr>
          <w:p>
            <w:pPr>
              <w:spacing w:after="0" w:line="165"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460" w:type="dxa"/>
            <w:vAlign w:val="bottom"/>
          </w:tcPr>
          <w:p>
            <w:pPr>
              <w:spacing w:after="0"/>
              <w:rPr>
                <w:sz w:val="14"/>
                <w:szCs w:val="14"/>
                <w:color w:val="auto"/>
              </w:rPr>
            </w:pPr>
          </w:p>
        </w:tc>
      </w:tr>
      <w:tr>
        <w:trPr>
          <w:trHeight w:val="283"/>
        </w:trPr>
        <w:tc>
          <w:tcPr>
            <w:tcW w:w="506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2"/>
          </w:tcPr>
          <w:p>
            <w:pPr>
              <w:ind w:left="274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60" w:type="dxa"/>
            <w:vAlign w:val="bottom"/>
          </w:tcPr>
          <w:p>
            <w:pPr>
              <w:ind w:left="120"/>
              <w:spacing w:after="0" w:line="196" w:lineRule="exact"/>
              <w:rPr>
                <w:sz w:val="20"/>
                <w:szCs w:val="20"/>
                <w:color w:val="auto"/>
              </w:rPr>
            </w:pPr>
            <w:r>
              <w:rPr>
                <w:rFonts w:ascii="Arial" w:cs="Arial" w:eastAsia="Arial" w:hAnsi="Arial"/>
                <w:sz w:val="13"/>
                <w:szCs w:val="13"/>
                <w:color w:val="auto"/>
                <w:w w:val="85"/>
              </w:rPr>
              <w:t xml:space="preserve">No </w:t>
            </w:r>
            <w:r>
              <w:rPr>
                <w:rFonts w:ascii="MS PGothic" w:cs="MS PGothic" w:eastAsia="MS PGothic" w:hAnsi="MS PGothic"/>
                <w:sz w:val="17"/>
                <w:szCs w:val="17"/>
                <w:color w:val="auto"/>
                <w:w w:val="85"/>
              </w:rPr>
              <w:t>☐</w:t>
            </w:r>
          </w:p>
        </w:tc>
      </w:tr>
    </w:tbl>
    <w:p>
      <w:pPr>
        <w:spacing w:after="0" w:line="132" w:lineRule="exact"/>
        <w:rPr>
          <w:sz w:val="24"/>
          <w:szCs w:val="24"/>
          <w:color w:val="auto"/>
        </w:rPr>
      </w:pPr>
    </w:p>
    <w:p>
      <w:pPr>
        <w:jc w:val="both"/>
        <w:ind w:left="20"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106" w:lineRule="exact"/>
        <w:rPr>
          <w:sz w:val="24"/>
          <w:szCs w:val="24"/>
          <w:color w:val="auto"/>
        </w:rPr>
      </w:pPr>
    </w:p>
    <w:p>
      <w:pPr>
        <w:ind w:left="40"/>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5">
            <w:col w:w="1680" w:space="300"/>
            <w:col w:w="1280" w:space="500"/>
            <w:col w:w="1580" w:space="260"/>
            <w:col w:w="1980" w:space="260"/>
            <w:col w:w="3400"/>
          </w:cols>
          <w:pgMar w:left="320" w:top="1039" w:right="339" w:bottom="1440" w:gutter="0" w:footer="0" w:header="0"/>
          <w:type w:val="continuous"/>
        </w:sectPr>
      </w:pPr>
    </w:p>
    <w:p>
      <w:pPr>
        <w:spacing w:after="0" w:line="18" w:lineRule="exact"/>
        <w:rPr>
          <w:sz w:val="24"/>
          <w:szCs w:val="24"/>
          <w:color w:val="auto"/>
        </w:rPr>
      </w:pPr>
    </w:p>
    <w:p>
      <w:pPr>
        <w:ind w:left="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2">
            <w:col w:w="9400" w:space="460"/>
            <w:col w:w="1380"/>
          </w:cols>
          <w:pgMar w:left="320" w:top="1039" w:right="339" w:bottom="144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5"/>
          <w:szCs w:val="15"/>
          <w:color w:val="auto"/>
        </w:rPr>
        <w:t>☒</w:t>
      </w:r>
    </w:p>
    <w:p>
      <w:pPr>
        <w:spacing w:after="0" w:line="188" w:lineRule="exact"/>
        <w:rPr>
          <w:sz w:val="24"/>
          <w:szCs w:val="24"/>
          <w:color w:val="auto"/>
        </w:rPr>
      </w:pPr>
    </w:p>
    <w:p>
      <w:pPr>
        <w:sectPr>
          <w:pgSz w:w="11900" w:h="16838" w:orient="portrait"/>
          <w:cols w:equalWidth="0" w:num="3">
            <w:col w:w="8920" w:space="720"/>
            <w:col w:w="380" w:space="340"/>
            <w:col w:w="880"/>
          </w:cols>
          <w:pgMar w:left="320" w:top="1039" w:right="3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23, 2020:</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spacing w:after="0"/>
              <w:rPr>
                <w:sz w:val="17"/>
                <w:szCs w:val="17"/>
                <w:color w:val="auto"/>
              </w:rPr>
            </w:pPr>
          </w:p>
        </w:tc>
        <w:tc>
          <w:tcPr>
            <w:tcW w:w="360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Class of Common Stock</w:t>
            </w:r>
          </w:p>
        </w:tc>
        <w:tc>
          <w:tcPr>
            <w:tcW w:w="5400" w:type="dxa"/>
            <w:vAlign w:val="bottom"/>
            <w:gridSpan w:val="2"/>
          </w:tcPr>
          <w:p>
            <w:pPr>
              <w:ind w:left="1000"/>
              <w:spacing w:after="0"/>
              <w:rPr>
                <w:sz w:val="20"/>
                <w:szCs w:val="20"/>
                <w:color w:val="auto"/>
              </w:rPr>
            </w:pPr>
            <w:r>
              <w:rPr>
                <w:rFonts w:ascii="Arial" w:cs="Arial" w:eastAsia="Arial" w:hAnsi="Arial"/>
                <w:sz w:val="16"/>
                <w:szCs w:val="16"/>
                <w:color w:val="auto"/>
              </w:rPr>
              <w:t>Number of Shares</w:t>
            </w:r>
          </w:p>
        </w:tc>
      </w:tr>
      <w:tr>
        <w:trPr>
          <w:trHeight w:val="33"/>
        </w:trPr>
        <w:tc>
          <w:tcPr>
            <w:tcW w:w="22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17"/>
        </w:trPr>
        <w:tc>
          <w:tcPr>
            <w:tcW w:w="2240" w:type="dxa"/>
            <w:vAlign w:val="bottom"/>
          </w:tcPr>
          <w:p>
            <w:pPr>
              <w:spacing w:after="0"/>
              <w:rPr>
                <w:sz w:val="18"/>
                <w:szCs w:val="18"/>
                <w:color w:val="auto"/>
              </w:rPr>
            </w:pPr>
          </w:p>
        </w:tc>
        <w:tc>
          <w:tcPr>
            <w:tcW w:w="36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Class A Stock, $.001 par value</w:t>
            </w:r>
          </w:p>
        </w:tc>
        <w:tc>
          <w:tcPr>
            <w:tcW w:w="3180" w:type="dxa"/>
            <w:vAlign w:val="bottom"/>
          </w:tcPr>
          <w:p>
            <w:pPr>
              <w:jc w:val="right"/>
              <w:ind w:right="1179"/>
              <w:spacing w:after="0"/>
              <w:rPr>
                <w:sz w:val="20"/>
                <w:szCs w:val="20"/>
                <w:color w:val="auto"/>
              </w:rPr>
            </w:pPr>
            <w:r>
              <w:rPr>
                <w:rFonts w:ascii="Arial" w:cs="Arial" w:eastAsia="Arial" w:hAnsi="Arial"/>
                <w:sz w:val="16"/>
                <w:szCs w:val="16"/>
                <w:color w:val="auto"/>
              </w:rPr>
              <w:t>1,848,970</w:t>
            </w:r>
          </w:p>
        </w:tc>
        <w:tc>
          <w:tcPr>
            <w:tcW w:w="2220" w:type="dxa"/>
            <w:vAlign w:val="bottom"/>
          </w:tcPr>
          <w:p>
            <w:pPr>
              <w:spacing w:after="0"/>
              <w:rPr>
                <w:sz w:val="18"/>
                <w:szCs w:val="18"/>
                <w:color w:val="auto"/>
              </w:rPr>
            </w:pPr>
          </w:p>
        </w:tc>
      </w:tr>
      <w:tr>
        <w:trPr>
          <w:trHeight w:val="256"/>
        </w:trPr>
        <w:tc>
          <w:tcPr>
            <w:tcW w:w="2240" w:type="dxa"/>
            <w:vAlign w:val="bottom"/>
          </w:tcPr>
          <w:p>
            <w:pPr>
              <w:spacing w:after="0"/>
              <w:rPr>
                <w:sz w:val="22"/>
                <w:szCs w:val="22"/>
                <w:color w:val="auto"/>
              </w:rPr>
            </w:pPr>
          </w:p>
        </w:tc>
        <w:tc>
          <w:tcPr>
            <w:tcW w:w="360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Common Stock, $.001 par value</w:t>
            </w:r>
          </w:p>
        </w:tc>
        <w:tc>
          <w:tcPr>
            <w:tcW w:w="3180" w:type="dxa"/>
            <w:vAlign w:val="bottom"/>
          </w:tcPr>
          <w:p>
            <w:pPr>
              <w:jc w:val="right"/>
              <w:ind w:right="1099"/>
              <w:spacing w:after="0"/>
              <w:rPr>
                <w:sz w:val="20"/>
                <w:szCs w:val="20"/>
                <w:color w:val="auto"/>
              </w:rPr>
            </w:pPr>
            <w:r>
              <w:rPr>
                <w:rFonts w:ascii="Arial" w:cs="Arial" w:eastAsia="Arial" w:hAnsi="Arial"/>
                <w:sz w:val="16"/>
                <w:szCs w:val="16"/>
                <w:color w:val="auto"/>
              </w:rPr>
              <w:t>104,543,424</w:t>
            </w:r>
          </w:p>
        </w:tc>
        <w:tc>
          <w:tcPr>
            <w:tcW w:w="2220" w:type="dxa"/>
            <w:vAlign w:val="bottom"/>
          </w:tcPr>
          <w:p>
            <w:pPr>
              <w:spacing w:after="0"/>
              <w:rPr>
                <w:sz w:val="22"/>
                <w:szCs w:val="22"/>
                <w:color w:val="auto"/>
              </w:rPr>
            </w:pPr>
          </w:p>
        </w:tc>
      </w:tr>
      <w:tr>
        <w:trPr>
          <w:trHeight w:val="1039"/>
        </w:trPr>
        <w:tc>
          <w:tcPr>
            <w:tcW w:w="22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Page Numbers</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720" w:type="dxa"/>
            <w:vAlign w:val="bottom"/>
            <w:gridSpan w:val="7"/>
            <w:shd w:val="clear" w:color="auto" w:fill="CCEEFF"/>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19"/>
                <w:szCs w:val="19"/>
                <w:color w:val="auto"/>
              </w:rPr>
            </w:pPr>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June 30, 2020 and December 31, 2019</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7720" w:type="dxa"/>
            <w:vAlign w:val="bottom"/>
            <w:gridSpan w:val="7"/>
            <w:shd w:val="clear" w:color="auto" w:fill="CCEEFF"/>
          </w:tcPr>
          <w:p>
            <w:pPr>
              <w:spacing w:after="0" w:line="189"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Condensed Consolidated Statements of Operations and Comprehensive Income for the Three and</w:t>
              </w:r>
            </w:hyperlink>
          </w:p>
        </w:tc>
        <w:tc>
          <w:tcPr>
            <w:tcW w:w="1120" w:type="dxa"/>
            <w:vAlign w:val="bottom"/>
            <w:shd w:val="clear" w:color="auto" w:fill="CCEEFF"/>
          </w:tcPr>
          <w:p>
            <w:pPr>
              <w:jc w:val="center"/>
              <w:spacing w:after="0" w:line="189" w:lineRule="exact"/>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shd w:val="clear" w:color="auto" w:fill="CCEEFF"/>
          </w:tcPr>
          <w:p>
            <w:pPr>
              <w:spacing w:after="0"/>
              <w:rPr>
                <w:sz w:val="15"/>
                <w:szCs w:val="15"/>
                <w:color w:val="auto"/>
              </w:rPr>
            </w:pPr>
          </w:p>
        </w:tc>
        <w:tc>
          <w:tcPr>
            <w:tcW w:w="70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Six Months Ended June 30, 2020 and 2019</w:t>
              </w:r>
            </w:hyperlink>
          </w:p>
        </w:tc>
        <w:tc>
          <w:tcPr>
            <w:tcW w:w="7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44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7720" w:type="dxa"/>
            <w:vAlign w:val="bottom"/>
            <w:gridSpan w:val="7"/>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Stockholders' Equity for the Three and Six Months</w:t>
              </w:r>
            </w:hyperlink>
          </w:p>
        </w:tc>
        <w:tc>
          <w:tcPr>
            <w:tcW w:w="1120" w:type="dxa"/>
            <w:vAlign w:val="bottom"/>
            <w:shd w:val="clear" w:color="auto" w:fill="CCEEFF"/>
          </w:tcPr>
          <w:p>
            <w:pPr>
              <w:jc w:val="center"/>
              <w:spacing w:after="0" w:line="189" w:lineRule="exact"/>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shd w:val="clear" w:color="auto" w:fill="CCEEFF"/>
          </w:tcPr>
          <w:p>
            <w:pPr>
              <w:spacing w:after="0"/>
              <w:rPr>
                <w:sz w:val="15"/>
                <w:szCs w:val="15"/>
                <w:color w:val="auto"/>
              </w:rPr>
            </w:pPr>
          </w:p>
        </w:tc>
        <w:tc>
          <w:tcPr>
            <w:tcW w:w="654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Ended June 30, 2020 and 2019</w:t>
              </w:r>
            </w:hyperlink>
          </w:p>
        </w:tc>
        <w:tc>
          <w:tcPr>
            <w:tcW w:w="4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2"/>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344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7720" w:type="dxa"/>
            <w:vAlign w:val="bottom"/>
            <w:gridSpan w:val="7"/>
            <w:shd w:val="clear" w:color="auto" w:fill="CCEEFF"/>
          </w:tcPr>
          <w:p>
            <w:pPr>
              <w:spacing w:after="0" w:line="189"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Consolidated Statements of Cash Flows for the Six Months Ended June 30, 2020 and</w:t>
              </w:r>
            </w:hyperlink>
          </w:p>
        </w:tc>
        <w:tc>
          <w:tcPr>
            <w:tcW w:w="1120" w:type="dxa"/>
            <w:vAlign w:val="bottom"/>
            <w:vMerge w:val="restart"/>
            <w:shd w:val="clear" w:color="auto" w:fill="CCEEFF"/>
          </w:tcPr>
          <w:p>
            <w:pPr>
              <w:jc w:val="center"/>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2019</w:t>
              </w:r>
            </w:hyperlink>
          </w:p>
        </w:tc>
        <w:tc>
          <w:tcPr>
            <w:tcW w:w="880" w:type="dxa"/>
            <w:vAlign w:val="bottom"/>
            <w:tcBorders>
              <w:top w:val="single" w:sz="8" w:color="0000FF"/>
            </w:tcBorders>
            <w:shd w:val="clear" w:color="auto" w:fill="CCEEFF"/>
          </w:tcPr>
          <w:p>
            <w:pPr>
              <w:spacing w:after="0"/>
              <w:rPr>
                <w:sz w:val="15"/>
                <w:szCs w:val="15"/>
                <w:color w:val="auto"/>
              </w:rPr>
            </w:pPr>
          </w:p>
        </w:tc>
        <w:tc>
          <w:tcPr>
            <w:tcW w:w="344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vMerge w:val="continue"/>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344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sz w:val="19"/>
                <w:szCs w:val="19"/>
                <w:color w:val="auto"/>
              </w:rPr>
            </w:pPr>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7</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26</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Quantitative and Qualitative Disclosures About Market Risk</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Controls and Procedures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PART II</w:t>
              </w:r>
            </w:hyperlink>
          </w:p>
        </w:tc>
        <w:tc>
          <w:tcPr>
            <w:tcW w:w="7720" w:type="dxa"/>
            <w:vAlign w:val="bottom"/>
            <w:gridSpan w:val="7"/>
            <w:shd w:val="clear" w:color="auto" w:fill="CCEEFF"/>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OTHER INFORMATION</w:t>
              </w:r>
            </w:hyperlink>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1A.</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Risk Factors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2.</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Unregistered Sales of Equity Securities and Use of Proceeds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1">
              <w:r>
                <w:rPr>
                  <w:rFonts w:ascii="Arial" w:cs="Arial" w:eastAsia="Arial" w:hAnsi="Arial"/>
                  <w:sz w:val="18"/>
                  <w:szCs w:val="18"/>
                  <w:u w:val="single" w:color="auto"/>
                  <w:color w:val="0000FF"/>
                  <w:w w:val="89"/>
                </w:rPr>
                <w:t>80</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6.</w:t>
              </w:r>
            </w:hyperlink>
          </w:p>
        </w:tc>
        <w:tc>
          <w:tcPr>
            <w:tcW w:w="7720" w:type="dxa"/>
            <w:vAlign w:val="bottom"/>
            <w:gridSpan w:val="7"/>
            <w:shd w:val="clear" w:color="auto" w:fill="CCEEFF"/>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Exhibits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81</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860" w:type="dxa"/>
            <w:vAlign w:val="bottom"/>
            <w:gridSpan w:val="8"/>
            <w:shd w:val="clear" w:color="auto" w:fill="CCEEFF"/>
          </w:tcPr>
          <w:p>
            <w:pPr>
              <w:spacing w:after="0"/>
              <w:rPr>
                <w:rFonts w:ascii="Arial" w:cs="Arial" w:eastAsia="Arial" w:hAnsi="Arial"/>
                <w:sz w:val="18"/>
                <w:szCs w:val="18"/>
                <w:b w:val="1"/>
                <w:bCs w:val="1"/>
                <w:u w:val="single" w:color="auto"/>
                <w:color w:val="0000FF"/>
              </w:rPr>
            </w:pPr>
            <w:hyperlink w:anchor="page82">
              <w:r>
                <w:rPr>
                  <w:rFonts w:ascii="Arial" w:cs="Arial" w:eastAsia="Arial" w:hAnsi="Arial"/>
                  <w:sz w:val="18"/>
                  <w:szCs w:val="18"/>
                  <w:b w:val="1"/>
                  <w:bCs w:val="1"/>
                  <w:u w:val="single" w:color="auto"/>
                  <w:color w:val="0000FF"/>
                </w:rPr>
                <w:t>SIGNATURE PAGE</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82</w:t>
              </w:r>
            </w:hyperlink>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192"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"Libtayo</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"Praluent</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trademarks of Regeneron</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Inc. Trademarks and trade names of other companies appearing in this report are, to the knowledge of Regeneron Pharmaceuticals, Inc.,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42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1,617.8</w:t>
            </w: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1,596.5</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 trade, net</w:t>
            </w:r>
          </w:p>
        </w:tc>
        <w:tc>
          <w:tcPr>
            <w:tcW w:w="4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2,100.0</w:t>
            </w: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Accounts receivable - Sanofi</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260.6</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 other</w:t>
            </w:r>
          </w:p>
        </w:tc>
        <w:tc>
          <w:tcPr>
            <w:tcW w:w="4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425.0</w:t>
            </w: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1,415.5</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273.7</w:t>
            </w: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7,860.2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7,689.1</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3,256.8</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4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2,890.4</w:t>
            </w:r>
          </w:p>
        </w:tc>
      </w:tr>
      <w:tr>
        <w:trPr>
          <w:trHeight w:val="243"/>
        </w:trPr>
        <w:tc>
          <w:tcPr>
            <w:tcW w:w="424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824.2</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4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144.7</w:t>
            </w: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14,428.7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14,805.2</w:t>
            </w: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42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418.1</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1,211.4</w:t>
            </w: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Debt</w:t>
            </w:r>
          </w:p>
        </w:tc>
        <w:tc>
          <w:tcPr>
            <w:tcW w:w="4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 - Sanofi</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310.5</w:t>
            </w: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 - other</w:t>
            </w:r>
          </w:p>
        </w:tc>
        <w:tc>
          <w:tcPr>
            <w:tcW w:w="4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71.6</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 - Sanofi</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3,702.4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2,096.6</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4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715.9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713.9</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 - Sanofi</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w:t>
            </w: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 - other</w:t>
            </w:r>
          </w:p>
        </w:tc>
        <w:tc>
          <w:tcPr>
            <w:tcW w:w="4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77.6</w:t>
            </w: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 - Sanofi</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482.0</w:t>
            </w: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317.7</w:t>
            </w:r>
          </w:p>
        </w:tc>
      </w:tr>
      <w:tr>
        <w:trPr>
          <w:trHeight w:val="27"/>
        </w:trPr>
        <w:tc>
          <w:tcPr>
            <w:tcW w:w="8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5,371.3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3,715.5</w:t>
            </w:r>
          </w:p>
        </w:tc>
      </w:tr>
      <w:tr>
        <w:trPr>
          <w:trHeight w:val="20"/>
        </w:trPr>
        <w:tc>
          <w:tcPr>
            <w:tcW w:w="8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 w:right="339" w:bottom="19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Preferred Stock, $.01 par value; 30,000,000 shares authorized; issued and outstanding - none</w:t>
      </w:r>
    </w:p>
    <w:p>
      <w:pPr>
        <w:spacing w:after="0" w:line="63" w:lineRule="exact"/>
        <w:rPr>
          <w:sz w:val="20"/>
          <w:szCs w:val="20"/>
          <w:color w:val="auto"/>
        </w:rPr>
      </w:pPr>
    </w:p>
    <w:p>
      <w:pPr>
        <w:ind w:left="400" w:right="320" w:hanging="161"/>
        <w:spacing w:after="0" w:line="235" w:lineRule="auto"/>
        <w:rPr>
          <w:sz w:val="20"/>
          <w:szCs w:val="20"/>
          <w:color w:val="auto"/>
        </w:rPr>
      </w:pPr>
      <w:r>
        <w:rPr>
          <w:rFonts w:ascii="Arial" w:cs="Arial" w:eastAsia="Arial" w:hAnsi="Arial"/>
          <w:sz w:val="18"/>
          <w:szCs w:val="18"/>
          <w:color w:val="auto"/>
        </w:rPr>
        <w:t>Class A Stock, convertible, $.001 par value; 40,000,000 shares authorized; shares issued and outstanding - 1,848,970 in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0" w:right="380" w:hanging="161"/>
        <w:spacing w:after="0" w:line="234" w:lineRule="auto"/>
        <w:rPr>
          <w:sz w:val="20"/>
          <w:szCs w:val="20"/>
          <w:color w:val="auto"/>
        </w:rPr>
      </w:pPr>
      <w:r>
        <w:rPr>
          <w:rFonts w:ascii="Arial" w:cs="Arial" w:eastAsia="Arial" w:hAnsi="Arial"/>
          <w:sz w:val="18"/>
          <w:szCs w:val="18"/>
          <w:color w:val="auto"/>
        </w:rPr>
        <w:t>Common Stock, $.001 par value; 320,000,000 shares authorized; shares issued - 119,757,931 in 2020 and 113,288,103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income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Treasury Stock, at cost; 15,578,240 shares in 2020 and 4,860,123 shares in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1140" w:type="dxa"/>
            <w:vAlign w:val="bottom"/>
          </w:tcPr>
          <w:p>
            <w:pPr>
              <w:jc w:val="right"/>
              <w:ind w:right="430"/>
              <w:spacing w:after="0"/>
              <w:rPr>
                <w:sz w:val="20"/>
                <w:szCs w:val="20"/>
                <w:color w:val="auto"/>
              </w:rPr>
            </w:pPr>
            <w:r>
              <w:rPr>
                <w:rFonts w:ascii="Arial" w:cs="Arial" w:eastAsia="Arial" w:hAnsi="Arial"/>
                <w:sz w:val="18"/>
                <w:szCs w:val="18"/>
                <w:color w:val="auto"/>
                <w:w w:val="99"/>
              </w:rPr>
              <w:t>6,263.0</w:t>
            </w:r>
          </w:p>
        </w:tc>
        <w:tc>
          <w:tcPr>
            <w:tcW w:w="1080" w:type="dxa"/>
            <w:vAlign w:val="bottom"/>
          </w:tcPr>
          <w:p>
            <w:pPr>
              <w:jc w:val="right"/>
              <w:spacing w:after="0"/>
              <w:rPr>
                <w:sz w:val="20"/>
                <w:szCs w:val="20"/>
                <w:color w:val="auto"/>
              </w:rPr>
            </w:pPr>
            <w:r>
              <w:rPr>
                <w:rFonts w:ascii="Arial" w:cs="Arial" w:eastAsia="Arial" w:hAnsi="Arial"/>
                <w:sz w:val="18"/>
                <w:szCs w:val="18"/>
                <w:color w:val="auto"/>
              </w:rPr>
              <w:t>4,428.6</w:t>
            </w:r>
          </w:p>
        </w:tc>
      </w:tr>
      <w:tr>
        <w:trPr>
          <w:trHeight w:val="270"/>
        </w:trPr>
        <w:tc>
          <w:tcPr>
            <w:tcW w:w="1140" w:type="dxa"/>
            <w:vAlign w:val="bottom"/>
          </w:tcPr>
          <w:p>
            <w:pPr>
              <w:jc w:val="right"/>
              <w:ind w:right="430"/>
              <w:spacing w:after="0"/>
              <w:rPr>
                <w:sz w:val="20"/>
                <w:szCs w:val="20"/>
                <w:color w:val="auto"/>
              </w:rPr>
            </w:pPr>
            <w:r>
              <w:rPr>
                <w:rFonts w:ascii="Arial" w:cs="Arial" w:eastAsia="Arial" w:hAnsi="Arial"/>
                <w:sz w:val="18"/>
                <w:szCs w:val="18"/>
                <w:color w:val="auto"/>
                <w:w w:val="99"/>
              </w:rPr>
              <w:t>8,901.7</w:t>
            </w:r>
          </w:p>
        </w:tc>
        <w:tc>
          <w:tcPr>
            <w:tcW w:w="1080" w:type="dxa"/>
            <w:vAlign w:val="bottom"/>
          </w:tcPr>
          <w:p>
            <w:pPr>
              <w:jc w:val="right"/>
              <w:spacing w:after="0"/>
              <w:rPr>
                <w:sz w:val="20"/>
                <w:szCs w:val="20"/>
                <w:color w:val="auto"/>
              </w:rPr>
            </w:pPr>
            <w:r>
              <w:rPr>
                <w:rFonts w:ascii="Arial" w:cs="Arial" w:eastAsia="Arial" w:hAnsi="Arial"/>
                <w:sz w:val="18"/>
                <w:szCs w:val="18"/>
                <w:color w:val="auto"/>
              </w:rPr>
              <w:t>7,379.8</w:t>
            </w:r>
          </w:p>
        </w:tc>
      </w:tr>
      <w:tr>
        <w:trPr>
          <w:trHeight w:val="270"/>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35.5</w:t>
            </w: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88"/>
              </w:rPr>
              <w:t>(6,142.9)</w:t>
            </w:r>
          </w:p>
        </w:tc>
        <w:tc>
          <w:tcPr>
            <w:tcW w:w="1080" w:type="dxa"/>
            <w:vAlign w:val="bottom"/>
          </w:tcPr>
          <w:p>
            <w:pPr>
              <w:jc w:val="right"/>
              <w:spacing w:after="0"/>
              <w:rPr>
                <w:sz w:val="20"/>
                <w:szCs w:val="20"/>
                <w:color w:val="auto"/>
              </w:rPr>
            </w:pPr>
            <w:r>
              <w:rPr>
                <w:rFonts w:ascii="Arial" w:cs="Arial" w:eastAsia="Arial" w:hAnsi="Arial"/>
                <w:sz w:val="18"/>
                <w:szCs w:val="18"/>
                <w:color w:val="auto"/>
              </w:rPr>
              <w:t>(739.9)</w:t>
            </w:r>
          </w:p>
        </w:tc>
      </w:tr>
    </w:tbl>
    <w:p>
      <w:pPr>
        <w:spacing w:after="0" w:line="7" w:lineRule="exact"/>
        <w:rPr>
          <w:sz w:val="20"/>
          <w:szCs w:val="20"/>
          <w:color w:val="auto"/>
        </w:rPr>
      </w:pPr>
    </w:p>
    <w:p>
      <w:pPr>
        <w:sectPr>
          <w:pgSz w:w="11900" w:h="16838" w:orient="portrait"/>
          <w:cols w:equalWidth="0" w:num="2">
            <w:col w:w="8200" w:space="720"/>
            <w:col w:w="2320"/>
          </w:cols>
          <w:pgMar w:left="320" w:top="130" w:right="339" w:bottom="19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9,057.4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11,089.7</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14,428.7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14,805.2</w:t>
            </w:r>
          </w:p>
        </w:tc>
      </w:tr>
      <w:tr>
        <w:trPr>
          <w:trHeight w:val="27"/>
        </w:trPr>
        <w:tc>
          <w:tcPr>
            <w:tcW w:w="8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9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9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2,309.7</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Sanofi collaboration revenue</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57.8</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Bayer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541.2</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41.7</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2,950.4</w:t>
            </w:r>
          </w:p>
        </w:tc>
      </w:tr>
      <w:tr>
        <w:trPr>
          <w:trHeight w:val="196"/>
        </w:trPr>
        <w:tc>
          <w:tcPr>
            <w:tcW w:w="5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885.5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1,305.9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1,371.6</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585.7</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137.9</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180.0</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1,262.2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2,154.8</w:t>
            </w:r>
          </w:p>
        </w:tc>
      </w:tr>
      <w:tr>
        <w:trPr>
          <w:trHeight w:val="196"/>
        </w:trPr>
        <w:tc>
          <w:tcPr>
            <w:tcW w:w="5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315.6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795.6</w:t>
            </w:r>
          </w:p>
        </w:tc>
      </w:tr>
      <w:tr>
        <w:trPr>
          <w:trHeight w:val="196"/>
        </w:trPr>
        <w:tc>
          <w:tcPr>
            <w:tcW w:w="5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37"/>
        </w:trPr>
        <w:tc>
          <w:tcPr>
            <w:tcW w:w="5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5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770.8</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116.6</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5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654.2</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5.69</w:t>
            </w:r>
          </w:p>
        </w:tc>
      </w:t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115.0</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debt securities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r>
      <w:tr>
        <w:trPr>
          <w:trHeight w:val="270"/>
        </w:trPr>
        <w:tc>
          <w:tcPr>
            <w:tcW w:w="5700" w:type="dxa"/>
            <w:vAlign w:val="bottom"/>
          </w:tcPr>
          <w:p>
            <w:pPr>
              <w:ind w:left="220"/>
              <w:spacing w:after="0"/>
              <w:rPr>
                <w:sz w:val="20"/>
                <w:szCs w:val="20"/>
                <w:color w:val="auto"/>
              </w:rPr>
            </w:pPr>
            <w:r>
              <w:rPr>
                <w:rFonts w:ascii="Arial" w:cs="Arial" w:eastAsia="Arial" w:hAnsi="Arial"/>
                <w:sz w:val="18"/>
                <w:szCs w:val="18"/>
                <w:color w:val="auto"/>
              </w:rPr>
              <w:t>Unrealized loss on cash flow hedges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8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206.1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1,536.3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682.3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(In millions)</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Class A Stock</w:t>
            </w: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50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50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3"/>
              </w:rPr>
              <w:t>Paid-in</w:t>
            </w:r>
          </w:p>
        </w:tc>
        <w:tc>
          <w:tcPr>
            <w:tcW w:w="84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113.3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6"/>
              </w:rPr>
              <w:t>$ 4,428.6</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6"/>
              </w:rPr>
              <w:t>$ 7,379.8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6"/>
              </w:rPr>
              <w:t>11,089.7</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for equity</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Arial" w:cs="Arial" w:eastAsia="Arial" w:hAnsi="Arial"/>
                <w:sz w:val="16"/>
                <w:szCs w:val="16"/>
                <w:color w:val="auto"/>
                <w:w w:val="95"/>
              </w:rPr>
              <w:t>awards granted under long-term incentive</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79"/>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99"/>
              <w:spacing w:after="0"/>
              <w:rPr>
                <w:sz w:val="20"/>
                <w:szCs w:val="20"/>
                <w:color w:val="auto"/>
              </w:rPr>
            </w:pPr>
            <w:r>
              <w:rPr>
                <w:rFonts w:ascii="Arial" w:cs="Arial" w:eastAsia="Arial" w:hAnsi="Arial"/>
                <w:sz w:val="16"/>
                <w:szCs w:val="16"/>
                <w:color w:val="auto"/>
              </w:rPr>
              <w:t>817.4</w:t>
            </w: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817.4</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plans</w:t>
            </w:r>
          </w:p>
        </w:tc>
        <w:tc>
          <w:tcPr>
            <w:tcW w:w="5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Common Stock tendered upon exercise of</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stock options and vesting of restricted</w:t>
            </w:r>
          </w:p>
        </w:tc>
        <w:tc>
          <w:tcPr>
            <w:tcW w:w="5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(155.1)</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Issuance/distribution of Common Stock for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99"/>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5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53"/>
        </w:trPr>
        <w:tc>
          <w:tcPr>
            <w:tcW w:w="302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108.0</w:t>
            </w:r>
          </w:p>
        </w:tc>
        <w:tc>
          <w:tcPr>
            <w:tcW w:w="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5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624.6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5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(30.2)</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116.0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5,211.4</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(1,073.8)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6"/>
              </w:rPr>
              <w:t>12,133.0</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for equity</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Arial" w:cs="Arial" w:eastAsia="Arial" w:hAnsi="Arial"/>
                <w:sz w:val="16"/>
                <w:szCs w:val="16"/>
                <w:color w:val="auto"/>
                <w:w w:val="95"/>
              </w:rPr>
              <w:t>awards granted under long-term incentive</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79"/>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99"/>
              <w:spacing w:after="0"/>
              <w:rPr>
                <w:sz w:val="20"/>
                <w:szCs w:val="20"/>
                <w:color w:val="auto"/>
              </w:rPr>
            </w:pPr>
            <w:r>
              <w:rPr>
                <w:rFonts w:ascii="Arial" w:cs="Arial" w:eastAsia="Arial" w:hAnsi="Arial"/>
                <w:sz w:val="16"/>
                <w:szCs w:val="16"/>
                <w:color w:val="auto"/>
              </w:rPr>
              <w:t>1,355.5</w:t>
            </w: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plans</w:t>
            </w:r>
          </w:p>
        </w:tc>
        <w:tc>
          <w:tcPr>
            <w:tcW w:w="5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Common Stock tendered upon exercise of</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stock options and vesting of restricted</w:t>
            </w:r>
          </w:p>
        </w:tc>
        <w:tc>
          <w:tcPr>
            <w:tcW w:w="5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(416.5)</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Issuance/distribution of Common Stock for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99"/>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5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(5,071.8)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9"/>
              </w:rPr>
              <w:t>(5,071.8)</w:t>
            </w:r>
          </w:p>
        </w:tc>
        <w:tc>
          <w:tcPr>
            <w:tcW w:w="0" w:type="dxa"/>
            <w:vAlign w:val="bottom"/>
          </w:tcPr>
          <w:p>
            <w:pPr>
              <w:spacing w:after="0"/>
              <w:rPr>
                <w:sz w:val="1"/>
                <w:szCs w:val="1"/>
                <w:color w:val="auto"/>
              </w:rPr>
            </w:pPr>
          </w:p>
        </w:tc>
      </w:tr>
      <w:tr>
        <w:trPr>
          <w:trHeight w:val="253"/>
        </w:trPr>
        <w:tc>
          <w:tcPr>
            <w:tcW w:w="302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897.3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897.3</w:t>
            </w:r>
          </w:p>
        </w:tc>
        <w:tc>
          <w:tcPr>
            <w:tcW w:w="0" w:type="dxa"/>
            <w:vAlign w:val="bottom"/>
          </w:tcPr>
          <w:p>
            <w:pPr>
              <w:spacing w:after="0"/>
              <w:rPr>
                <w:sz w:val="1"/>
                <w:szCs w:val="1"/>
                <w:color w:val="auto"/>
              </w:rPr>
            </w:pPr>
          </w:p>
        </w:tc>
      </w:tr>
      <w:tr>
        <w:trPr>
          <w:trHeight w:val="254"/>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44.6</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119.8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6"/>
              </w:rPr>
              <w:t>$ 6,263.0</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6"/>
              </w:rPr>
              <w:t>$ 8,901.7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0"/>
              </w:rPr>
              <w:t>(15.6)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(6,142.9)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9,057.4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9920" w:type="dxa"/>
            <w:vAlign w:val="bottom"/>
            <w:gridSpan w:val="21"/>
          </w:tcPr>
          <w:p>
            <w:pPr>
              <w:ind w:left="1660"/>
              <w:spacing w:after="0"/>
              <w:rPr>
                <w:sz w:val="20"/>
                <w:szCs w:val="20"/>
                <w:color w:val="auto"/>
              </w:rPr>
            </w:pPr>
            <w:r>
              <w:rPr>
                <w:rFonts w:ascii="Arial" w:cs="Arial" w:eastAsia="Arial" w:hAnsi="Arial"/>
                <w:sz w:val="16"/>
                <w:szCs w:val="16"/>
                <w:b w:val="1"/>
                <w:bCs w:val="1"/>
                <w:color w:val="auto"/>
              </w:rPr>
              <w:t xml:space="preserve">CONDENSED CONSOLIDATED STATEMENTS OF STOCKHOLDERS' EQUITY (Unaudited) </w:t>
            </w:r>
            <w:r>
              <w:rPr>
                <w:rFonts w:ascii="Arial" w:cs="Arial" w:eastAsia="Arial" w:hAnsi="Arial"/>
                <w:sz w:val="16"/>
                <w:szCs w:val="16"/>
                <w:b w:val="1"/>
                <w:bCs w:val="1"/>
                <w:i w:val="1"/>
                <w:iCs w:val="1"/>
                <w:color w:val="auto"/>
              </w:rPr>
              <w:t>(continued)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124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Class A Stock</w:t>
            </w:r>
          </w:p>
        </w:tc>
        <w:tc>
          <w:tcPr>
            <w:tcW w:w="126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38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240" w:type="dxa"/>
            <w:vAlign w:val="bottom"/>
            <w:gridSpan w:val="4"/>
            <w:vMerge w:val="continue"/>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3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3"/>
              </w:rPr>
              <w:t>Paid-in</w:t>
            </w:r>
          </w:p>
        </w:tc>
        <w:tc>
          <w:tcPr>
            <w:tcW w:w="84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Retained</w:t>
            </w:r>
          </w:p>
        </w:tc>
        <w:tc>
          <w:tcPr>
            <w:tcW w:w="118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Capital</w:t>
            </w: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4"/>
              </w:rPr>
              <w:t>111.1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$ 3,911.6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6"/>
              </w:rPr>
              <w:t>$ 5,254.3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 (396.4)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8,757.3</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96"/>
              </w:rPr>
              <w:t>Issuance of Common Stock for equity awards</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7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5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4"/>
              </w:rPr>
              <w:t>stock options and vesting of restricted stock</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employee tax obligations</w:t>
            </w:r>
          </w:p>
        </w:tc>
        <w:tc>
          <w:tcPr>
            <w:tcW w:w="58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for 401(k)</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Savings Plan</w:t>
            </w:r>
          </w:p>
        </w:tc>
        <w:tc>
          <w:tcPr>
            <w:tcW w:w="5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54"/>
        </w:trPr>
        <w:tc>
          <w:tcPr>
            <w:tcW w:w="314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Adjustment upon adoption of new accounting</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standard</w:t>
            </w:r>
          </w:p>
        </w:tc>
        <w:tc>
          <w:tcPr>
            <w:tcW w:w="58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461.1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5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March 31, 2019</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84"/>
              </w:rPr>
              <w:t>111.7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4,160.9</w:t>
            </w:r>
          </w:p>
        </w:tc>
        <w:tc>
          <w:tcPr>
            <w:tcW w:w="10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5,725.1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9,444.7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1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Issuance of Common Stock for equity awards</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58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rPr>
              <w:t>Common Stock tendered upon 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180"/>
              <w:spacing w:after="0" w:line="162" w:lineRule="exact"/>
              <w:rPr>
                <w:sz w:val="20"/>
                <w:szCs w:val="20"/>
                <w:color w:val="auto"/>
              </w:rPr>
            </w:pPr>
            <w:r>
              <w:rPr>
                <w:rFonts w:ascii="Arial" w:cs="Arial" w:eastAsia="Arial" w:hAnsi="Arial"/>
                <w:sz w:val="16"/>
                <w:szCs w:val="16"/>
                <w:color w:val="auto"/>
                <w:w w:val="94"/>
              </w:rPr>
              <w:t>stock options and vesting of restricted stock</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3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for employee tax obligations</w:t>
            </w:r>
          </w:p>
        </w:tc>
        <w:tc>
          <w:tcPr>
            <w:tcW w:w="5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Issuance/distribution of Common Stock for</w:t>
            </w: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401(k) Savings Plan</w:t>
            </w:r>
          </w:p>
        </w:tc>
        <w:tc>
          <w:tcPr>
            <w:tcW w:w="58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4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6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r>
        <w:trPr>
          <w:trHeight w:val="25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2019</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4"/>
              </w:rPr>
              <w:t>111.9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$ 4,263.6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6"/>
              </w:rPr>
              <w:t>$ 5,918.2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 (441.8)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9,755.9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37465</wp:posOffset>
            </wp:positionV>
            <wp:extent cx="6917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63500</wp:posOffset>
            </wp:positionV>
            <wp:extent cx="6917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80" w:right="2280"/>
        <w:spacing w:after="0" w:line="275"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CASH FLOWS (Unaudited) </w:t>
      </w:r>
      <w:r>
        <w:rPr>
          <w:rFonts w:ascii="Arial" w:cs="Arial" w:eastAsia="Arial" w:hAnsi="Arial"/>
          <w:sz w:val="18"/>
          <w:szCs w:val="18"/>
          <w:b w:val="1"/>
          <w:bCs w:val="1"/>
          <w:i w:val="1"/>
          <w:iCs w:val="1"/>
          <w:color w:val="auto"/>
        </w:rPr>
        <w:t>(In millions)</w:t>
      </w:r>
    </w:p>
    <w:p>
      <w:pPr>
        <w:spacing w:after="0" w:line="322"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22860</wp:posOffset>
            </wp:positionV>
            <wp:extent cx="1903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654.2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1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103.1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Non-cash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213.7</w:t>
            </w:r>
          </w:p>
        </w:tc>
      </w:tr>
      <w:tr>
        <w:trPr>
          <w:trHeight w:val="243"/>
        </w:trPr>
        <w:tc>
          <w:tcPr>
            <w:tcW w:w="8100" w:type="dxa"/>
            <w:vAlign w:val="bottom"/>
          </w:tcPr>
          <w:p>
            <w:pPr>
              <w:ind w:left="460"/>
              <w:spacing w:after="0"/>
              <w:rPr>
                <w:sz w:val="20"/>
                <w:szCs w:val="20"/>
                <w:color w:val="auto"/>
              </w:rPr>
            </w:pPr>
            <w:r>
              <w:rPr>
                <w:rFonts w:ascii="Arial" w:cs="Arial" w:eastAsia="Arial" w:hAnsi="Arial"/>
                <w:sz w:val="18"/>
                <w:szCs w:val="18"/>
                <w:color w:val="auto"/>
              </w:rPr>
              <w:t>Other non-cash items,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110.7</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r>
      <w:tr>
        <w:trPr>
          <w:trHeight w:val="243"/>
        </w:trPr>
        <w:tc>
          <w:tcPr>
            <w:tcW w:w="8100" w:type="dxa"/>
            <w:vAlign w:val="bottom"/>
          </w:tcPr>
          <w:p>
            <w:pPr>
              <w:ind w:left="46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Increase in Sanofi, trade, and other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(247.5)</w:t>
            </w:r>
          </w:p>
        </w:tc>
      </w:tr>
      <w:tr>
        <w:trPr>
          <w:trHeight w:val="243"/>
        </w:trPr>
        <w:tc>
          <w:tcPr>
            <w:tcW w:w="8100" w:type="dxa"/>
            <w:vAlign w:val="bottom"/>
          </w:tcPr>
          <w:p>
            <w:pPr>
              <w:ind w:left="660"/>
              <w:spacing w:after="0"/>
              <w:rPr>
                <w:sz w:val="20"/>
                <w:szCs w:val="20"/>
                <w:color w:val="auto"/>
              </w:rPr>
            </w:pPr>
            <w:r>
              <w:rPr>
                <w:rFonts w:ascii="Arial" w:cs="Arial" w:eastAsia="Arial" w:hAnsi="Arial"/>
                <w:sz w:val="18"/>
                <w:szCs w:val="18"/>
                <w:color w:val="auto"/>
              </w:rPr>
              <w:t>Increase in inventories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(168.2)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r>
      <w:tr>
        <w:trPr>
          <w:trHeight w:val="243"/>
        </w:trPr>
        <w:tc>
          <w:tcPr>
            <w:tcW w:w="8100" w:type="dxa"/>
            <w:vAlign w:val="bottom"/>
          </w:tcPr>
          <w:p>
            <w:pPr>
              <w:ind w:left="660"/>
              <w:spacing w:after="0"/>
              <w:rPr>
                <w:sz w:val="20"/>
                <w:szCs w:val="20"/>
                <w:color w:val="auto"/>
              </w:rPr>
            </w:pPr>
            <w:r>
              <w:rPr>
                <w:rFonts w:ascii="Arial" w:cs="Arial" w:eastAsia="Arial" w:hAnsi="Arial"/>
                <w:sz w:val="18"/>
                <w:szCs w:val="18"/>
                <w:color w:val="auto"/>
              </w:rPr>
              <w:t>Increase in deferred revenue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129.8</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381.6</w:t>
            </w:r>
          </w:p>
        </w:tc>
      </w:tr>
      <w:tr>
        <w:trPr>
          <w:trHeight w:val="237"/>
        </w:trPr>
        <w:tc>
          <w:tcPr>
            <w:tcW w:w="8100" w:type="dxa"/>
            <w:vAlign w:val="bottom"/>
          </w:tcPr>
          <w:p>
            <w:pPr>
              <w:ind w:left="220"/>
              <w:spacing w:after="0"/>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431.1</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1,085.3</w:t>
            </w:r>
          </w:p>
        </w:tc>
      </w:tr>
      <w:tr>
        <w:trPr>
          <w:trHeight w:val="196"/>
        </w:trPr>
        <w:tc>
          <w:tcPr>
            <w:tcW w:w="8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Purchases of marketable and other securities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(2,189.1)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or maturities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745.9</w:t>
            </w: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(168.9)</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(1,612.1)</w:t>
            </w:r>
          </w:p>
        </w:tc>
      </w:tr>
      <w:tr>
        <w:trPr>
          <w:trHeight w:val="196"/>
        </w:trPr>
        <w:tc>
          <w:tcPr>
            <w:tcW w:w="8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Proceeds from bridge loan facility</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155.1</w:t>
            </w: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(40.5)</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104.6</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(422.2)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1,480.2</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2,004.7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1,058.0</w:t>
            </w: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7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037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2019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8"/>
          <w:szCs w:val="18"/>
          <w:i w:val="1"/>
          <w:iCs w:val="1"/>
          <w:color w:val="auto"/>
        </w:rPr>
        <w:t>i.e.</w:t>
      </w:r>
      <w:r>
        <w:rPr>
          <w:rFonts w:ascii="Arial" w:cs="Arial" w:eastAsia="Arial" w:hAnsi="Arial"/>
          <w:sz w:val="18"/>
          <w:szCs w:val="18"/>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We made these changes in presentation because we believe the new presentation is preferable, as it better reflects the nature of the Company’s costs incurred and revenues earned pursuant to arrangements with collaborators and enhances the comparability of our financial statements with industry peers.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presentation has been applied retrospectively. The tables below present the impact of the change on the Company’s previously-filed Consolidated Balance Sheet as of December 31, 2019, the Condensed Consolidated Statement of Operations for the three and six months ended June 30, 2019, and the Condensed Consolidated Statement of Cash Flows for the six months ended June 30, 2019. The Company’s previously-filed balance sheet has been updated to reflect the addition of the caption Other liabilities for the presentation of up-front and development milestones paid by collaborators that are deferred. There was no impact on the Company’s previously-filed Consolidated Statements of Stockholders’ Equity.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18"/>
        </w:trPr>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1040" w:type="dxa"/>
            <w:vAlign w:val="bottom"/>
          </w:tcPr>
          <w:p>
            <w:pPr>
              <w:spacing w:after="0"/>
              <w:rPr>
                <w:sz w:val="16"/>
                <w:szCs w:val="16"/>
                <w:color w:val="auto"/>
              </w:rPr>
            </w:pPr>
          </w:p>
        </w:tc>
        <w:tc>
          <w:tcPr>
            <w:tcW w:w="43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Balance Sheet Data:</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16"/>
                <w:szCs w:val="16"/>
                <w:color w:val="auto"/>
              </w:rPr>
            </w:pPr>
          </w:p>
        </w:tc>
        <w:tc>
          <w:tcPr>
            <w:tcW w:w="236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As Revised</w:t>
            </w:r>
          </w:p>
        </w:tc>
      </w:tr>
      <w:tr>
        <w:trPr>
          <w:trHeight w:val="48"/>
        </w:trPr>
        <w:tc>
          <w:tcPr>
            <w:tcW w:w="104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243"/>
        </w:trPr>
        <w:tc>
          <w:tcPr>
            <w:tcW w:w="1040" w:type="dxa"/>
            <w:vAlign w:val="bottom"/>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1,211.4</w:t>
            </w:r>
          </w:p>
        </w:tc>
        <w:tc>
          <w:tcPr>
            <w:tcW w:w="1040" w:type="dxa"/>
            <w:vAlign w:val="bottom"/>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Deferred revenue - Sanofi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310.5</w:t>
            </w:r>
          </w:p>
        </w:tc>
        <w:tc>
          <w:tcPr>
            <w:tcW w:w="104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other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40" w:type="dxa"/>
            <w:vAlign w:val="bottom"/>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Other liabilities - Sanofi (current)</w:t>
            </w:r>
          </w:p>
        </w:tc>
        <w:tc>
          <w:tcPr>
            <w:tcW w:w="16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4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Sanofi (noncurrent)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40" w:type="dxa"/>
            <w:vAlign w:val="bottom"/>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Deferred revenue - other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104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 - Sanofi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482.0</w:t>
            </w:r>
          </w:p>
        </w:tc>
        <w:tc>
          <w:tcPr>
            <w:tcW w:w="1040" w:type="dxa"/>
            <w:vAlign w:val="bottom"/>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317.7</w:t>
            </w:r>
          </w:p>
        </w:tc>
        <w:tc>
          <w:tcPr>
            <w:tcW w:w="1040" w:type="dxa"/>
            <w:vAlign w:val="bottom"/>
          </w:tcPr>
          <w:p>
            <w:pPr>
              <w:spacing w:after="0"/>
              <w:rPr>
                <w:sz w:val="21"/>
                <w:szCs w:val="21"/>
                <w:color w:val="auto"/>
              </w:rPr>
            </w:pPr>
          </w:p>
        </w:tc>
      </w:tr>
      <w:tr>
        <w:trPr>
          <w:trHeight w:val="837"/>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2019</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7"/>
              </w:rPr>
              <w:t>As Previously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As Previously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Statement of Operations Data:</w:t>
            </w:r>
          </w:p>
        </w:tc>
        <w:tc>
          <w:tcPr>
            <w:tcW w:w="14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16"/>
                <w:szCs w:val="16"/>
                <w:color w:val="auto"/>
              </w:rPr>
            </w:pPr>
          </w:p>
        </w:tc>
        <w:tc>
          <w:tcPr>
            <w:tcW w:w="124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As Revised</w:t>
            </w:r>
          </w:p>
        </w:tc>
        <w:tc>
          <w:tcPr>
            <w:tcW w:w="140" w:type="dxa"/>
            <w:vAlign w:val="bottom"/>
          </w:tcPr>
          <w:p>
            <w:pPr>
              <w:spacing w:after="0"/>
              <w:rPr>
                <w:sz w:val="16"/>
                <w:szCs w:val="16"/>
                <w:color w:val="auto"/>
              </w:rPr>
            </w:pPr>
          </w:p>
        </w:tc>
        <w:tc>
          <w:tcPr>
            <w:tcW w:w="12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Reported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16"/>
                <w:szCs w:val="16"/>
                <w:color w:val="auto"/>
              </w:rPr>
            </w:pPr>
          </w:p>
        </w:tc>
        <w:tc>
          <w:tcPr>
            <w:tcW w:w="116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w w:val="90"/>
              </w:rPr>
              <w:t>As Revised</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60" w:type="dxa"/>
            <w:vAlign w:val="bottom"/>
            <w:tcBorders>
              <w:top w:val="single" w:sz="8" w:color="auto"/>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Bayer collaboration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565.2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1,933.7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1,577.8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3,645.5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1,048.3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885.5</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1,690.1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(318.5)</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2"/>
          </w:tcPr>
          <w:p>
            <w:pPr>
              <w:spacing w:after="0" w:line="176" w:lineRule="exact"/>
              <w:rPr>
                <w:sz w:val="20"/>
                <w:szCs w:val="20"/>
                <w:color w:val="auto"/>
              </w:rPr>
            </w:pPr>
            <w:r>
              <w:rPr>
                <w:rFonts w:ascii="Arial" w:cs="Arial" w:eastAsia="Arial" w:hAnsi="Arial"/>
                <w:sz w:val="18"/>
                <w:szCs w:val="18"/>
                <w:color w:val="auto"/>
                <w:w w:val="99"/>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85.5</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color w:val="auto"/>
              </w:rPr>
              <w:t>193.8</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manufacturing</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Other operating (income) expense,</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1,618.1</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1,262.2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2,849.9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40" w:right="120" w:firstLine="2"/>
        <w:spacing w:after="0" w:line="226" w:lineRule="auto"/>
        <w:tabs>
          <w:tab w:leader="none" w:pos="403"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In addition to the reclassification of certain amounts in connection with the change in accounting presentation described above, the Company also reclassified certain immaterial reimbursements that were previously classified as collaboration revenue to Cost of collaboration and contract manufacturing.</w:t>
      </w:r>
    </w:p>
    <w:p>
      <w:pPr>
        <w:spacing w:after="0" w:line="28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2019</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Previously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Cash Flows Data:</w:t>
            </w:r>
          </w:p>
        </w:tc>
        <w:tc>
          <w:tcPr>
            <w:tcW w:w="180" w:type="dxa"/>
            <w:vAlign w:val="bottom"/>
          </w:tcPr>
          <w:p>
            <w:pPr>
              <w:spacing w:after="0"/>
              <w:rPr>
                <w:sz w:val="16"/>
                <w:szCs w:val="16"/>
                <w:color w:val="auto"/>
              </w:rPr>
            </w:pPr>
          </w:p>
        </w:tc>
        <w:tc>
          <w:tcPr>
            <w:tcW w:w="14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16"/>
                <w:szCs w:val="16"/>
                <w:color w:val="auto"/>
              </w:rPr>
            </w:pPr>
          </w:p>
        </w:tc>
        <w:tc>
          <w:tcPr>
            <w:tcW w:w="148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16"/>
                <w:szCs w:val="16"/>
                <w:color w:val="auto"/>
              </w:rPr>
            </w:pPr>
          </w:p>
        </w:tc>
        <w:tc>
          <w:tcPr>
            <w:tcW w:w="13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w w:val="96"/>
              </w:rPr>
              <w:t>As Revised</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36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Increase in 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Increase in accounts payable, accrued expenses,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our business, financial condition, and results of operations is highly uncertain and subject to change. We considered the potential impact of the COVID-19 pandemic on our estimates and assumptions and there was not a material impact to our condensed consolidated financial statements as of and for the three and six months ended June 30, 2020; however, actual results could differ from those estimates and there may be changes to our estimates in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Accounting Standards Update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as of January 1, 2020.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302"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9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r>
      <w:tr>
        <w:trPr>
          <w:trHeight w:val="48"/>
        </w:trPr>
        <w:tc>
          <w:tcPr>
            <w:tcW w:w="2920" w:type="dxa"/>
            <w:vAlign w:val="bottom"/>
            <w:tcBorders>
              <w:top w:val="single" w:sz="8" w:color="auto"/>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6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2,234.4</w:t>
            </w: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67.6</w:t>
            </w:r>
          </w:p>
        </w:tc>
      </w:tr>
      <w:tr>
        <w:trPr>
          <w:trHeight w:val="27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89"/>
        </w:trPr>
        <w:tc>
          <w:tcPr>
            <w:tcW w:w="29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2,309.7</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560" w:right="1760" w:firstLine="5"/>
        <w:spacing w:after="0" w:line="219" w:lineRule="auto"/>
        <w:tabs>
          <w:tab w:leader="none" w:pos="1653"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Effective April 1, 2020, the Company is solely responsible for the development and commercialization of Praluent in the United States and records net product sales of Praluent in the United States. See Note 3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 Sales to each of these customers as a percentage of the Company's total gross product revenue are as follows:</w:t>
      </w:r>
    </w:p>
    <w:p>
      <w:pPr>
        <w:spacing w:after="0" w:line="27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5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6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Besse Medical, a subsidiary of AmerisourceBergen</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McKesson Corporation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entered into various collaborative arrangements to research, develop, manufacture, and commercialize product candidates and utilize our technology platforms.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 summarized in the table and further described below.</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Nature/Type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47" w:lineRule="exact"/>
        <w:rPr>
          <w:sz w:val="20"/>
          <w:szCs w:val="20"/>
          <w:color w:val="auto"/>
        </w:rPr>
      </w:pPr>
    </w:p>
    <w:p>
      <w:pPr>
        <w:ind w:left="180" w:right="140" w:hanging="161"/>
        <w:spacing w:after="0" w:line="235" w:lineRule="auto"/>
        <w:rPr>
          <w:sz w:val="20"/>
          <w:szCs w:val="20"/>
          <w:color w:val="auto"/>
        </w:rPr>
      </w:pPr>
      <w:r>
        <w:rPr>
          <w:rFonts w:ascii="Arial" w:cs="Arial" w:eastAsia="Arial" w:hAnsi="Arial"/>
          <w:sz w:val="18"/>
          <w:szCs w:val="18"/>
          <w:color w:val="auto"/>
        </w:rPr>
        <w:t>Regeneron's share of profits or losses in connection with commercialization of products</w:t>
      </w:r>
    </w:p>
    <w:p>
      <w:pPr>
        <w:ind w:left="20"/>
        <w:spacing w:after="0"/>
        <w:rPr>
          <w:sz w:val="20"/>
          <w:szCs w:val="20"/>
          <w:color w:val="auto"/>
        </w:rPr>
      </w:pPr>
      <w:r>
        <w:rPr>
          <w:rFonts w:ascii="Arial" w:cs="Arial" w:eastAsia="Arial" w:hAnsi="Arial"/>
          <w:sz w:val="18"/>
          <w:szCs w:val="18"/>
          <w:color w:val="auto"/>
        </w:rPr>
        <w:t>Reimbursement for manufacturing of commercial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Royalties and/or sales-based milestones earned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Reimbursement of Regeneron's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right="880" w:hanging="161"/>
        <w:spacing w:after="0" w:line="234" w:lineRule="auto"/>
        <w:rPr>
          <w:sz w:val="20"/>
          <w:szCs w:val="20"/>
          <w:color w:val="auto"/>
        </w:rPr>
      </w:pPr>
      <w:r>
        <w:rPr>
          <w:rFonts w:ascii="Arial" w:cs="Arial" w:eastAsia="Arial" w:hAnsi="Arial"/>
          <w:sz w:val="18"/>
          <w:szCs w:val="18"/>
          <w:color w:val="auto"/>
        </w:rPr>
        <w:t>Regeneron's obligation for its share of collaborator's research and development expenses</w:t>
      </w:r>
    </w:p>
    <w:p>
      <w:pPr>
        <w:spacing w:after="0" w:line="1" w:lineRule="exact"/>
        <w:rPr>
          <w:sz w:val="20"/>
          <w:szCs w:val="20"/>
          <w:color w:val="auto"/>
        </w:rPr>
      </w:pPr>
    </w:p>
    <w:p>
      <w:pPr>
        <w:ind w:left="20" w:right="700"/>
        <w:spacing w:after="0" w:line="325" w:lineRule="auto"/>
        <w:rPr>
          <w:sz w:val="20"/>
          <w:szCs w:val="20"/>
          <w:color w:val="auto"/>
        </w:rPr>
      </w:pPr>
      <w:r>
        <w:rPr>
          <w:rFonts w:ascii="Arial" w:cs="Arial" w:eastAsia="Arial" w:hAnsi="Arial"/>
          <w:sz w:val="16"/>
          <w:szCs w:val="16"/>
          <w:color w:val="auto"/>
        </w:rPr>
        <w:t>Up-front and development milestone payments to collaborator Reimbursement of Regeneron's commercialization-related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right="380" w:hanging="161"/>
        <w:spacing w:after="0" w:line="234" w:lineRule="auto"/>
        <w:rPr>
          <w:sz w:val="20"/>
          <w:szCs w:val="20"/>
          <w:color w:val="auto"/>
        </w:rPr>
      </w:pPr>
      <w:r>
        <w:rPr>
          <w:rFonts w:ascii="Arial" w:cs="Arial" w:eastAsia="Arial" w:hAnsi="Arial"/>
          <w:sz w:val="18"/>
          <w:szCs w:val="18"/>
          <w:color w:val="auto"/>
        </w:rPr>
        <w:t>Regeneron's obligation for its share of collaborator's commercialization-related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80" w:right="60" w:hanging="161"/>
        <w:spacing w:after="0" w:line="234" w:lineRule="auto"/>
        <w:rPr>
          <w:sz w:val="20"/>
          <w:szCs w:val="20"/>
          <w:color w:val="auto"/>
        </w:rPr>
      </w:pPr>
      <w:r>
        <w:rPr>
          <w:rFonts w:ascii="Arial" w:cs="Arial" w:eastAsia="Arial" w:hAnsi="Arial"/>
          <w:sz w:val="18"/>
          <w:szCs w:val="18"/>
          <w:color w:val="auto"/>
        </w:rPr>
        <w:t>Regeneron's obligation to pay collaborator for its share of gross profits when Regeneron is deemed to be the principal</w:t>
      </w:r>
    </w:p>
    <w:p>
      <w:pPr>
        <w:spacing w:after="0" w:line="1" w:lineRule="exact"/>
        <w:rPr>
          <w:sz w:val="20"/>
          <w:szCs w:val="20"/>
          <w:color w:val="auto"/>
        </w:rPr>
      </w:pPr>
    </w:p>
    <w:p>
      <w:pPr>
        <w:ind w:left="180" w:hanging="161"/>
        <w:spacing w:after="0" w:line="224" w:lineRule="auto"/>
        <w:rPr>
          <w:sz w:val="20"/>
          <w:szCs w:val="20"/>
          <w:color w:val="auto"/>
        </w:rPr>
      </w:pPr>
      <w:r>
        <w:rPr>
          <w:rFonts w:ascii="Arial" w:cs="Arial" w:eastAsia="Arial" w:hAnsi="Arial"/>
          <w:sz w:val="18"/>
          <w:szCs w:val="18"/>
          <w:color w:val="auto"/>
        </w:rPr>
        <w:t>Up-front and development milestones earned (when we have a combined unit of account which includes a license and providing research and development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40" w:firstLine="1230"/>
        <w:spacing w:after="0" w:line="360" w:lineRule="auto"/>
        <w:rPr>
          <w:sz w:val="20"/>
          <w:szCs w:val="20"/>
          <w:color w:val="auto"/>
        </w:rPr>
      </w:pPr>
      <w:r>
        <w:rPr>
          <w:rFonts w:ascii="Arial" w:cs="Arial" w:eastAsia="Arial" w:hAnsi="Arial"/>
          <w:sz w:val="18"/>
          <w:szCs w:val="18"/>
          <w:b w:val="1"/>
          <w:bCs w:val="1"/>
          <w:color w:val="auto"/>
        </w:rPr>
        <w:t xml:space="preserve">Statement of Operations Presentation </w:t>
      </w:r>
      <w:r>
        <w:rPr>
          <w:rFonts w:ascii="Arial" w:cs="Arial" w:eastAsia="Arial" w:hAnsi="Arial"/>
          <w:sz w:val="18"/>
          <w:szCs w:val="18"/>
          <w:color w:val="auto"/>
        </w:rPr>
        <w:t>Collaboration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Reduction to Research and development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Reduction to Selling, general, and administrative expense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w:t>
      </w:r>
    </w:p>
    <w:p>
      <w:pPr>
        <w:spacing w:after="0" w:line="559" w:lineRule="exact"/>
        <w:rPr>
          <w:sz w:val="20"/>
          <w:szCs w:val="20"/>
          <w:color w:val="auto"/>
        </w:rPr>
      </w:pPr>
    </w:p>
    <w:p>
      <w:pPr>
        <w:sectPr>
          <w:pgSz w:w="11900" w:h="16838" w:orient="portrait"/>
          <w:cols w:equalWidth="0" w:num="2">
            <w:col w:w="5620" w:space="260"/>
            <w:col w:w="5360"/>
          </w:cols>
          <w:pgMar w:left="320" w:top="130" w:right="339" w:bottom="1440" w:gutter="0" w:footer="0" w:header="0"/>
          <w:type w:val="continuous"/>
        </w:sectPr>
      </w:pPr>
    </w:p>
    <w:p>
      <w:pPr>
        <w:spacing w:after="0" w:line="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agreements involving multiple goods or services promised to be transferred to our collaborator, we must assess, at the inception of the contract, whether each promise represents a separate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w:t>
      </w:r>
      <w:r>
        <w:rPr>
          <w:rFonts w:ascii="Arial" w:cs="Arial" w:eastAsia="Arial" w:hAnsi="Arial"/>
          <w:sz w:val="16"/>
          <w:szCs w:val="16"/>
          <w:i w:val="1"/>
          <w:iCs w:val="1"/>
          <w:color w:val="auto"/>
        </w:rPr>
        <w:t>i.e.</w:t>
      </w:r>
      <w:r>
        <w:rPr>
          <w:rFonts w:ascii="Arial" w:cs="Arial" w:eastAsia="Arial" w:hAnsi="Arial"/>
          <w:sz w:val="16"/>
          <w:szCs w:val="16"/>
          <w:color w:val="auto"/>
        </w:rPr>
        <w:t>,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we are entitled to reimbursement of all or a portion of the research and development expenses that we incur under a collaboration, we record those reimbursable amounts in the period in which such costs are incurred. In connection with the commercialization phase of our collaborative arrangements, we may be obligated to perform commercialization-related activities on behalf of the collaboration. If we are reimbursed for all or a portion of costs incurred for the commercialization-related activities, we record those reimbursable amounts in the period in which such costs are incurred.</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103" w:lineRule="exact"/>
        <w:rPr>
          <w:sz w:val="20"/>
          <w:szCs w:val="20"/>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obligated to use commercially reasonable efforts to supply commercial product to our collaborator, we may be reimbursed for our manufacturing costs as commercial product is shipped to the collaborator; however, recognition of such cost reimbursements is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such quarter. These estimates are reconciled to actual results in the subsequent fiscal quarter, and collaboration revenue is adjusted accordingly, as necessary.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0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8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4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840" w:type="dxa"/>
            <w:vAlign w:val="bottom"/>
            <w:gridSpan w:val="2"/>
          </w:tcPr>
          <w:p>
            <w:pPr>
              <w:ind w:left="86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w w:val="93"/>
              </w:rPr>
              <w:t>Regeneron's share of profits in connection with</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commercial supplies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w w:val="95"/>
              </w:rPr>
              <w:t>Reimbursement of research and development</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Regeneron's obligation for its share of Sanofi</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Research and development expense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w w:val="98"/>
              </w:rPr>
              <w:t>Reimbursement of commercialization-related</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Regeneron's share of losses in connection with</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commercialization of Libtayo outside the</w:t>
            </w: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commercial supplies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Reimbursement of research and development</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w w:val="98"/>
              </w:rPr>
              <w:t>Reimbursement of commercialization-related</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obligation for Sanofi's share of</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Libtayo U.S. gross profits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20"/>
              <w:spacing w:after="0" w:line="176" w:lineRule="exact"/>
              <w:rPr>
                <w:sz w:val="20"/>
                <w:szCs w:val="20"/>
                <w:color w:val="auto"/>
              </w:rPr>
            </w:pPr>
            <w:r>
              <w:rPr>
                <w:rFonts w:ascii="Arial" w:cs="Arial" w:eastAsia="Arial" w:hAnsi="Arial"/>
                <w:sz w:val="18"/>
                <w:szCs w:val="18"/>
                <w:color w:val="auto"/>
              </w:rPr>
              <w:t>Amounts recognized in connection with up-</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front payments received</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8 and Note 10 for information regarding Sanofi's sale of our Common Stock during the second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party 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companies' Antibody License and Collaboration Agreement (the "LCA"), following receipt of the first positive Phase 3 trial results for a co-developed drug candidate, subsequent Phase 3 trial-related costs for that drug candidate ("Shared Phase 3 Trial Costs") are generally shared 80% by Sanofi and 20% by Regeneron. All other agreed-upon worldwide development expenses incurred by both companies are funded by Sanofi.</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Note 10 for additional information regarding shares purchased by us from Sanofi during the three and six months ended June 30, 2020 and 2019.</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co-commercialize such products. See discussion below related to the development and commercialization of Praluent effective April 1, 2020. In addition to profit and loss sharing, the Company is entitled to receive up to $250.0 million in sales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milestone payments, with milestone payments commencing after aggregate annual sales of antibodies outside the United States (including Praluent) exceed $1.0 billion on a rolling twelve-month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272.7</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328.8</w:t>
            </w:r>
          </w:p>
        </w:tc>
      </w:tr>
    </w:tbl>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is the last quarter for which Sanofi and the Company will share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12 for discussion of legal proceedings related to Praluent.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certain shares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from Sanofi. See Note 10 for additional information regarding shares purchased by us from Sanofi during the three and six months ended June 30, 2020 and 2019.</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(see Note 2 for related product sales information), while Sanofi leads commercialization activities outside of the United States and the parties equally share profits and losses from worldwide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7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June 30, 2020 was $1.020 billion.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24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Statement of Operations</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480" w:type="dxa"/>
            <w:vAlign w:val="bottom"/>
            <w:gridSpan w:val="2"/>
          </w:tcPr>
          <w:p>
            <w:pPr>
              <w:ind w:left="68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Regeneron's net profit in connection with</w:t>
            </w:r>
          </w:p>
        </w:tc>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Bayer collaboration revenue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7"/>
              </w:rPr>
              <w:t>commercialization of EYLEA outside the United</w:t>
            </w:r>
          </w:p>
        </w:tc>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230.9</w:t>
            </w:r>
          </w:p>
        </w:tc>
        <w:tc>
          <w:tcPr>
            <w:tcW w:w="3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484.7</w:t>
            </w:r>
          </w:p>
        </w:tc>
        <w:tc>
          <w:tcPr>
            <w:tcW w:w="2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0"/>
              <w:spacing w:after="0" w:line="176" w:lineRule="exact"/>
              <w:rPr>
                <w:sz w:val="20"/>
                <w:szCs w:val="20"/>
                <w:color w:val="auto"/>
              </w:rPr>
            </w:pPr>
            <w:r>
              <w:rPr>
                <w:rFonts w:ascii="Arial" w:cs="Arial" w:eastAsia="Arial" w:hAnsi="Arial"/>
                <w:sz w:val="18"/>
                <w:szCs w:val="18"/>
                <w:color w:val="auto"/>
                <w:w w:val="98"/>
              </w:rPr>
              <w:t>Reimbursement for manufacturing of commercial</w:t>
            </w:r>
          </w:p>
        </w:tc>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Bayer collaboration revenue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Arial" w:cs="Arial" w:eastAsia="Arial" w:hAnsi="Arial"/>
                <w:sz w:val="18"/>
                <w:szCs w:val="18"/>
                <w:color w:val="auto"/>
              </w:rPr>
              <w:t>supplies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w:t>
            </w:r>
          </w:p>
        </w:tc>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Regeneron's obligation for its share of Bayer</w:t>
            </w:r>
          </w:p>
        </w:tc>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Research and development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Reimbursement of other expenses</w:t>
            </w:r>
          </w:p>
        </w:tc>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Cost of collaboration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 In addition, the Company and Bayer share the funding of agreed-upon EYLEA development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194"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other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123.0</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the Company and Teva entered into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 The Company is also responsible for the manufacture and supply of fasinumab globally.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Teva Collaboration Agreement are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right="280" w:hanging="161"/>
        <w:spacing w:after="0" w:line="235" w:lineRule="auto"/>
        <w:rPr>
          <w:sz w:val="20"/>
          <w:szCs w:val="20"/>
          <w:color w:val="auto"/>
        </w:rPr>
      </w:pPr>
      <w:r>
        <w:rPr>
          <w:rFonts w:ascii="Arial" w:cs="Arial" w:eastAsia="Arial" w:hAnsi="Arial"/>
          <w:sz w:val="18"/>
          <w:szCs w:val="18"/>
          <w:color w:val="auto"/>
        </w:rPr>
        <w:t>Reimbursement of research and development expenses</w:t>
      </w:r>
    </w:p>
    <w:p>
      <w:pPr>
        <w:spacing w:after="0" w:line="13" w:lineRule="exact"/>
        <w:rPr>
          <w:sz w:val="20"/>
          <w:szCs w:val="20"/>
          <w:color w:val="auto"/>
        </w:rPr>
      </w:pPr>
    </w:p>
    <w:p>
      <w:pPr>
        <w:jc w:val="right"/>
        <w:ind w:left="140"/>
        <w:spacing w:after="0" w:line="289" w:lineRule="auto"/>
        <w:rPr>
          <w:sz w:val="20"/>
          <w:szCs w:val="20"/>
          <w:color w:val="auto"/>
        </w:rPr>
      </w:pPr>
      <w:r>
        <w:rPr>
          <w:rFonts w:ascii="Arial" w:cs="Arial" w:eastAsia="Arial" w:hAnsi="Arial"/>
          <w:sz w:val="16"/>
          <w:szCs w:val="16"/>
          <w:color w:val="auto"/>
        </w:rPr>
        <w:t>Amounts recognized in connection with up-front and development milestone payments received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Statement of Operations</w:t>
            </w: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20" w:type="dxa"/>
            <w:vAlign w:val="bottom"/>
          </w:tcPr>
          <w:p>
            <w:pPr>
              <w:jc w:val="right"/>
              <w:ind w:right="370"/>
              <w:spacing w:after="0" w:line="169" w:lineRule="exact"/>
              <w:rPr>
                <w:sz w:val="20"/>
                <w:szCs w:val="20"/>
                <w:color w:val="auto"/>
              </w:rPr>
            </w:pPr>
            <w:r>
              <w:rPr>
                <w:rFonts w:ascii="Arial" w:cs="Arial" w:eastAsia="Arial" w:hAnsi="Arial"/>
                <w:sz w:val="18"/>
                <w:szCs w:val="18"/>
                <w:color w:val="auto"/>
                <w:w w:val="88"/>
              </w:rPr>
              <w:t>Reduction of Research and</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2540" w:type="dxa"/>
            <w:vAlign w:val="bottom"/>
            <w:gridSpan w:val="2"/>
          </w:tcPr>
          <w:p>
            <w:pPr>
              <w:jc w:val="right"/>
              <w:ind w:right="820"/>
              <w:spacing w:after="0"/>
              <w:rPr>
                <w:sz w:val="20"/>
                <w:szCs w:val="20"/>
                <w:color w:val="auto"/>
              </w:rPr>
            </w:pPr>
            <w:r>
              <w:rPr>
                <w:rFonts w:ascii="Arial" w:cs="Arial" w:eastAsia="Arial" w:hAnsi="Arial"/>
                <w:sz w:val="18"/>
                <w:szCs w:val="18"/>
                <w:color w:val="auto"/>
                <w:w w:val="96"/>
              </w:rPr>
              <w:t>development expense</w:t>
            </w:r>
          </w:p>
        </w:tc>
        <w:tc>
          <w:tcPr>
            <w:tcW w:w="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jc w:val="right"/>
              <w:ind w:right="820"/>
              <w:spacing w:after="0"/>
              <w:rPr>
                <w:sz w:val="20"/>
                <w:szCs w:val="20"/>
                <w:color w:val="auto"/>
              </w:rPr>
            </w:pPr>
            <w:r>
              <w:rPr>
                <w:rFonts w:ascii="Arial" w:cs="Arial" w:eastAsia="Arial" w:hAnsi="Arial"/>
                <w:sz w:val="18"/>
                <w:szCs w:val="18"/>
                <w:color w:val="auto"/>
                <w:w w:val="90"/>
              </w:rPr>
              <w:t>Other operating income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20"/>
                <w:szCs w:val="2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-505460</wp:posOffset>
            </wp:positionV>
            <wp:extent cx="6978015"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78015" cy="26543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680" w:space="180"/>
            <w:col w:w="738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40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 other</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28.5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77.9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114.4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estimated consideration under the Teva Collaboration Agreement related to the Company's obligation that was unsatisfied (or partially unsatisfied) as of June 30, 2020 was $173.3 million. This amount is expected to be recognized over the remaining period in which the Company is obligated to satisfy its obligation in connection with performing development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Intellia</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The parties collaborate to conduct research for the discovery, development, and commercialization of new therapies,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research and technology development of the CRISPR/Cas9 platform.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we or Intellia select pursuant to the target selection process may be subject to a co-development and co-commercialization arrangement at our option or Intellia’s option, as applicable.</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2020, we expanded our existing collaboration with Intellia to provide us with rights to develop products for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edited products. In connection with the agreement, we made a $70.0 million up-front payment, which was recorded to Research and development expense in the second quarter of 2020, and purchased 925,218 shares of Intellia common stock for an aggregate purchase price of $30.0 million. The amount paid in excess of the fair market value of the shares purchased, or $15.0 million, was also recorded to Research and development expense in the second quarter of 2020.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Biomedical Advanced Research Development Authority ("BARDA")</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first quarter of 2020, we announced an expansion of our Other Transaction Agreement ("OTA") with BARDA, pursuant to which U.S. Department of Health and Human Services ("HHS") is obligated to fund 80% of our costs incurred for certain research and development activities related to COVID-19 treatments. In July 2020, we entered into an agreement with entities acting at the direction of BARDA and the U.S. Department of Defense to manufacture and deliver filled and finished REGN-COV2 to the U.S. Government. The agreement could result in payments to the Company of up to $450.2 million in the aggregate for bulk manufacturing of the drug substance, as well as fill/finish and storage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basic and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654.2</w:t>
            </w:r>
          </w:p>
        </w:tc>
      </w:tr>
      <w:tr>
        <w:trPr>
          <w:trHeight w:val="270"/>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(Shares 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109.1</w:t>
            </w: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7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115.0</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r>
      <w:tr>
        <w:trPr>
          <w:trHeight w:val="27"/>
        </w:trPr>
        <w:tc>
          <w:tcPr>
            <w:tcW w:w="3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436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22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21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r>
      <w:tr>
        <w:trPr>
          <w:trHeight w:val="244"/>
        </w:trPr>
        <w:tc>
          <w:tcPr>
            <w:tcW w:w="220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2180" w:type="dxa"/>
            <w:vAlign w:val="bottom"/>
          </w:tcPr>
          <w:p>
            <w:pPr>
              <w:spacing w:after="0"/>
              <w:rPr>
                <w:sz w:val="21"/>
                <w:szCs w:val="21"/>
                <w:color w:val="auto"/>
              </w:rPr>
            </w:pPr>
          </w:p>
        </w:tc>
      </w:tr>
      <w:tr>
        <w:trPr>
          <w:trHeight w:val="243"/>
        </w:trPr>
        <w:tc>
          <w:tcPr>
            <w:tcW w:w="2200" w:type="dxa"/>
            <w:vAlign w:val="bottom"/>
          </w:tcPr>
          <w:p>
            <w:pPr>
              <w:spacing w:after="0"/>
              <w:rPr>
                <w:sz w:val="21"/>
                <w:szCs w:val="21"/>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2320"/>
              <w:spacing w:after="0"/>
              <w:rPr>
                <w:sz w:val="20"/>
                <w:szCs w:val="20"/>
                <w:color w:val="auto"/>
              </w:rPr>
            </w:pPr>
            <w:r>
              <w:rPr>
                <w:rFonts w:ascii="Arial" w:cs="Arial" w:eastAsia="Arial" w:hAnsi="Arial"/>
                <w:sz w:val="18"/>
                <w:szCs w:val="18"/>
                <w:color w:val="auto"/>
              </w:rPr>
              <w:t>—</w:t>
            </w:r>
          </w:p>
        </w:tc>
      </w:tr>
      <w:tr>
        <w:trPr>
          <w:trHeight w:val="837"/>
        </w:trPr>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8"/>
        </w:trPr>
        <w:tc>
          <w:tcPr>
            <w:tcW w:w="22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Marketable securities as of June 30, 2020 and December 31, 2019 consist of both available-for-sale debt securities of investment grade issuers (see below and Note 6) as well as equity securities of publicly traded companies (see Note 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As of June 30, 2020</w:t>
            </w:r>
          </w:p>
        </w:tc>
        <w:tc>
          <w:tcPr>
            <w:tcW w:w="180" w:type="dxa"/>
            <w:vAlign w:val="bottom"/>
          </w:tcPr>
          <w:p>
            <w:pPr>
              <w:spacing w:after="0"/>
              <w:rPr>
                <w:sz w:val="17"/>
                <w:szCs w:val="17"/>
                <w:color w:val="auto"/>
              </w:rPr>
            </w:pPr>
          </w:p>
        </w:tc>
        <w:tc>
          <w:tcPr>
            <w:tcW w:w="124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6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380" w:type="dxa"/>
            <w:vAlign w:val="bottom"/>
          </w:tcPr>
          <w:p>
            <w:pPr>
              <w:spacing w:after="0"/>
              <w:rPr>
                <w:sz w:val="17"/>
                <w:szCs w:val="17"/>
                <w:color w:val="auto"/>
              </w:rPr>
            </w:pPr>
          </w:p>
        </w:tc>
        <w:tc>
          <w:tcPr>
            <w:tcW w:w="10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2,434.4</w:t>
            </w:r>
          </w:p>
        </w:tc>
      </w:tr>
      <w:tr>
        <w:trPr>
          <w:trHeight w:val="243"/>
        </w:trPr>
        <w:tc>
          <w:tcPr>
            <w:tcW w:w="2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82.7</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r>
      <w:tr>
        <w:trPr>
          <w:trHeight w:val="243"/>
        </w:trPr>
        <w:tc>
          <w:tcPr>
            <w:tcW w:w="2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283.7</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2,890.3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2,934.5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2019</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3,988.1</w:t>
            </w:r>
          </w:p>
        </w:tc>
      </w:tr>
      <w:tr>
        <w:trPr>
          <w:trHeight w:val="243"/>
        </w:trPr>
        <w:tc>
          <w:tcPr>
            <w:tcW w:w="2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ind w:left="4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92.3</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72.4</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4,206.3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4,234.5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June 30, 2020 mature at various dates through July 2025. The fair values of available-for-sale debt security investments by contractual maturity consist of the following:</w:t>
      </w:r>
    </w:p>
    <w:p>
      <w:pPr>
        <w:spacing w:after="0" w:line="261"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1,596.5</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2,638.0</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after five years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2,934.5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4,234.5</w:t>
            </w: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Less than 12 Months</w:t>
            </w:r>
          </w:p>
        </w:tc>
        <w:tc>
          <w:tcPr>
            <w:tcW w:w="2580" w:type="dxa"/>
            <w:vAlign w:val="bottom"/>
            <w:gridSpan w:val="4"/>
          </w:tcPr>
          <w:p>
            <w:pPr>
              <w:ind w:left="40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Total</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2020</w:t>
            </w:r>
          </w:p>
        </w:tc>
        <w:tc>
          <w:tcPr>
            <w:tcW w:w="160" w:type="dxa"/>
            <w:vAlign w:val="bottom"/>
          </w:tcPr>
          <w:p>
            <w:pPr>
              <w:spacing w:after="0"/>
              <w:rPr>
                <w:sz w:val="16"/>
                <w:szCs w:val="16"/>
                <w:color w:val="auto"/>
              </w:rPr>
            </w:pPr>
          </w:p>
        </w:tc>
        <w:tc>
          <w:tcPr>
            <w:tcW w:w="114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0"/>
              </w:rPr>
              <w:t>Loss</w:t>
            </w:r>
          </w:p>
        </w:tc>
        <w:tc>
          <w:tcPr>
            <w:tcW w:w="12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Fair Value</w:t>
            </w:r>
          </w:p>
        </w:tc>
        <w:tc>
          <w:tcPr>
            <w:tcW w:w="1300" w:type="dxa"/>
            <w:vAlign w:val="bottom"/>
            <w:gridSpan w:val="2"/>
          </w:tcPr>
          <w:p>
            <w:pPr>
              <w:ind w:left="420"/>
              <w:spacing w:after="0" w:line="194" w:lineRule="exact"/>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7"/>
              </w:rPr>
              <w:t>Fair 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2019</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257.2</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6"/>
              </w:rPr>
              <w:t>U.S. government and government agency</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18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274.5</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realized gains on sales of marketable securities were $28.0 million and $28.3 million, respectively, and realized losses were not material. There were no realized losses on sales of marketable securities, and realized gains were not material, for the three and six months ended June 30, 2019.</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marketable securities, for the three and six months ended June 30, 2020 and 2019, amounts reclassified from Accumulated other comprehensive income into Other income (expense), net were related to realized gains on sales of available-for-sale debt securities (as described above).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8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93"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34290</wp:posOffset>
            </wp:positionV>
            <wp:extent cx="2228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3"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As of June 30, 2020</w:t>
            </w:r>
          </w:p>
        </w:tc>
        <w:tc>
          <w:tcPr>
            <w:tcW w:w="28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r>
      <w:tr>
        <w:trPr>
          <w:trHeight w:val="48"/>
        </w:trPr>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0"/>
        </w:trPr>
        <w:tc>
          <w:tcPr>
            <w:tcW w:w="5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2,434.4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2,434.4</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r>
      <w:tr>
        <w:trPr>
          <w:trHeight w:val="243"/>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28.2</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283.7</w:t>
            </w:r>
          </w:p>
        </w:tc>
      </w:tr>
      <w:tr>
        <w:trPr>
          <w:trHeight w:val="243"/>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105.5</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gridSpan w:val="3"/>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751.9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15.4</w:t>
            </w:r>
          </w:p>
        </w:tc>
      </w:tr>
      <w:tr>
        <w:trPr>
          <w:trHeight w:val="27"/>
        </w:trPr>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14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3,739.6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789.7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2,949.9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2019</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3,988.1</w:t>
            </w:r>
          </w:p>
        </w:tc>
      </w:tr>
      <w:tr>
        <w:trPr>
          <w:trHeight w:val="243"/>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54.4</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Sovereign bonds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r>
      <w:tr>
        <w:trPr>
          <w:trHeight w:val="243"/>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92.3</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72.4</w:t>
            </w:r>
          </w:p>
        </w:tc>
      </w:tr>
      <w:tr>
        <w:trPr>
          <w:trHeight w:val="243"/>
        </w:trPr>
        <w:tc>
          <w:tcPr>
            <w:tcW w:w="5180" w:type="dxa"/>
            <w:vAlign w:val="bottom"/>
            <w:gridSpan w:val="3"/>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4,853.3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8"/>
              </w:rPr>
              <w:t>618.8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4,234.5</w:t>
            </w: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certain restricted equity securities as of June 30, 2020 which are subject to transfer restrictions that expire at various dates through 2024.</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2020, we recorded $228.1 million and $171.3 million of net unrealized gains, respectively, on equity securities in Other income (expense), net. During the three and six months ended June 30, 2019, we recorded $116.9 million and $74.1 million, respectively, of net unrealized losses on equity securities in Other income (expense), net.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investments summarized in the table above, as of June 30, 2020 and December 31, 2019, the Company had $70.6 million and $55.6 million, respectively, in equity investments that do not have a readily determinable fair value. These investments are recorded within Other noncurrent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62"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2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727.7</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400.9</w:t>
            </w: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28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1,415.5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10, we purchased shares of our Common Stock from Sanofi, in connection with Sanofi's secondary offering of our Common Stock held by Sanofi, with a combination of cash on hand, proceeds from the sale of marketable securities, and proceeds from loans under a $1.5 billion senior unsecured 364-day bridge loan facility (the "Bridge Facility") which was entered into in May 2020. The loans under the Bridge Facility bear interest at a variable interest rate based on either the London Interbank Offered Rate or the alternate base rate, plus an applicable margin that varies with our debt rating and total leverage ratio. The interest rate on the loans under the Bridge Facility was 2.75% as of June 30, 2020. The Bridge Facility will mature, and all amounts outstanding thereunder will become due and payable, in May 2021. Amounts borrowed under the Bridge Facility may be prepaid at any time without premium or penalty. As of June 30, 2020, $1.5 billion remained outstanding under the Bridge Facility.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governing the Bridge Facility (the "Bridge Credit Agreement") contains financial and operating covenants, which are substantially similar to the covenants set forth in our existing $750.0 million senior unsecured five-year revolving credit facility. Financial covenants include a maximum total leverage ratio and a minimum interest expense coverage ratio. We were in compliance with all covenants of the Bridge Credit Agreement as of June 30,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U.S. federal, state, and foreign income taxes. The Company's effective tax rate was 2.4% and 14.1% for the three months ended June 30, 2020 and 2019, respectively, and 4.1% and 15.1% for the six months ended June 30, 2020 and 2019, respectively. The Company's effective tax rate for the three and six months ended June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for the three and six months ended June 30, 2019 was positively impacted, compared to the U.S. federal statutory rate, primarily by income earned in foreign jurisdictions with tax rates lower than the U.S. federal statutory rate, stock-based compensation, federal tax credits for research activities, and, to a lesser extent, the foreign-derived intangible income deduction, partly offset by the taxation of certain global intangible low-taxed income and the non-deductible Branded Prescription Drug Fee.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permits the Company to effect repurchases through a variety of methods,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table below summarizes the shares of our Common Stock we repurchased during 2020 under the program and the cost of the shares received, which were recorded as Treasury Stock. There were no shares repurchased under the program during the three months ended June 30, 2020.</w:t>
      </w:r>
    </w:p>
    <w:p>
      <w:pPr>
        <w:spacing w:after="0" w:line="115"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2020</w:t>
            </w:r>
          </w:p>
        </w:tc>
      </w:tr>
      <w:tr>
        <w:trPr>
          <w:trHeight w:val="27"/>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719,167</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272.8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had $473.1 million which remained available for share repurchases under the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3, effective January 2018, we have agreed to allow Sanofi to satisfy in whole or in part its funding obligations with respect to Libtayo development costs and/or Dupilumab/REGN3500 Eligible Investments by selling our Common Stock directly or indirectly owned by Sanofi. The table below summarizes the shares of our Common Stock Sanofi elected to sell, and we elected to purchase, to satisfy Sanofi's funding obligations and the cost of the shares received, which were recorded as Treasury Stock:</w:t>
      </w:r>
    </w:p>
    <w:p>
      <w:pPr>
        <w:spacing w:after="0" w:line="169"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June 30,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9"/>
              </w:rPr>
              <w:t>2019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40"/>
              <w:spacing w:after="0" w:line="176" w:lineRule="exact"/>
              <w:rPr>
                <w:sz w:val="20"/>
                <w:szCs w:val="20"/>
                <w:color w:val="auto"/>
              </w:rPr>
            </w:pPr>
            <w:r>
              <w:rPr>
                <w:rFonts w:ascii="Arial" w:cs="Arial" w:eastAsia="Arial" w:hAnsi="Arial"/>
                <w:sz w:val="18"/>
                <w:szCs w:val="18"/>
                <w:color w:val="auto"/>
                <w:w w:val="96"/>
              </w:rPr>
              <w:t>Number of shares purchased (by issuing a credit towards the</w:t>
            </w:r>
          </w:p>
        </w:tc>
        <w:tc>
          <w:tcPr>
            <w:tcW w:w="20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34,050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77,677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106,972</w:t>
            </w:r>
          </w:p>
        </w:tc>
        <w:tc>
          <w:tcPr>
            <w:tcW w:w="0" w:type="dxa"/>
            <w:vAlign w:val="bottom"/>
          </w:tcPr>
          <w:p>
            <w:pPr>
              <w:spacing w:after="0"/>
              <w:rPr>
                <w:sz w:val="1"/>
                <w:szCs w:val="1"/>
                <w:color w:val="auto"/>
              </w:rPr>
            </w:pPr>
          </w:p>
        </w:tc>
      </w:tr>
      <w:tr>
        <w:trPr>
          <w:trHeight w:val="230"/>
        </w:trPr>
        <w:tc>
          <w:tcPr>
            <w:tcW w:w="4960" w:type="dxa"/>
            <w:vAlign w:val="bottom"/>
          </w:tcPr>
          <w:p>
            <w:pPr>
              <w:ind w:left="400"/>
              <w:spacing w:after="0"/>
              <w:rPr>
                <w:sz w:val="20"/>
                <w:szCs w:val="20"/>
                <w:color w:val="auto"/>
              </w:rPr>
            </w:pPr>
            <w:r>
              <w:rPr>
                <w:rFonts w:ascii="Arial" w:cs="Arial" w:eastAsia="Arial" w:hAnsi="Arial"/>
                <w:sz w:val="18"/>
                <w:szCs w:val="18"/>
                <w:color w:val="auto"/>
              </w:rPr>
              <w:t>amount owed by Sanofi)</w:t>
            </w: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shares received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Dupilumab/REGN3500:</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Number of shares purchased (in cash)</w:t>
            </w: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86,184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171,471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24,143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shares received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279,766 shares of our Common Stock remained available for sale by Sanofi to satisfy its funding obligations with respect to Libtayo development costs and/or Dupilumab/REGN3500 Eligible Investments through September 30,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Purchased from Sanofi</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 billion (the "Stock Purchase"). As a result of the Secondary Offering and the Stock Purchase, Sanofi disposed of all of its shares of our Common Stock, other than 400,000 shares that it retained as of the closing of the Secondary Offering and the Stock Purchase (which Sanofi has used, and may continue to use, for the funding of certain development costs described above). See Note 8 for additional information.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247"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6"/>
        </w:trPr>
        <w:tc>
          <w:tcPr>
            <w:tcW w:w="5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Total cash, cash equivalents, and restricted cash shown in the Condensed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2,004.7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 of Cash Flows</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accounts payable, accrued expenses, and other liabilities as of June 30, 2020 and December 31, 2019 were $87.4 million and $133.7 million, respectively, of accrued capital expenditures. Included in accounts payable, accrued expenses, and other liabilities as of June 30, 2019 and December 31, 2018 were $74.7 million and $54.5 million, respectively, of accrued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June 30, 2020 and December 31, 2019, the Company had accruals for loss contingencies of $132.2 million and $100.0 million, respectively. If the Company were unable to prevail in any such proceedings, its consolidated financial position, results of operations, and future cash flows may be materially impacted.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'287 Patent and '163 Patent</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Thereafter, the Supreme Court of the United Kingdom granted Kymab's application for permission to appeal the order made by the Court of Appeal with respect to an issue of validity of the '287 Patent and the '163 Patent. An oral hearing was held on February 11–12, 2020. On June 24, 2020, the Supreme Court of the United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Kingdom overturned the decision of the Court of Appeal on validity and held that the '287 and '163 Patents are each invalid on the ground of insufficiency.</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reported global settlement.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2019, Amgen filed a renewed motion for a permanent injunction to prohibit the Company and the Sanofi 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has been discontinued. On July 12, 2019, the Company and Sanofi appealed the July 11 Decision to the Higher Regional Court of Düsseldorf (the "Higher Regional Court"). An oral hearing on the merits of the appeal to the Higher Regional Court (originally scheduled for April 2, 2020) has been rescheduled for November 5, 2020. On August 5, 2019 and October 31, 2019, the Higher Regional Court denied the Company and Sanofi's requests for a stay of preliminary enforcement of the July 11 Decision pending the appeal on the merits.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17, 2019, Amgen initiated a lawsuit alleging infringement of the Dutch designation of the '124 Patent in the District Court 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A trial has been scheduled for October 30, 2020.</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20, 2019, Amgen filed a lawsuit for infringement of the Italian designation of the '124 Patent in the Tribunale di Milano - Enterprise Chamber in Milan, Italy, against Sanofi-Aventis Groupe S.A., Sanofi Chimie, and Sanofi SpA. The Company has not been named as a defendant in this action. Amgen alleges that the production, importation, and commercialization of Praluent (alirocumab) in Italy infringes the '124 Patent. The writ of summons filed by Amgen seeks, among other things, a declaration of infringement, a permanent injunction, withdrawal of product from the market, and damages. On June 24, 2020, Amgen also filed a preliminary injunction motion against the Sanofi parties.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Amgen also filed a lawsuit alleging infringement of the Spanish designation of the '124 Patent in the Juzgado de lo Mercantil No. 5 (Commercial Court) in Barcelona, Spain, against Sanofi-Aventis, S.A. The Company has not been named as a defendant in this action. Amgen alleges, among other things, patent infringement based on the manufacture, offering for sale, introduction into the market, use, and importation or possession of Praluent (alirocumab) in Spain. Amgen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seeks, among other things, a permanent injunction, withdrawal of Praluent from the market, seizure and destruction of Praluent from the market and in storage, and damages in the form of lost profits and costs and expenses. On May 12, 2020, the court stayed this lawsuit until October 30, 2020 on terms mutually agreed by the parties.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(the "TBA") of the EPO on November 30, 2018. An oral hearing before the TBA has been rescheduled for October 28–29,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Sanofi K.K. appealed the IPHC's decision in the infringement proceedings to the Supreme Court of Japan on November 12, 2019. On April 24, 2020, the Supreme Court of Japan declined to hear the appeal filed by Sanofi K.K. in the infringement proceedings and the injunction issued by the Tokyo District Court became effective. Sanofi K.K. subsequently complied with the injunction and, as a result, the commercialization of Praluent in Japan has been discontinued. On March 31, 2020, Amgen filed a related lawsuit in the Tokyo District Court against Sanofi K.K. seeking damages incurred by Amgen as a result of the finding of infringement of the '333 Patent and the '288 Patent. The Company has not been named as a defendant in this damages action.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 and oral argument has been scheduled for August 5, 2020.</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Investigations</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3"/>
          <w:szCs w:val="23"/>
          <w:color w:val="auto"/>
          <w:vertAlign w:val="superscript"/>
        </w:rPr>
        <w:t>®</w:t>
      </w:r>
      <w:r>
        <w:rPr>
          <w:rFonts w:ascii="Arial" w:cs="Arial" w:eastAsia="Arial" w:hAnsi="Arial"/>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Arial" w:cs="Arial" w:eastAsia="Arial" w:hAnsi="Arial"/>
          <w:sz w:val="16"/>
          <w:szCs w:val="16"/>
          <w:i w:val="1"/>
          <w:iCs w:val="1"/>
          <w:color w:val="auto"/>
        </w:rPr>
        <w:t>i.e.</w:t>
      </w:r>
      <w:r>
        <w:rPr>
          <w:rFonts w:ascii="Arial" w:cs="Arial" w:eastAsia="Arial" w:hAnsi="Arial"/>
          <w:sz w:val="16"/>
          <w:szCs w:val="16"/>
          <w:color w:val="auto"/>
        </w:rPr>
        <w:t>, the period when the President of the United States (or his designee) can disapprove any ITC decision to issue an exclusion order or cease-and-desist order).</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19, 2020, Novartis also filed a patent infringement lawsuit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treble damages, costs and expenses of the lawsuits, and attorneys' fees. On July 30, 2020, the court granted the Company's motion to stay these proceedings until a determination in the ITC proceedings discussed above, including any appeals therefrom, becomes final.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On July 16, 2020, the Company initiated two IPR petitions in the USPTO seeking a declaration of invalidity of the '631 Patent on two separate grounds.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in the United States District Court for the Southern District of New York seeking a declaration that the '631 Patent is unenforceable and a judgment that the defendants' conduct violates Sections 1 and 2 of the Sherman Antitrust Act of 1890, as amended. The Company is also seeking injunctive relief and treble damages.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May 21, 2020, the Company and Teva Pharmaceutical Industries Limited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A trial has been scheduled to commence in late November or early December 2021.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(sarilumab) Injection, fasinumab, evinacumab, REGN-EB3, garetosmab, pozelimab, REGN-COV2, Regeneron's oncology programs (including its costimulatory bispecific portfolio), Regeneron's earlier-stage programs, and the use of human genetics in Regeneron's research programs; the likelihood and timing of achieving any of our anticipated development milestones referenced in this report;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our late-stage product candidates and new indications for Regeneron's Products, including without limitation EYLEA, Dupixent, Libtayo, Praluent, Kevzara, fasinumab, evinacumab, REGN-EB3, garetosmab, pozelimab, REGN-COV2, and REGN1979;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described further in Note 12 to our Condensed Consolidated Financial Statements included in this report), other litigation and other proceedings and government investigations relating to the Company and/or its operations (including without limitation those described in Note 12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is summarized as follows:</w:t>
      </w:r>
    </w:p>
    <w:p>
      <w:pPr>
        <w:spacing w:after="0" w:line="289"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240" w:type="dxa"/>
            <w:vAlign w:val="bottom"/>
          </w:tcPr>
          <w:p>
            <w:pPr>
              <w:spacing w:after="0"/>
              <w:rPr>
                <w:sz w:val="18"/>
                <w:szCs w:val="18"/>
                <w:color w:val="auto"/>
              </w:rPr>
            </w:pPr>
          </w:p>
        </w:tc>
        <w:tc>
          <w:tcPr>
            <w:tcW w:w="20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2019</w:t>
            </w:r>
            <w:r>
              <w:rPr>
                <w:rFonts w:ascii="Arial" w:cs="Arial" w:eastAsia="Arial" w:hAnsi="Arial"/>
                <w:sz w:val="23"/>
                <w:szCs w:val="23"/>
                <w:b w:val="1"/>
                <w:bCs w:val="1"/>
                <w:color w:val="auto"/>
                <w:w w:val="91"/>
                <w:vertAlign w:val="superscript"/>
              </w:rPr>
              <w:t>*</w:t>
            </w: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654.2</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r>
      <w:tr>
        <w:trPr>
          <w:trHeight w:val="27"/>
        </w:trPr>
        <w:tc>
          <w:tcPr>
            <w:tcW w:w="3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1740" w:right="1980"/>
        <w:spacing w:after="0" w:line="207" w:lineRule="auto"/>
        <w:tabs>
          <w:tab w:leader="none" w:pos="1819"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Certain revisions have been made to the previously reported June 30, 2019 revenues. See Note 1 to our Condensed Consolidated Financial Statements for further details.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seven products that have received marketing approval, which are currently marketed by us, Bayer, and/or Sanofi:</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2151380" cy="1859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1380" cy="1859915"/>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EYLEA (aflibercept) Injection</w:t>
      </w:r>
      <w:r>
        <w:rPr>
          <w:rFonts w:ascii="Arial" w:cs="Arial" w:eastAsia="Arial" w:hAnsi="Arial"/>
          <w:sz w:val="22"/>
          <w:szCs w:val="22"/>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Dupixent (dupilumab) Injection</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Territory</w:t>
            </w:r>
          </w:p>
        </w:tc>
        <w:tc>
          <w:tcPr>
            <w:tcW w:w="90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180" w:type="dxa"/>
            <w:vAlign w:val="bottom"/>
            <w:tcBorders>
              <w:bottom w:val="single" w:sz="8" w:color="CCEEFF"/>
            </w:tcBorders>
          </w:tcPr>
          <w:p>
            <w:pPr>
              <w:spacing w:after="0"/>
              <w:rPr>
                <w:sz w:val="22"/>
                <w:szCs w:val="22"/>
                <w:color w:val="auto"/>
              </w:rPr>
            </w:pPr>
          </w:p>
        </w:tc>
        <w:tc>
          <w:tcPr>
            <w:tcW w:w="34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Disease Area</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30"/>
                <w:szCs w:val="30"/>
                <w:b w:val="1"/>
                <w:bCs w:val="1"/>
                <w:color w:val="auto"/>
                <w:w w:val="96"/>
                <w:vertAlign w:val="subscript"/>
              </w:rPr>
              <w:t>ROW</w:t>
            </w:r>
            <w:r>
              <w:rPr>
                <w:rFonts w:ascii="Arial" w:cs="Arial" w:eastAsia="Arial" w:hAnsi="Arial"/>
                <w:sz w:val="11"/>
                <w:szCs w:val="11"/>
                <w:b w:val="1"/>
                <w:bCs w:val="1"/>
                <w:color w:val="auto"/>
                <w:w w:val="96"/>
              </w:rPr>
              <w:t>(6)</w:t>
            </w:r>
          </w:p>
        </w:tc>
      </w:tr>
      <w:tr>
        <w:trPr>
          <w:trHeight w:val="222"/>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1"/>
              </w:rPr>
              <w:t>Neovascular age-related macular degeneration</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("wet AMD")</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5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occlusion ("RVO"), which includes macular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4"/>
              </w:rPr>
              <w:t>edema following central retinal vein occlusion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("CRVO") and macular edema following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branch retinal vein occlusion ("BRVO")</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30"/>
        </w:trPr>
        <w:tc>
          <w:tcPr>
            <w:tcW w:w="18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Borders>
              <w:bottom w:val="single" w:sz="8" w:color="CCEEFF"/>
            </w:tcBorders>
            <w:shd w:val="clear" w:color="auto" w:fill="CCEEFF"/>
          </w:tcPr>
          <w:p>
            <w:pPr>
              <w:spacing w:after="0"/>
              <w:rPr>
                <w:sz w:val="24"/>
                <w:szCs w:val="24"/>
                <w:color w:val="auto"/>
              </w:rPr>
            </w:pPr>
          </w:p>
        </w:tc>
      </w:tr>
      <w:tr>
        <w:trPr>
          <w:trHeight w:val="28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0"/>
                <w:szCs w:val="20"/>
                <w:color w:val="auto"/>
              </w:rPr>
            </w:pPr>
            <w:r>
              <w:rPr>
                <w:rFonts w:ascii="Arial" w:cs="Arial" w:eastAsia="Arial" w:hAnsi="Arial"/>
                <w:sz w:val="18"/>
                <w:szCs w:val="18"/>
                <w:color w:val="auto"/>
                <w:w w:val="91"/>
              </w:rPr>
              <w:t>Atopic dermatitis (in adults and adolescents)</w:t>
            </w:r>
            <w:r>
              <w:rPr>
                <w:rFonts w:ascii="Arial" w:cs="Arial" w:eastAsia="Arial" w:hAnsi="Arial"/>
                <w:sz w:val="23"/>
                <w:szCs w:val="23"/>
                <w:color w:val="auto"/>
                <w:w w:val="91"/>
                <w:vertAlign w:val="superscript"/>
              </w:rPr>
              <w:t>(7)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24"/>
                <w:szCs w:val="24"/>
                <w:color w:val="auto"/>
              </w:rPr>
            </w:pPr>
          </w:p>
        </w:tc>
        <w:tc>
          <w:tcPr>
            <w:tcW w:w="600" w:type="dxa"/>
            <w:vAlign w:val="bottom"/>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w w:val="97"/>
              </w:rPr>
              <w:t>-  Atopic dermatitis (in pediatrics 6–11 years of</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age)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2">
            <w:col w:w="2680" w:space="720"/>
            <w:col w:w="7680"/>
          </w:cols>
          <w:pgMar w:left="320" w:top="13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Libtayo (cemiplimab) Injection</w:t>
      </w:r>
      <w:r>
        <w:rPr>
          <w:rFonts w:ascii="Arial" w:cs="Arial" w:eastAsia="Arial" w:hAnsi="Arial"/>
          <w:sz w:val="20"/>
          <w:szCs w:val="20"/>
          <w:color w:val="auto"/>
          <w:vertAlign w:val="superscript"/>
        </w:rPr>
        <w:t>(3)(4)</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Praluent (alirocumab) Injection</w:t>
      </w:r>
      <w:r>
        <w:rPr>
          <w:rFonts w:ascii="Arial" w:cs="Arial" w:eastAsia="Arial" w:hAnsi="Arial"/>
          <w:sz w:val="22"/>
          <w:szCs w:val="22"/>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Asthma (in adults and adolescents)</w:t>
            </w:r>
          </w:p>
        </w:tc>
        <w:tc>
          <w:tcPr>
            <w:tcW w:w="960" w:type="dxa"/>
            <w:vAlign w:val="bottom"/>
          </w:tcPr>
          <w:p>
            <w:pPr>
              <w:ind w:left="420"/>
              <w:spacing w:after="0"/>
              <w:rPr>
                <w:sz w:val="20"/>
                <w:szCs w:val="20"/>
                <w:color w:val="auto"/>
              </w:rPr>
            </w:pPr>
            <w:r>
              <w:rPr>
                <w:rFonts w:ascii="Arial" w:cs="Arial" w:eastAsia="Arial" w:hAnsi="Arial"/>
                <w:sz w:val="18"/>
                <w:szCs w:val="18"/>
                <w:color w:val="auto"/>
              </w:rPr>
              <w:t>a</w:t>
            </w:r>
          </w:p>
        </w:tc>
        <w:tc>
          <w:tcPr>
            <w:tcW w:w="1020" w:type="dxa"/>
            <w:vAlign w:val="bottom"/>
          </w:tcPr>
          <w:p>
            <w:pPr>
              <w:ind w:left="460"/>
              <w:spacing w:after="0"/>
              <w:rPr>
                <w:sz w:val="20"/>
                <w:szCs w:val="20"/>
                <w:color w:val="auto"/>
              </w:rPr>
            </w:pPr>
            <w:r>
              <w:rPr>
                <w:rFonts w:ascii="Arial" w:cs="Arial" w:eastAsia="Arial" w:hAnsi="Arial"/>
                <w:sz w:val="18"/>
                <w:szCs w:val="18"/>
                <w:color w:val="auto"/>
              </w:rPr>
              <w:t>a</w:t>
            </w:r>
          </w:p>
        </w:tc>
        <w:tc>
          <w:tcPr>
            <w:tcW w:w="1020" w:type="dxa"/>
            <w:vAlign w:val="bottom"/>
          </w:tcPr>
          <w:p>
            <w:pPr>
              <w:ind w:left="460"/>
              <w:spacing w:after="0"/>
              <w:rPr>
                <w:sz w:val="20"/>
                <w:szCs w:val="20"/>
                <w:color w:val="auto"/>
              </w:rPr>
            </w:pPr>
            <w:r>
              <w:rPr>
                <w:rFonts w:ascii="Arial" w:cs="Arial" w:eastAsia="Arial" w:hAnsi="Arial"/>
                <w:sz w:val="18"/>
                <w:szCs w:val="18"/>
                <w:color w:val="auto"/>
              </w:rPr>
              <w:t>a</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18"/>
                <w:szCs w:val="18"/>
                <w:color w:val="auto"/>
              </w:rPr>
              <w:t>-  Chronic rhinosinusitis with nasal polyposis</w:t>
            </w:r>
          </w:p>
        </w:tc>
        <w:tc>
          <w:tcPr>
            <w:tcW w:w="960" w:type="dxa"/>
            <w:vAlign w:val="bottom"/>
          </w:tcPr>
          <w:p>
            <w:pPr>
              <w:ind w:left="420"/>
              <w:spacing w:after="0"/>
              <w:rPr>
                <w:sz w:val="20"/>
                <w:szCs w:val="20"/>
                <w:color w:val="auto"/>
              </w:rPr>
            </w:pPr>
            <w:r>
              <w:rPr>
                <w:rFonts w:ascii="Arial" w:cs="Arial" w:eastAsia="Arial" w:hAnsi="Arial"/>
                <w:sz w:val="18"/>
                <w:szCs w:val="18"/>
                <w:color w:val="auto"/>
              </w:rPr>
              <w:t>a</w:t>
            </w:r>
          </w:p>
        </w:tc>
        <w:tc>
          <w:tcPr>
            <w:tcW w:w="1020" w:type="dxa"/>
            <w:vAlign w:val="bottom"/>
          </w:tcPr>
          <w:p>
            <w:pPr>
              <w:ind w:left="460"/>
              <w:spacing w:after="0"/>
              <w:rPr>
                <w:sz w:val="20"/>
                <w:szCs w:val="20"/>
                <w:color w:val="auto"/>
              </w:rPr>
            </w:pPr>
            <w:r>
              <w:rPr>
                <w:rFonts w:ascii="Arial" w:cs="Arial" w:eastAsia="Arial" w:hAnsi="Arial"/>
                <w:sz w:val="18"/>
                <w:szCs w:val="18"/>
                <w:color w:val="auto"/>
              </w:rPr>
              <w:t>a</w:t>
            </w:r>
          </w:p>
        </w:tc>
        <w:tc>
          <w:tcPr>
            <w:tcW w:w="1020" w:type="dxa"/>
            <w:vAlign w:val="bottom"/>
          </w:tcPr>
          <w:p>
            <w:pPr>
              <w:ind w:left="460"/>
              <w:spacing w:after="0"/>
              <w:rPr>
                <w:sz w:val="20"/>
                <w:szCs w:val="20"/>
                <w:color w:val="auto"/>
              </w:rPr>
            </w:pPr>
            <w:r>
              <w:rPr>
                <w:rFonts w:ascii="Arial" w:cs="Arial" w:eastAsia="Arial" w:hAnsi="Arial"/>
                <w:sz w:val="18"/>
                <w:szCs w:val="18"/>
                <w:color w:val="auto"/>
              </w:rPr>
              <w:t>a</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("CRSwNP")</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18"/>
                <w:szCs w:val="18"/>
                <w:color w:val="auto"/>
              </w:rPr>
              <w:t>-  Metastatic or locally advanced cutaneous</w:t>
            </w:r>
          </w:p>
        </w:tc>
        <w:tc>
          <w:tcPr>
            <w:tcW w:w="960" w:type="dxa"/>
            <w:vAlign w:val="bottom"/>
          </w:tcPr>
          <w:p>
            <w:pPr>
              <w:ind w:left="420"/>
              <w:spacing w:after="0"/>
              <w:rPr>
                <w:sz w:val="20"/>
                <w:szCs w:val="20"/>
                <w:color w:val="auto"/>
              </w:rPr>
            </w:pPr>
            <w:r>
              <w:rPr>
                <w:rFonts w:ascii="Arial" w:cs="Arial" w:eastAsia="Arial" w:hAnsi="Arial"/>
                <w:sz w:val="18"/>
                <w:szCs w:val="18"/>
                <w:color w:val="auto"/>
              </w:rPr>
              <w:t>a</w:t>
            </w:r>
          </w:p>
        </w:tc>
        <w:tc>
          <w:tcPr>
            <w:tcW w:w="1020" w:type="dxa"/>
            <w:vAlign w:val="bottom"/>
          </w:tcPr>
          <w:p>
            <w:pPr>
              <w:ind w:left="460"/>
              <w:spacing w:after="0"/>
              <w:rPr>
                <w:sz w:val="20"/>
                <w:szCs w:val="20"/>
                <w:color w:val="auto"/>
              </w:rPr>
            </w:pPr>
            <w:r>
              <w:rPr>
                <w:rFonts w:ascii="Arial" w:cs="Arial" w:eastAsia="Arial" w:hAnsi="Arial"/>
                <w:sz w:val="18"/>
                <w:szCs w:val="18"/>
                <w:color w:val="auto"/>
              </w:rPr>
              <w:t>a</w:t>
            </w:r>
          </w:p>
        </w:tc>
        <w:tc>
          <w:tcPr>
            <w:tcW w:w="1020" w:type="dxa"/>
            <w:vAlign w:val="bottom"/>
          </w:tcPr>
          <w:p>
            <w:pPr>
              <w:spacing w:after="0"/>
              <w:rPr>
                <w:sz w:val="22"/>
                <w:szCs w:val="22"/>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squamous cell carcinoma ("CSCC")</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20" w:type="dxa"/>
            <w:vAlign w:val="bottom"/>
            <w:vMerge w:val="restart"/>
          </w:tcPr>
          <w:p>
            <w:pPr>
              <w:spacing w:after="0"/>
              <w:rPr>
                <w:sz w:val="20"/>
                <w:szCs w:val="20"/>
                <w:color w:val="auto"/>
              </w:rPr>
            </w:pPr>
            <w:r>
              <w:rPr>
                <w:rFonts w:ascii="Arial" w:cs="Arial" w:eastAsia="Arial" w:hAnsi="Arial"/>
                <w:sz w:val="18"/>
                <w:szCs w:val="18"/>
                <w:color w:val="auto"/>
              </w:rPr>
              <w:t>-  LDL-lowering in heterozygous familial</w:t>
            </w:r>
          </w:p>
        </w:tc>
        <w:tc>
          <w:tcPr>
            <w:tcW w:w="960" w:type="dxa"/>
            <w:vAlign w:val="bottom"/>
            <w:vMerge w:val="restart"/>
          </w:tcPr>
          <w:p>
            <w:pPr>
              <w:ind w:left="420"/>
              <w:spacing w:after="0"/>
              <w:rPr>
                <w:sz w:val="20"/>
                <w:szCs w:val="20"/>
                <w:color w:val="auto"/>
              </w:rPr>
            </w:pPr>
            <w:r>
              <w:rPr>
                <w:rFonts w:ascii="Arial" w:cs="Arial" w:eastAsia="Arial" w:hAnsi="Arial"/>
                <w:sz w:val="18"/>
                <w:szCs w:val="18"/>
                <w:color w:val="auto"/>
              </w:rPr>
              <w:t>a</w:t>
            </w:r>
          </w:p>
        </w:tc>
        <w:tc>
          <w:tcPr>
            <w:tcW w:w="1020" w:type="dxa"/>
            <w:vAlign w:val="bottom"/>
            <w:vMerge w:val="restart"/>
          </w:tcPr>
          <w:p>
            <w:pPr>
              <w:ind w:left="460"/>
              <w:spacing w:after="0"/>
              <w:rPr>
                <w:sz w:val="20"/>
                <w:szCs w:val="20"/>
                <w:color w:val="auto"/>
              </w:rPr>
            </w:pPr>
            <w:r>
              <w:rPr>
                <w:rFonts w:ascii="Arial" w:cs="Arial" w:eastAsia="Arial" w:hAnsi="Arial"/>
                <w:sz w:val="18"/>
                <w:szCs w:val="18"/>
                <w:color w:val="auto"/>
              </w:rPr>
              <w:t>a</w:t>
            </w:r>
          </w:p>
        </w:tc>
        <w:tc>
          <w:tcPr>
            <w:tcW w:w="1020" w:type="dxa"/>
            <w:vAlign w:val="bottom"/>
          </w:tcPr>
          <w:p>
            <w:pPr>
              <w:ind w:left="440"/>
              <w:spacing w:after="0"/>
              <w:rPr>
                <w:sz w:val="20"/>
                <w:szCs w:val="20"/>
                <w:color w:val="auto"/>
              </w:rPr>
            </w:pPr>
            <w:r>
              <w:rPr>
                <w:rFonts w:ascii="Arial" w:cs="Arial" w:eastAsia="Arial" w:hAnsi="Arial"/>
                <w:sz w:val="12"/>
                <w:szCs w:val="12"/>
                <w:color w:val="auto"/>
              </w:rPr>
              <w:t>(9)</w:t>
            </w:r>
          </w:p>
        </w:tc>
        <w:tc>
          <w:tcPr>
            <w:tcW w:w="540" w:type="dxa"/>
            <w:vAlign w:val="bottom"/>
            <w:vMerge w:val="restart"/>
          </w:tcPr>
          <w:p>
            <w:pPr>
              <w:ind w:left="440"/>
              <w:spacing w:after="0"/>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73"/>
        </w:trPr>
        <w:tc>
          <w:tcPr>
            <w:tcW w:w="3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hypercholesterolemia ("HeFH") or clinical</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atherosclerotic cardiovascular disease</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("ASCVD") (in adults)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-873760</wp:posOffset>
            </wp:positionV>
            <wp:extent cx="691769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7690" cy="30861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720" w:space="680"/>
            <w:col w:w="7680"/>
          </w:cols>
          <w:pgMar w:left="320" w:top="130" w:right="499" w:bottom="1440" w:gutter="0" w:footer="0" w:header="0"/>
          <w:type w:val="continuous"/>
        </w:sectPr>
      </w:pPr>
    </w:p>
    <w:p>
      <w:pPr>
        <w:ind w:left="3400"/>
        <w:spacing w:after="0"/>
        <w:tabs>
          <w:tab w:leader="none" w:pos="7520" w:val="left"/>
          <w:tab w:leader="none" w:pos="8520" w:val="left"/>
          <w:tab w:leader="none" w:pos="10540" w:val="left"/>
        </w:tabs>
        <w:rPr>
          <w:sz w:val="20"/>
          <w:szCs w:val="20"/>
          <w:color w:val="auto"/>
        </w:rPr>
      </w:pPr>
      <w:r>
        <w:rPr>
          <w:rFonts w:ascii="Arial" w:cs="Arial" w:eastAsia="Arial" w:hAnsi="Arial"/>
          <w:sz w:val="18"/>
          <w:szCs w:val="18"/>
          <w:color w:val="auto"/>
        </w:rPr>
        <w:t>-  Cardiovascular risk reduction in patients with</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established cardiovascular disease</w:t>
      </w:r>
    </w:p>
    <w:p>
      <w:pPr>
        <w:sectPr>
          <w:pgSz w:w="11900" w:h="16838" w:orient="portrait"/>
          <w:cols w:equalWidth="0" w:num="1">
            <w:col w:w="11080"/>
          </w:cols>
          <w:pgMar w:left="320" w:top="130" w:right="499" w:bottom="1440" w:gutter="0" w:footer="0" w:header="0"/>
          <w:type w:val="continuous"/>
        </w:sectPr>
      </w:pPr>
    </w:p>
    <w:p>
      <w:pPr>
        <w:spacing w:after="0" w:line="35" w:lineRule="exact"/>
        <w:rPr>
          <w:sz w:val="20"/>
          <w:szCs w:val="20"/>
          <w:color w:val="auto"/>
        </w:rPr>
      </w:pPr>
    </w:p>
    <w:p>
      <w:pPr>
        <w:ind w:left="200" w:right="460"/>
        <w:spacing w:after="0" w:line="214" w:lineRule="auto"/>
        <w:rPr>
          <w:sz w:val="20"/>
          <w:szCs w:val="20"/>
          <w:color w:val="auto"/>
        </w:rPr>
      </w:pPr>
      <w:r>
        <w:rPr>
          <w:rFonts w:ascii="Arial" w:cs="Arial" w:eastAsia="Arial" w:hAnsi="Arial"/>
          <w:sz w:val="18"/>
          <w:szCs w:val="18"/>
          <w:color w:val="auto"/>
        </w:rPr>
        <w:t>Kevzara (sarilumab) Solution for Subcutaneous Injection</w:t>
      </w:r>
      <w:r>
        <w:rPr>
          <w:rFonts w:ascii="Arial" w:cs="Arial" w:eastAsia="Arial" w:hAnsi="Arial"/>
          <w:sz w:val="23"/>
          <w:szCs w:val="23"/>
          <w:color w:val="auto"/>
          <w:vertAlign w:val="superscript"/>
        </w:rPr>
        <w:t>(3)</w:t>
      </w:r>
    </w:p>
    <w:p>
      <w:pPr>
        <w:spacing w:after="0" w:line="1" w:lineRule="exact"/>
        <w:rPr>
          <w:sz w:val="20"/>
          <w:szCs w:val="20"/>
          <w:color w:val="auto"/>
        </w:rPr>
      </w:pPr>
    </w:p>
    <w:p>
      <w:pPr>
        <w:ind w:left="200"/>
        <w:spacing w:after="0" w:line="198"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(rilonacept) Injection for Subcutaneous Use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tabs>
          <w:tab w:leader="none" w:pos="4120" w:val="left"/>
          <w:tab w:leader="none" w:pos="5120" w:val="left"/>
          <w:tab w:leader="none" w:pos="6140" w:val="left"/>
          <w:tab w:leader="none" w:pos="7140" w:val="left"/>
        </w:tabs>
        <w:rPr>
          <w:sz w:val="20"/>
          <w:szCs w:val="20"/>
          <w:color w:val="auto"/>
        </w:rPr>
      </w:pPr>
      <w:r>
        <w:rPr>
          <w:rFonts w:ascii="Arial" w:cs="Arial" w:eastAsia="Arial" w:hAnsi="Arial"/>
          <w:sz w:val="18"/>
          <w:szCs w:val="18"/>
          <w:color w:val="auto"/>
        </w:rPr>
        <w:t>-  Rheumatoid arthritis ("RA") (in adults)</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-139065</wp:posOffset>
            </wp:positionV>
            <wp:extent cx="691769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7690" cy="257175"/>
                    </a:xfrm>
                    <a:prstGeom prst="rect">
                      <a:avLst/>
                    </a:prstGeom>
                    <a:noFill/>
                  </pic:spPr>
                </pic:pic>
              </a:graphicData>
            </a:graphic>
          </wp:anchor>
        </w:drawing>
      </w:r>
    </w:p>
    <w:p>
      <w:pPr>
        <w:spacing w:after="0" w:line="178"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  Cryopyrin-Associated Periodic Syndromes</w:t>
      </w:r>
      <w:r>
        <w:rPr>
          <w:sz w:val="20"/>
          <w:szCs w:val="20"/>
          <w:color w:val="auto"/>
        </w:rPr>
        <w:tab/>
      </w:r>
      <w:r>
        <w:rPr>
          <w:rFonts w:ascii="Arial" w:cs="Arial" w:eastAsia="Arial" w:hAnsi="Arial"/>
          <w:sz w:val="17"/>
          <w:szCs w:val="17"/>
          <w:color w:val="auto"/>
        </w:rPr>
        <w:t>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("CAPS"), including Familial Cold Auto-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inflammatory Syndrome ("FCAS")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Muckle-Wells Syndrome ("MWS")</w:t>
      </w:r>
    </w:p>
    <w:p>
      <w:pPr>
        <w:spacing w:after="0" w:line="1" w:lineRule="exact"/>
        <w:rPr>
          <w:sz w:val="20"/>
          <w:szCs w:val="20"/>
          <w:color w:val="auto"/>
        </w:rPr>
      </w:pPr>
    </w:p>
    <w:p>
      <w:pPr>
        <w:sectPr>
          <w:pgSz w:w="11900" w:h="16838" w:orient="portrait"/>
          <w:cols w:equalWidth="0" w:num="2">
            <w:col w:w="3040" w:space="360"/>
            <w:col w:w="7680"/>
          </w:cols>
          <w:pgMar w:left="320" w:top="130" w:right="499" w:bottom="1440" w:gutter="0" w:footer="0" w:header="0"/>
          <w:type w:val="continuous"/>
        </w:sectPr>
      </w:pPr>
    </w:p>
    <w:tbl>
      <w:tblPr>
        <w:tblLayout w:type="fixed"/>
        <w:tblInd w:w="180" w:type="dxa"/>
        <w:tblCellMar>
          <w:top w:w="0" w:type="dxa"/>
          <w:left w:w="0" w:type="dxa"/>
          <w:bottom w:w="0" w:type="dxa"/>
          <w:right w:w="0" w:type="dxa"/>
        </w:tblCellMar>
      </w:tblPr>
      <w:tr>
        <w:trPr>
          <w:trHeight w:val="225"/>
        </w:trPr>
        <w:tc>
          <w:tcPr>
            <w:tcW w:w="68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(ziv-aflibercept) Injection for  -  Metastatic colorectal cancer ("mCRC")</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w:t>
            </w:r>
          </w:p>
        </w:tc>
      </w:tr>
      <w:tr>
        <w:trPr>
          <w:trHeight w:val="216"/>
        </w:trPr>
        <w:tc>
          <w:tcPr>
            <w:tcW w:w="68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(8)</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98" w:lineRule="exact"/>
        <w:rPr>
          <w:sz w:val="20"/>
          <w:szCs w:val="20"/>
          <w:color w:val="auto"/>
        </w:rPr>
      </w:pPr>
    </w:p>
    <w:p>
      <w:pPr>
        <w:ind w:left="540" w:hanging="143"/>
        <w:spacing w:after="0"/>
        <w:tabs>
          <w:tab w:leader="none" w:pos="5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Refer to label information in each territory for specific indication</w:t>
      </w:r>
    </w:p>
    <w:p>
      <w:pPr>
        <w:spacing w:after="0" w:line="34" w:lineRule="exact"/>
        <w:rPr>
          <w:rFonts w:ascii="Arial" w:cs="Arial" w:eastAsia="Arial" w:hAnsi="Arial"/>
          <w:sz w:val="17"/>
          <w:szCs w:val="17"/>
          <w:color w:val="auto"/>
          <w:vertAlign w:val="superscript"/>
        </w:rPr>
      </w:pPr>
    </w:p>
    <w:p>
      <w:pPr>
        <w:ind w:left="540" w:hanging="143"/>
        <w:spacing w:after="0" w:line="236" w:lineRule="auto"/>
        <w:tabs>
          <w:tab w:leader="none" w:pos="5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 collaboration with Bayer (outside the United States)</w:t>
      </w:r>
    </w:p>
    <w:p>
      <w:pPr>
        <w:spacing w:after="0" w:line="23" w:lineRule="exact"/>
        <w:rPr>
          <w:rFonts w:ascii="Arial" w:cs="Arial" w:eastAsia="Arial" w:hAnsi="Arial"/>
          <w:sz w:val="17"/>
          <w:szCs w:val="17"/>
          <w:color w:val="auto"/>
          <w:vertAlign w:val="superscript"/>
        </w:rPr>
      </w:pPr>
    </w:p>
    <w:p>
      <w:pPr>
        <w:ind w:left="560" w:hanging="163"/>
        <w:spacing w:after="0" w:line="211" w:lineRule="auto"/>
        <w:tabs>
          <w:tab w:leader="none" w:pos="5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 collaboration with Sanofi</w:t>
      </w:r>
    </w:p>
    <w:p>
      <w:pPr>
        <w:spacing w:after="0" w:line="23" w:lineRule="exact"/>
        <w:rPr>
          <w:rFonts w:ascii="Arial" w:cs="Arial" w:eastAsia="Arial" w:hAnsi="Arial"/>
          <w:sz w:val="19"/>
          <w:szCs w:val="19"/>
          <w:color w:val="auto"/>
          <w:vertAlign w:val="superscript"/>
        </w:rPr>
      </w:pPr>
    </w:p>
    <w:p>
      <w:pPr>
        <w:ind w:left="540" w:hanging="143"/>
        <w:spacing w:after="0" w:line="236" w:lineRule="auto"/>
        <w:tabs>
          <w:tab w:leader="none" w:pos="5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Marketed as Libtayo (cemiplimab-rwlc) Injection in the United States</w:t>
      </w:r>
    </w:p>
    <w:p>
      <w:pPr>
        <w:spacing w:after="0" w:line="23" w:lineRule="exact"/>
        <w:rPr>
          <w:rFonts w:ascii="Arial" w:cs="Arial" w:eastAsia="Arial" w:hAnsi="Arial"/>
          <w:sz w:val="17"/>
          <w:szCs w:val="17"/>
          <w:color w:val="auto"/>
          <w:vertAlign w:val="superscript"/>
        </w:rPr>
      </w:pPr>
    </w:p>
    <w:p>
      <w:pPr>
        <w:ind w:left="400" w:right="80" w:hanging="3"/>
        <w:spacing w:after="0" w:line="217" w:lineRule="auto"/>
        <w:tabs>
          <w:tab w:leader="none" w:pos="563"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Pursuant to the April 2020 agreement, Sanofi pays us a royalty on net product sales of Praluent outside the United States. Refer to "Collaboration and License Agreements" section below for further details.</w:t>
      </w:r>
    </w:p>
    <w:p>
      <w:pPr>
        <w:spacing w:after="0" w:line="12" w:lineRule="exact"/>
        <w:rPr>
          <w:rFonts w:ascii="Arial" w:cs="Arial" w:eastAsia="Arial" w:hAnsi="Arial"/>
          <w:sz w:val="20"/>
          <w:szCs w:val="20"/>
          <w:color w:val="auto"/>
          <w:vertAlign w:val="superscript"/>
        </w:rPr>
      </w:pPr>
    </w:p>
    <w:p>
      <w:pPr>
        <w:ind w:left="400" w:right="680" w:hanging="3"/>
        <w:spacing w:after="0" w:line="219" w:lineRule="auto"/>
        <w:tabs>
          <w:tab w:leader="none" w:pos="563"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Rest of world. Checkmark in this column indicates that the product has received marketing approval in at least one country outside of the United States, European Union ("EU"), or Japan</w:t>
      </w:r>
    </w:p>
    <w:p>
      <w:pPr>
        <w:spacing w:after="0" w:line="1" w:lineRule="exact"/>
        <w:rPr>
          <w:rFonts w:ascii="Arial" w:cs="Arial" w:eastAsia="Arial" w:hAnsi="Arial"/>
          <w:sz w:val="20"/>
          <w:szCs w:val="20"/>
          <w:color w:val="auto"/>
          <w:vertAlign w:val="superscript"/>
        </w:rPr>
      </w:pPr>
    </w:p>
    <w:p>
      <w:pPr>
        <w:ind w:left="560" w:hanging="163"/>
        <w:spacing w:after="0" w:line="237" w:lineRule="auto"/>
        <w:tabs>
          <w:tab w:leader="none" w:pos="5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Approval in Japan is for adults and adolescents 15 years of age and older</w:t>
      </w:r>
    </w:p>
    <w:p>
      <w:pPr>
        <w:spacing w:after="0" w:line="23" w:lineRule="exact"/>
        <w:rPr>
          <w:rFonts w:ascii="Arial" w:cs="Arial" w:eastAsia="Arial" w:hAnsi="Arial"/>
          <w:sz w:val="19"/>
          <w:szCs w:val="19"/>
          <w:color w:val="auto"/>
          <w:vertAlign w:val="superscript"/>
        </w:rPr>
      </w:pPr>
    </w:p>
    <w:p>
      <w:pPr>
        <w:ind w:left="400" w:right="440" w:hanging="3"/>
        <w:spacing w:after="0" w:line="211" w:lineRule="auto"/>
        <w:tabs>
          <w:tab w:leader="none" w:pos="563"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product sales of ZALTRAP</w:t>
      </w:r>
    </w:p>
    <w:p>
      <w:pPr>
        <w:ind w:left="560" w:hanging="163"/>
        <w:spacing w:after="0" w:line="237" w:lineRule="auto"/>
        <w:tabs>
          <w:tab w:leader="none" w:pos="5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No longer marketed by Sanofi in Japan due to injunction (see Note 12 to our Condensed Consolidated Financial Statements for further details)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8"/>
              </w:rPr>
              <w:t>Net Product Sales of Regeneron-Discovered Products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5"/>
              </w:rPr>
              <w:t>Sales Recorded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1,160.3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1,875.6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Dupixent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Kevzara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ZALTRAP</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ARCALYST</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5"/>
              </w:rPr>
              <w:t>Sales Recorded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2,234.4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3,619.1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Dupixent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Kevzara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ZALTRAP</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ARCALYST</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60" w:right="180" w:firstLine="2"/>
        <w:spacing w:after="0" w:line="226" w:lineRule="auto"/>
        <w:tabs>
          <w:tab w:leader="none" w:pos="417"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19"/>
          <w:szCs w:val="19"/>
          <w:color w:val="auto"/>
          <w:vertAlign w:val="superscript"/>
        </w:rPr>
      </w:pPr>
    </w:p>
    <w:p>
      <w:pPr>
        <w:ind w:left="260" w:right="60" w:firstLine="2"/>
        <w:spacing w:after="0" w:line="225" w:lineRule="auto"/>
        <w:tabs>
          <w:tab w:leader="none" w:pos="423"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in connection with (i) sales of Libtayo outside the United States, and (ii) global sales of Dupixent and Kevzara. Sanofi pays the Company a percentage of net sales of ZALTRAP.</w:t>
      </w:r>
    </w:p>
    <w:p>
      <w:pPr>
        <w:spacing w:after="0" w:line="11" w:lineRule="exact"/>
        <w:rPr>
          <w:rFonts w:ascii="Arial" w:cs="Arial" w:eastAsia="Arial" w:hAnsi="Arial"/>
          <w:sz w:val="19"/>
          <w:szCs w:val="19"/>
          <w:color w:val="auto"/>
          <w:vertAlign w:val="superscript"/>
        </w:rPr>
      </w:pPr>
    </w:p>
    <w:p>
      <w:pPr>
        <w:ind w:left="260" w:right="360" w:firstLine="2"/>
        <w:spacing w:after="0" w:line="225" w:lineRule="auto"/>
        <w:tabs>
          <w:tab w:leader="none" w:pos="417"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"Marketed Products" section above and "Collaboration and License Agreements - Sanofi" section below for further details.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in Clinical Development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All 23 of our product candidates in clinical development, including the five U.S. Food and Drug Administration ("FDA") approved products which we are investigating in additional indications, were discovered in our research laboratories and are summarized in the table below. 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platforms. We continue to invest in the development of enabling technologies to assist in our efforts to identify, develop, manufacture, and commercialize new product candidates.</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collaborators conduct clinical trials in multiple countries across the world. The COVID-19 pandemic and the restrictions adopted around the globe to reduce the spread of the disease have impacted and will continue to impact our clinical development programs. We continue to evaluate the impact of the COVID-19 pandemic on an individual trial basis and are</w:t>
      </w:r>
    </w:p>
    <w:p>
      <w:pPr>
        <w:sectPr>
          <w:pgSz w:w="11900" w:h="16838" w:orient="portrait"/>
          <w:cols w:equalWidth="0" w:num="1">
            <w:col w:w="11240"/>
          </w:cols>
          <w:pgMar w:left="320" w:top="130"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working to ensure patient safety, provide sufficient supply of product candidates for the studies, and oversee trial management. At this time, we expect fully enrolled clinical studies to remain generally on track. While the COVID-19 pandemic and the resulting constraints on healthcare resources and local or regional restrictions initially adversely impacted new clinical studies and recruitment of new patients into open studies, enrollment in both new and ongoing clinical studies started to resume as regions relaxed their restrictions and healthcare resources started to become more available for non-COVID-19 activities. However, there has been a resurgence of COVID-19 cases in many regions across the world, and any resurgence of COVID-19 cases in the regions in which we or our collaborators conduct clinical trials may require our expectations relating to the impacted studies to adjust. The ultimate impact (including possible delays) resulting from the COVID-19 pandemic will depend, among other factors, on the extent of the pandemic in the areas with study sites for our or our collaborators' clinical programs. It is possible that the COVID-19 pandemic may cause clinical disruptions beyond those we have described. In addition, there may be delays in the timing of regulatory review and other projected milestones discussed in the table below.</w:t>
      </w:r>
    </w:p>
    <w:p>
      <w:pPr>
        <w:spacing w:after="0" w:line="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Part II,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line="267" w:lineRule="auto"/>
        <w:framePr w:w="1960" w:h="1024" w:wrap="auto" w:vAnchor="page" w:hAnchor="page" w:x="7600" w:y="8606"/>
        <w:rPr>
          <w:rFonts w:ascii="Arial" w:cs="Arial" w:eastAsia="Arial" w:hAnsi="Arial"/>
          <w:sz w:val="16"/>
          <w:szCs w:val="16"/>
          <w:color w:val="auto"/>
        </w:rPr>
      </w:pPr>
      <w:r>
        <w:rPr>
          <w:rFonts w:ascii="Arial" w:cs="Arial" w:eastAsia="Arial" w:hAnsi="Arial"/>
          <w:sz w:val="16"/>
          <w:szCs w:val="16"/>
          <w:color w:val="auto"/>
        </w:rPr>
        <w:t>- Reported that Part A of the Phase 3 trial in adult and adolescent patients with EoE met both co-primary endpoints</w:t>
      </w:r>
    </w:p>
    <w:p>
      <w:pPr>
        <w:spacing w:after="0" w:line="231" w:lineRule="auto"/>
        <w:framePr w:w="1820" w:h="376" w:wrap="auto" w:vAnchor="page" w:hAnchor="page" w:x="7600" w:y="7688"/>
        <w:rPr>
          <w:rFonts w:ascii="Arial" w:cs="Arial" w:eastAsia="Arial" w:hAnsi="Arial"/>
          <w:sz w:val="17"/>
          <w:szCs w:val="17"/>
          <w:color w:val="auto"/>
        </w:rPr>
      </w:pPr>
      <w:r>
        <w:rPr>
          <w:rFonts w:ascii="Arial" w:cs="Arial" w:eastAsia="Arial" w:hAnsi="Arial"/>
          <w:sz w:val="17"/>
          <w:szCs w:val="17"/>
          <w:color w:val="auto"/>
        </w:rPr>
        <w:t>- Approved by FDA for 300 mg auto-injector</w:t>
      </w: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1"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207"/>
        </w:trPr>
        <w:tc>
          <w:tcPr>
            <w:tcW w:w="1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Clinical Program</w:t>
            </w:r>
          </w:p>
        </w:tc>
        <w:tc>
          <w:tcPr>
            <w:tcW w:w="80" w:type="dxa"/>
            <w:vAlign w:val="bottom"/>
          </w:tcPr>
          <w:p>
            <w:pPr>
              <w:spacing w:after="0"/>
              <w:rPr>
                <w:sz w:val="17"/>
                <w:szCs w:val="17"/>
                <w:color w:val="auto"/>
              </w:rPr>
            </w:pPr>
          </w:p>
        </w:tc>
        <w:tc>
          <w:tcPr>
            <w:tcW w:w="10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17"/>
                <w:szCs w:val="17"/>
                <w:color w:val="auto"/>
              </w:rPr>
            </w:pPr>
          </w:p>
        </w:tc>
        <w:tc>
          <w:tcPr>
            <w:tcW w:w="14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17"/>
                <w:szCs w:val="17"/>
                <w:color w:val="auto"/>
              </w:rPr>
            </w:pPr>
          </w:p>
        </w:tc>
        <w:tc>
          <w:tcPr>
            <w:tcW w:w="172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Phase 3</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7"/>
                <w:szCs w:val="17"/>
                <w:color w:val="auto"/>
              </w:rPr>
            </w:pPr>
          </w:p>
        </w:tc>
        <w:tc>
          <w:tcPr>
            <w:tcW w:w="1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2020 Events to Date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Select Upcoming</w:t>
            </w: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8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2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8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(k)</w:t>
            </w:r>
          </w:p>
        </w:tc>
        <w:tc>
          <w:tcPr>
            <w:tcW w:w="0" w:type="dxa"/>
            <w:vAlign w:val="bottom"/>
          </w:tcPr>
          <w:p>
            <w:pPr>
              <w:spacing w:after="0"/>
              <w:rPr>
                <w:sz w:val="1"/>
                <w:szCs w:val="1"/>
                <w:color w:val="auto"/>
              </w:rPr>
            </w:pPr>
          </w:p>
        </w:tc>
      </w:tr>
      <w:tr>
        <w:trPr>
          <w:trHeight w:val="34"/>
        </w:trPr>
        <w:tc>
          <w:tcPr>
            <w:tcW w:w="1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ACACAC"/>
            </w:tcBorders>
            <w:shd w:val="clear" w:color="auto" w:fill="ACACAC"/>
          </w:tcPr>
          <w:p>
            <w:pPr>
              <w:spacing w:after="0"/>
              <w:rPr>
                <w:sz w:val="21"/>
                <w:szCs w:val="21"/>
                <w:color w:val="auto"/>
              </w:rPr>
            </w:pPr>
          </w:p>
        </w:tc>
        <w:tc>
          <w:tcPr>
            <w:tcW w:w="80" w:type="dxa"/>
            <w:vAlign w:val="bottom"/>
            <w:tcBorders>
              <w:bottom w:val="single" w:sz="8" w:color="ACACAC"/>
            </w:tcBorders>
            <w:shd w:val="clear" w:color="auto" w:fill="ACACAC"/>
          </w:tcPr>
          <w:p>
            <w:pPr>
              <w:spacing w:after="0"/>
              <w:rPr>
                <w:sz w:val="21"/>
                <w:szCs w:val="21"/>
                <w:color w:val="auto"/>
              </w:rPr>
            </w:pPr>
          </w:p>
        </w:tc>
        <w:tc>
          <w:tcPr>
            <w:tcW w:w="10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44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720" w:type="dxa"/>
            <w:vAlign w:val="bottom"/>
            <w:tcBorders>
              <w:bottom w:val="single" w:sz="8" w:color="ACACAC"/>
            </w:tcBorders>
            <w:gridSpan w:val="3"/>
            <w:shd w:val="clear" w:color="auto" w:fill="ACACAC"/>
          </w:tcPr>
          <w:p>
            <w:pPr>
              <w:ind w:left="500"/>
              <w:spacing w:after="0"/>
              <w:rPr>
                <w:sz w:val="20"/>
                <w:szCs w:val="20"/>
                <w:color w:val="auto"/>
              </w:rPr>
            </w:pPr>
            <w:r>
              <w:rPr>
                <w:rFonts w:ascii="Arial" w:cs="Arial" w:eastAsia="Arial" w:hAnsi="Arial"/>
                <w:sz w:val="18"/>
                <w:szCs w:val="18"/>
                <w:b w:val="1"/>
                <w:bCs w:val="1"/>
                <w:color w:val="auto"/>
                <w:w w:val="90"/>
              </w:rPr>
              <w:t>Ophthalmology</w:t>
            </w:r>
          </w:p>
        </w:tc>
        <w:tc>
          <w:tcPr>
            <w:tcW w:w="108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8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82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EYLEA</w:t>
            </w:r>
            <w:r>
              <w:rPr>
                <w:rFonts w:ascii="Arial" w:cs="Arial" w:eastAsia="Arial" w:hAnsi="Arial"/>
                <w:sz w:val="21"/>
                <w:szCs w:val="21"/>
                <w:b w:val="1"/>
                <w:bCs w:val="1"/>
                <w:color w:val="auto"/>
                <w:vertAlign w:val="superscript"/>
              </w:rPr>
              <w:t>(b)</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 High-dose</w:t>
            </w:r>
          </w:p>
        </w:tc>
        <w:tc>
          <w:tcPr>
            <w:tcW w:w="18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 Retinopathy of</w:t>
            </w:r>
          </w:p>
        </w:tc>
        <w:tc>
          <w:tcPr>
            <w:tcW w:w="108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 Approved by Ministry</w:t>
            </w: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formulation in wet</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prematurity</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Health, Labour and</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8"/>
                <w:szCs w:val="18"/>
                <w:color w:val="auto"/>
              </w:rPr>
              <w:t>("ROP")</w:t>
            </w:r>
            <w:r>
              <w:rPr>
                <w:rFonts w:ascii="Arial" w:cs="Arial" w:eastAsia="Arial" w:hAnsi="Arial"/>
                <w:sz w:val="23"/>
                <w:szCs w:val="23"/>
                <w:color w:val="auto"/>
                <w:vertAlign w:val="superscript"/>
              </w:rPr>
              <w:t>(c)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Welfare ("MHLW") for</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60" w:type="dxa"/>
            <w:vAlign w:val="bottom"/>
            <w:gridSpan w:val="2"/>
            <w:vMerge w:val="continue"/>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NVG in Japan</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High-dose</w:t>
            </w:r>
          </w:p>
        </w:tc>
        <w:tc>
          <w:tcPr>
            <w:tcW w:w="108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Pre-filled syringe</w:t>
            </w: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formulation in wet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by European</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Commission ("EC")</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High-dose</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formulation in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DME</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ACACAC"/>
          </w:tcPr>
          <w:p>
            <w:pPr>
              <w:spacing w:after="0"/>
              <w:rPr>
                <w:sz w:val="21"/>
                <w:szCs w:val="21"/>
                <w:color w:val="auto"/>
              </w:rPr>
            </w:pPr>
          </w:p>
        </w:tc>
        <w:tc>
          <w:tcPr>
            <w:tcW w:w="80" w:type="dxa"/>
            <w:vAlign w:val="bottom"/>
            <w:shd w:val="clear" w:color="auto" w:fill="ACACAC"/>
          </w:tcPr>
          <w:p>
            <w:pPr>
              <w:spacing w:after="0"/>
              <w:rPr>
                <w:sz w:val="21"/>
                <w:szCs w:val="21"/>
                <w:color w:val="auto"/>
              </w:rPr>
            </w:pPr>
          </w:p>
        </w:tc>
        <w:tc>
          <w:tcPr>
            <w:tcW w:w="100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4360" w:type="dxa"/>
            <w:vAlign w:val="bottom"/>
            <w:gridSpan w:val="6"/>
            <w:shd w:val="clear" w:color="auto" w:fill="ACACAC"/>
          </w:tcPr>
          <w:p>
            <w:pPr>
              <w:ind w:left="1180"/>
              <w:spacing w:after="0"/>
              <w:rPr>
                <w:sz w:val="20"/>
                <w:szCs w:val="20"/>
                <w:color w:val="auto"/>
              </w:rPr>
            </w:pPr>
            <w:r>
              <w:rPr>
                <w:rFonts w:ascii="Arial" w:cs="Arial" w:eastAsia="Arial" w:hAnsi="Arial"/>
                <w:sz w:val="18"/>
                <w:szCs w:val="18"/>
                <w:b w:val="1"/>
                <w:bCs w:val="1"/>
                <w:color w:val="auto"/>
                <w:w w:val="96"/>
              </w:rPr>
              <w:t>Immunology &amp; Inflammatory Diseases</w:t>
            </w:r>
          </w:p>
        </w:tc>
        <w:tc>
          <w:tcPr>
            <w:tcW w:w="120" w:type="dxa"/>
            <w:vAlign w:val="bottom"/>
            <w:shd w:val="clear" w:color="auto" w:fill="ACACAC"/>
          </w:tcPr>
          <w:p>
            <w:pPr>
              <w:spacing w:after="0"/>
              <w:rPr>
                <w:sz w:val="21"/>
                <w:szCs w:val="21"/>
                <w:color w:val="auto"/>
              </w:rPr>
            </w:pPr>
          </w:p>
        </w:tc>
        <w:tc>
          <w:tcPr>
            <w:tcW w:w="1820" w:type="dxa"/>
            <w:vAlign w:val="bottom"/>
            <w:shd w:val="clear" w:color="auto" w:fill="ACACAC"/>
          </w:tcPr>
          <w:p>
            <w:pPr>
              <w:spacing w:after="0"/>
              <w:rPr>
                <w:sz w:val="21"/>
                <w:szCs w:val="21"/>
                <w:color w:val="auto"/>
              </w:rPr>
            </w:pPr>
          </w:p>
        </w:tc>
        <w:tc>
          <w:tcPr>
            <w:tcW w:w="140" w:type="dxa"/>
            <w:vAlign w:val="bottom"/>
            <w:shd w:val="clear" w:color="auto" w:fill="ACACAC"/>
          </w:tcPr>
          <w:p>
            <w:pPr>
              <w:spacing w:after="0"/>
              <w:rPr>
                <w:sz w:val="21"/>
                <w:szCs w:val="21"/>
                <w:color w:val="auto"/>
              </w:rPr>
            </w:pPr>
          </w:p>
        </w:tc>
        <w:tc>
          <w:tcPr>
            <w:tcW w:w="1820" w:type="dxa"/>
            <w:vAlign w:val="bottom"/>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shd w:val="clear" w:color="auto" w:fill="ACACAC"/>
          </w:tcPr>
          <w:p>
            <w:pPr>
              <w:spacing w:after="0"/>
              <w:rPr>
                <w:sz w:val="2"/>
                <w:szCs w:val="2"/>
                <w:color w:val="auto"/>
              </w:rPr>
            </w:pPr>
          </w:p>
        </w:tc>
        <w:tc>
          <w:tcPr>
            <w:tcW w:w="80" w:type="dxa"/>
            <w:vAlign w:val="bottom"/>
            <w:shd w:val="clear" w:color="auto" w:fill="ACACAC"/>
          </w:tcPr>
          <w:p>
            <w:pPr>
              <w:spacing w:after="0"/>
              <w:rPr>
                <w:sz w:val="2"/>
                <w:szCs w:val="2"/>
                <w:color w:val="auto"/>
              </w:rPr>
            </w:pPr>
          </w:p>
        </w:tc>
        <w:tc>
          <w:tcPr>
            <w:tcW w:w="100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44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44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08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82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18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rFonts w:ascii="Arial" w:cs="Arial" w:eastAsia="Arial" w:hAnsi="Arial"/>
          <w:sz w:val="17"/>
          <w:szCs w:val="17"/>
          <w:color w:val="auto"/>
        </w:rPr>
      </w:pPr>
    </w:p>
    <w:p>
      <w:pPr>
        <w:sectPr>
          <w:pgSz w:w="11900" w:h="16838" w:orient="portrait"/>
          <w:cols w:equalWidth="0" w:num="1">
            <w:col w:w="11220"/>
          </w:cols>
          <w:pgMar w:left="320" w:top="130" w:right="359" w:bottom="1440" w:gutter="0" w:footer="0" w:header="0"/>
        </w:sectPr>
      </w:pPr>
    </w:p>
    <w:tbl>
      <w:tblPr>
        <w:tblLayout w:type="fixed"/>
        <w:tblInd w:w="4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b w:val="1"/>
                <w:bCs w:val="1"/>
                <w:color w:val="auto"/>
              </w:rPr>
              <w:t>Dupixent</w:t>
            </w:r>
          </w:p>
        </w:tc>
        <w:tc>
          <w:tcPr>
            <w:tcW w:w="2120" w:type="dxa"/>
            <w:vAlign w:val="bottom"/>
          </w:tcPr>
          <w:p>
            <w:pPr>
              <w:ind w:left="760"/>
              <w:spacing w:after="0"/>
              <w:rPr>
                <w:sz w:val="20"/>
                <w:szCs w:val="20"/>
                <w:color w:val="auto"/>
              </w:rPr>
            </w:pPr>
            <w:r>
              <w:rPr>
                <w:rFonts w:ascii="Arial" w:cs="Arial" w:eastAsia="Arial" w:hAnsi="Arial"/>
                <w:sz w:val="18"/>
                <w:szCs w:val="18"/>
                <w:color w:val="auto"/>
              </w:rPr>
              <w:t>- Peanut allergy</w:t>
            </w:r>
          </w:p>
        </w:tc>
        <w:tc>
          <w:tcPr>
            <w:tcW w:w="1740" w:type="dxa"/>
            <w:vAlign w:val="bottom"/>
          </w:tcPr>
          <w:p>
            <w:pPr>
              <w:ind w:left="200"/>
              <w:spacing w:after="0"/>
              <w:rPr>
                <w:sz w:val="20"/>
                <w:szCs w:val="20"/>
                <w:color w:val="auto"/>
              </w:rPr>
            </w:pPr>
            <w:r>
              <w:rPr>
                <w:rFonts w:ascii="Arial" w:cs="Arial" w:eastAsia="Arial" w:hAnsi="Arial"/>
                <w:sz w:val="18"/>
                <w:szCs w:val="18"/>
                <w:color w:val="auto"/>
              </w:rPr>
              <w:t>- Atopic dermatitis</w:t>
            </w:r>
          </w:p>
        </w:tc>
        <w:tc>
          <w:tcPr>
            <w:tcW w:w="1320" w:type="dxa"/>
            <w:vAlign w:val="bottom"/>
          </w:tcPr>
          <w:p>
            <w:pPr>
              <w:ind w:left="20"/>
              <w:spacing w:after="0"/>
              <w:rPr>
                <w:sz w:val="20"/>
                <w:szCs w:val="20"/>
                <w:color w:val="auto"/>
              </w:rPr>
            </w:pPr>
            <w:r>
              <w:rPr>
                <w:rFonts w:ascii="Arial" w:cs="Arial" w:eastAsia="Arial" w:hAnsi="Arial"/>
                <w:sz w:val="18"/>
                <w:szCs w:val="18"/>
                <w:color w:val="auto"/>
              </w:rPr>
              <w:t>- Atopic</w:t>
            </w:r>
          </w:p>
        </w:tc>
      </w:tr>
      <w:tr>
        <w:trPr>
          <w:trHeight w:val="162"/>
        </w:trPr>
        <w:tc>
          <w:tcPr>
            <w:tcW w:w="2060" w:type="dxa"/>
            <w:vAlign w:val="bottom"/>
          </w:tcPr>
          <w:p>
            <w:pPr>
              <w:spacing w:after="0" w:line="162" w:lineRule="exact"/>
              <w:rPr>
                <w:sz w:val="20"/>
                <w:szCs w:val="20"/>
                <w:color w:val="auto"/>
              </w:rPr>
            </w:pPr>
            <w:r>
              <w:rPr>
                <w:rFonts w:ascii="Arial" w:cs="Arial" w:eastAsia="Arial" w:hAnsi="Arial"/>
                <w:sz w:val="14"/>
                <w:szCs w:val="14"/>
                <w:b w:val="1"/>
                <w:bCs w:val="1"/>
                <w:color w:val="auto"/>
              </w:rPr>
              <w:t>(dupilumab)</w:t>
            </w:r>
            <w:r>
              <w:rPr>
                <w:rFonts w:ascii="Arial" w:cs="Arial" w:eastAsia="Arial" w:hAnsi="Arial"/>
                <w:sz w:val="18"/>
                <w:szCs w:val="18"/>
                <w:b w:val="1"/>
                <w:bCs w:val="1"/>
                <w:color w:val="auto"/>
                <w:vertAlign w:val="superscript"/>
              </w:rPr>
              <w:t>(a)</w:t>
            </w:r>
          </w:p>
        </w:tc>
        <w:tc>
          <w:tcPr>
            <w:tcW w:w="2120" w:type="dxa"/>
            <w:vAlign w:val="bottom"/>
          </w:tcPr>
          <w:p>
            <w:pPr>
              <w:spacing w:after="0"/>
              <w:rPr>
                <w:sz w:val="14"/>
                <w:szCs w:val="14"/>
                <w:color w:val="auto"/>
              </w:rPr>
            </w:pPr>
          </w:p>
        </w:tc>
        <w:tc>
          <w:tcPr>
            <w:tcW w:w="1740" w:type="dxa"/>
            <w:vAlign w:val="bottom"/>
          </w:tcPr>
          <w:p>
            <w:pPr>
              <w:ind w:left="320"/>
              <w:spacing w:after="0" w:line="162" w:lineRule="exact"/>
              <w:rPr>
                <w:sz w:val="20"/>
                <w:szCs w:val="20"/>
                <w:color w:val="auto"/>
              </w:rPr>
            </w:pPr>
            <w:r>
              <w:rPr>
                <w:rFonts w:ascii="Arial" w:cs="Arial" w:eastAsia="Arial" w:hAnsi="Arial"/>
                <w:sz w:val="18"/>
                <w:szCs w:val="18"/>
                <w:color w:val="auto"/>
              </w:rPr>
              <w:t>in pediatrics (6</w:t>
            </w:r>
          </w:p>
        </w:tc>
        <w:tc>
          <w:tcPr>
            <w:tcW w:w="1320" w:type="dxa"/>
            <w:vAlign w:val="bottom"/>
          </w:tcPr>
          <w:p>
            <w:pPr>
              <w:ind w:left="140"/>
              <w:spacing w:after="0" w:line="162" w:lineRule="exact"/>
              <w:rPr>
                <w:sz w:val="20"/>
                <w:szCs w:val="20"/>
                <w:color w:val="auto"/>
              </w:rPr>
            </w:pPr>
            <w:r>
              <w:rPr>
                <w:rFonts w:ascii="Arial" w:cs="Arial" w:eastAsia="Arial" w:hAnsi="Arial"/>
                <w:sz w:val="18"/>
                <w:szCs w:val="18"/>
                <w:color w:val="auto"/>
              </w:rPr>
              <w:t>dermatitis in</w:t>
            </w:r>
          </w:p>
        </w:tc>
      </w:tr>
      <w:tr>
        <w:trPr>
          <w:trHeight w:val="176"/>
        </w:trPr>
        <w:tc>
          <w:tcPr>
            <w:tcW w:w="2060" w:type="dxa"/>
            <w:vAlign w:val="bottom"/>
          </w:tcPr>
          <w:p>
            <w:pPr>
              <w:spacing w:after="0" w:line="176" w:lineRule="exact"/>
              <w:rPr>
                <w:sz w:val="20"/>
                <w:szCs w:val="20"/>
                <w:color w:val="auto"/>
              </w:rPr>
            </w:pPr>
            <w:r>
              <w:rPr>
                <w:rFonts w:ascii="Arial" w:cs="Arial" w:eastAsia="Arial" w:hAnsi="Arial"/>
                <w:sz w:val="18"/>
                <w:szCs w:val="18"/>
                <w:i w:val="1"/>
                <w:iCs w:val="1"/>
                <w:color w:val="auto"/>
              </w:rPr>
              <w:t>Antibody to IL-4R</w:t>
            </w:r>
          </w:p>
        </w:tc>
        <w:tc>
          <w:tcPr>
            <w:tcW w:w="2120" w:type="dxa"/>
            <w:vAlign w:val="bottom"/>
          </w:tcPr>
          <w:p>
            <w:pPr>
              <w:spacing w:after="0"/>
              <w:rPr>
                <w:sz w:val="15"/>
                <w:szCs w:val="15"/>
                <w:color w:val="auto"/>
              </w:rPr>
            </w:pPr>
          </w:p>
        </w:tc>
        <w:tc>
          <w:tcPr>
            <w:tcW w:w="1740" w:type="dxa"/>
            <w:vAlign w:val="bottom"/>
          </w:tcPr>
          <w:p>
            <w:pPr>
              <w:ind w:left="320"/>
              <w:spacing w:after="0" w:line="176" w:lineRule="exact"/>
              <w:rPr>
                <w:sz w:val="20"/>
                <w:szCs w:val="20"/>
                <w:color w:val="auto"/>
              </w:rPr>
            </w:pPr>
            <w:r>
              <w:rPr>
                <w:rFonts w:ascii="Arial" w:cs="Arial" w:eastAsia="Arial" w:hAnsi="Arial"/>
                <w:sz w:val="18"/>
                <w:szCs w:val="18"/>
                <w:color w:val="auto"/>
                <w:w w:val="94"/>
              </w:rPr>
              <w:t>months–5 years of</w:t>
            </w:r>
          </w:p>
        </w:tc>
        <w:tc>
          <w:tcPr>
            <w:tcW w:w="1320" w:type="dxa"/>
            <w:vAlign w:val="bottom"/>
          </w:tcPr>
          <w:p>
            <w:pPr>
              <w:ind w:left="140"/>
              <w:spacing w:after="0" w:line="176" w:lineRule="exact"/>
              <w:rPr>
                <w:sz w:val="20"/>
                <w:szCs w:val="20"/>
                <w:color w:val="auto"/>
              </w:rPr>
            </w:pPr>
            <w:r>
              <w:rPr>
                <w:rFonts w:ascii="Arial" w:cs="Arial" w:eastAsia="Arial" w:hAnsi="Arial"/>
                <w:sz w:val="18"/>
                <w:szCs w:val="18"/>
                <w:color w:val="auto"/>
                <w:w w:val="90"/>
              </w:rPr>
              <w:t>pediatrics (6–11</w:t>
            </w:r>
          </w:p>
        </w:tc>
      </w:tr>
      <w:tr>
        <w:trPr>
          <w:trHeight w:val="175"/>
        </w:trPr>
        <w:tc>
          <w:tcPr>
            <w:tcW w:w="2060" w:type="dxa"/>
            <w:vAlign w:val="bottom"/>
          </w:tcPr>
          <w:p>
            <w:pPr>
              <w:spacing w:after="0" w:line="176" w:lineRule="exact"/>
              <w:rPr>
                <w:sz w:val="20"/>
                <w:szCs w:val="20"/>
                <w:color w:val="auto"/>
              </w:rPr>
            </w:pPr>
            <w:r>
              <w:rPr>
                <w:rFonts w:ascii="Arial" w:cs="Arial" w:eastAsia="Arial" w:hAnsi="Arial"/>
                <w:sz w:val="18"/>
                <w:szCs w:val="18"/>
                <w:i w:val="1"/>
                <w:iCs w:val="1"/>
                <w:color w:val="auto"/>
              </w:rPr>
              <w:t>alpha subunit</w:t>
            </w:r>
          </w:p>
        </w:tc>
        <w:tc>
          <w:tcPr>
            <w:tcW w:w="2120" w:type="dxa"/>
            <w:vAlign w:val="bottom"/>
          </w:tcPr>
          <w:p>
            <w:pPr>
              <w:spacing w:after="0"/>
              <w:rPr>
                <w:sz w:val="15"/>
                <w:szCs w:val="15"/>
                <w:color w:val="auto"/>
              </w:rPr>
            </w:pPr>
          </w:p>
        </w:tc>
        <w:tc>
          <w:tcPr>
            <w:tcW w:w="1740" w:type="dxa"/>
            <w:vAlign w:val="bottom"/>
          </w:tcPr>
          <w:p>
            <w:pPr>
              <w:ind w:left="320"/>
              <w:spacing w:after="0" w:line="176" w:lineRule="exact"/>
              <w:rPr>
                <w:sz w:val="20"/>
                <w:szCs w:val="20"/>
                <w:color w:val="auto"/>
              </w:rPr>
            </w:pPr>
            <w:r>
              <w:rPr>
                <w:rFonts w:ascii="Arial" w:cs="Arial" w:eastAsia="Arial" w:hAnsi="Arial"/>
                <w:sz w:val="16"/>
                <w:szCs w:val="16"/>
                <w:color w:val="auto"/>
              </w:rPr>
              <w:t>age) (Phase 2/3)</w:t>
            </w:r>
            <w:r>
              <w:rPr>
                <w:rFonts w:ascii="Arial" w:cs="Arial" w:eastAsia="Arial" w:hAnsi="Arial"/>
                <w:sz w:val="20"/>
                <w:szCs w:val="20"/>
                <w:color w:val="auto"/>
                <w:vertAlign w:val="superscript"/>
              </w:rPr>
              <w:t>(d)</w:t>
            </w:r>
          </w:p>
        </w:tc>
        <w:tc>
          <w:tcPr>
            <w:tcW w:w="1320" w:type="dxa"/>
            <w:vAlign w:val="bottom"/>
          </w:tcPr>
          <w:p>
            <w:pPr>
              <w:ind w:left="140"/>
              <w:spacing w:after="0" w:line="176" w:lineRule="exact"/>
              <w:rPr>
                <w:sz w:val="20"/>
                <w:szCs w:val="20"/>
                <w:color w:val="auto"/>
              </w:rPr>
            </w:pPr>
            <w:r>
              <w:rPr>
                <w:rFonts w:ascii="Arial" w:cs="Arial" w:eastAsia="Arial" w:hAnsi="Arial"/>
                <w:sz w:val="18"/>
                <w:szCs w:val="18"/>
                <w:color w:val="auto"/>
              </w:rPr>
              <w:t>years of age)</w:t>
            </w:r>
          </w:p>
        </w:tc>
      </w:tr>
      <w:tr>
        <w:trPr>
          <w:trHeight w:val="312"/>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(EU)</w:t>
            </w:r>
            <w:r>
              <w:rPr>
                <w:rFonts w:ascii="Arial" w:cs="Arial" w:eastAsia="Arial" w:hAnsi="Arial"/>
                <w:sz w:val="23"/>
                <w:szCs w:val="23"/>
                <w:color w:val="auto"/>
                <w:vertAlign w:val="superscript"/>
              </w:rPr>
              <w:t>(d)</w:t>
            </w:r>
          </w:p>
        </w:tc>
      </w:tr>
      <w:tr>
        <w:trPr>
          <w:trHeight w:val="349"/>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8"/>
                <w:szCs w:val="18"/>
                <w:color w:val="auto"/>
              </w:rPr>
              <w:t>- Asthma in</w:t>
            </w:r>
          </w:p>
        </w:tc>
        <w:tc>
          <w:tcPr>
            <w:tcW w:w="1320" w:type="dxa"/>
            <w:vAlign w:val="bottom"/>
          </w:tcPr>
          <w:p>
            <w:pPr>
              <w:ind w:left="20"/>
              <w:spacing w:after="0"/>
              <w:rPr>
                <w:sz w:val="20"/>
                <w:szCs w:val="20"/>
                <w:color w:val="auto"/>
              </w:rPr>
            </w:pPr>
            <w:r>
              <w:rPr>
                <w:rFonts w:ascii="Arial" w:cs="Arial" w:eastAsia="Arial" w:hAnsi="Arial"/>
                <w:sz w:val="18"/>
                <w:szCs w:val="18"/>
                <w:color w:val="auto"/>
              </w:rPr>
              <w:t>- Auto-injector</w:t>
            </w:r>
          </w:p>
        </w:tc>
      </w:tr>
      <w:tr>
        <w:trPr>
          <w:trHeight w:val="216"/>
        </w:trPr>
        <w:tc>
          <w:tcPr>
            <w:tcW w:w="2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pediatrics (6–11</w:t>
            </w:r>
          </w:p>
        </w:tc>
        <w:tc>
          <w:tcPr>
            <w:tcW w:w="1320" w:type="dxa"/>
            <w:vAlign w:val="bottom"/>
          </w:tcPr>
          <w:p>
            <w:pPr>
              <w:ind w:left="140"/>
              <w:spacing w:after="0"/>
              <w:rPr>
                <w:sz w:val="20"/>
                <w:szCs w:val="20"/>
                <w:color w:val="auto"/>
              </w:rPr>
            </w:pPr>
            <w:r>
              <w:rPr>
                <w:rFonts w:ascii="Arial" w:cs="Arial" w:eastAsia="Arial" w:hAnsi="Arial"/>
                <w:sz w:val="18"/>
                <w:szCs w:val="18"/>
                <w:color w:val="auto"/>
                <w:w w:val="89"/>
              </w:rPr>
              <w:t>for 300 mg dose</w:t>
            </w:r>
          </w:p>
        </w:tc>
      </w:tr>
      <w:tr>
        <w:trPr>
          <w:trHeight w:val="230"/>
        </w:trPr>
        <w:tc>
          <w:tcPr>
            <w:tcW w:w="2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years of age)</w:t>
            </w:r>
          </w:p>
        </w:tc>
        <w:tc>
          <w:tcPr>
            <w:tcW w:w="1320" w:type="dxa"/>
            <w:vAlign w:val="bottom"/>
          </w:tcPr>
          <w:p>
            <w:pPr>
              <w:ind w:left="140"/>
              <w:spacing w:after="0"/>
              <w:rPr>
                <w:sz w:val="20"/>
                <w:szCs w:val="20"/>
                <w:color w:val="auto"/>
              </w:rPr>
            </w:pPr>
            <w:r>
              <w:rPr>
                <w:rFonts w:ascii="Arial" w:cs="Arial" w:eastAsia="Arial" w:hAnsi="Arial"/>
                <w:sz w:val="18"/>
                <w:szCs w:val="18"/>
                <w:color w:val="auto"/>
              </w:rPr>
              <w:t>(Japan)</w:t>
            </w:r>
          </w:p>
        </w:tc>
      </w:tr>
      <w:tr>
        <w:trPr>
          <w:trHeight w:val="391"/>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8"/>
                <w:szCs w:val="18"/>
                <w:color w:val="auto"/>
              </w:rPr>
              <w:t>- Eosinophilic</w:t>
            </w:r>
          </w:p>
        </w:tc>
        <w:tc>
          <w:tcPr>
            <w:tcW w:w="1320" w:type="dxa"/>
            <w:vAlign w:val="bottom"/>
          </w:tcPr>
          <w:p>
            <w:pPr>
              <w:spacing w:after="0"/>
              <w:rPr>
                <w:sz w:val="24"/>
                <w:szCs w:val="24"/>
                <w:color w:val="auto"/>
              </w:rPr>
            </w:pPr>
          </w:p>
        </w:tc>
      </w:tr>
      <w:tr>
        <w:trPr>
          <w:trHeight w:val="162"/>
        </w:trPr>
        <w:tc>
          <w:tcPr>
            <w:tcW w:w="2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40" w:type="dxa"/>
            <w:vAlign w:val="bottom"/>
          </w:tcPr>
          <w:p>
            <w:pPr>
              <w:ind w:left="320"/>
              <w:spacing w:after="0" w:line="162" w:lineRule="exact"/>
              <w:rPr>
                <w:sz w:val="20"/>
                <w:szCs w:val="20"/>
                <w:color w:val="auto"/>
              </w:rPr>
            </w:pPr>
            <w:r>
              <w:rPr>
                <w:rFonts w:ascii="Arial" w:cs="Arial" w:eastAsia="Arial" w:hAnsi="Arial"/>
                <w:sz w:val="18"/>
                <w:szCs w:val="18"/>
                <w:color w:val="auto"/>
              </w:rPr>
              <w:t>esophagitis</w:t>
            </w:r>
          </w:p>
        </w:tc>
        <w:tc>
          <w:tcPr>
            <w:tcW w:w="1320" w:type="dxa"/>
            <w:vAlign w:val="bottom"/>
          </w:tcPr>
          <w:p>
            <w:pPr>
              <w:spacing w:after="0"/>
              <w:rPr>
                <w:sz w:val="14"/>
                <w:szCs w:val="14"/>
                <w:color w:val="auto"/>
              </w:rPr>
            </w:pPr>
          </w:p>
        </w:tc>
      </w:tr>
      <w:tr>
        <w:trPr>
          <w:trHeight w:val="150"/>
        </w:trPr>
        <w:tc>
          <w:tcPr>
            <w:tcW w:w="20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40" w:type="dxa"/>
            <w:vAlign w:val="bottom"/>
          </w:tcPr>
          <w:p>
            <w:pPr>
              <w:ind w:left="320"/>
              <w:spacing w:after="0" w:line="150" w:lineRule="exact"/>
              <w:rPr>
                <w:sz w:val="20"/>
                <w:szCs w:val="20"/>
                <w:color w:val="auto"/>
              </w:rPr>
            </w:pPr>
            <w:r>
              <w:rPr>
                <w:rFonts w:ascii="Arial" w:cs="Arial" w:eastAsia="Arial" w:hAnsi="Arial"/>
                <w:sz w:val="14"/>
                <w:szCs w:val="14"/>
                <w:color w:val="auto"/>
              </w:rPr>
              <w:t>("EoE")</w:t>
            </w:r>
            <w:r>
              <w:rPr>
                <w:rFonts w:ascii="Arial" w:cs="Arial" w:eastAsia="Arial" w:hAnsi="Arial"/>
                <w:sz w:val="17"/>
                <w:szCs w:val="17"/>
                <w:color w:val="auto"/>
                <w:vertAlign w:val="superscript"/>
              </w:rPr>
              <w:t>(c)</w:t>
            </w:r>
            <w:r>
              <w:rPr>
                <w:rFonts w:ascii="Arial" w:cs="Arial" w:eastAsia="Arial" w:hAnsi="Arial"/>
                <w:sz w:val="14"/>
                <w:szCs w:val="14"/>
                <w:color w:val="auto"/>
              </w:rPr>
              <w:t xml:space="preserve"> in adults,</w:t>
            </w:r>
          </w:p>
        </w:tc>
        <w:tc>
          <w:tcPr>
            <w:tcW w:w="1320" w:type="dxa"/>
            <w:vAlign w:val="bottom"/>
          </w:tcPr>
          <w:p>
            <w:pPr>
              <w:spacing w:after="0"/>
              <w:rPr>
                <w:sz w:val="13"/>
                <w:szCs w:val="13"/>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11" w:lineRule="exact"/>
        <w:rPr>
          <w:rFonts w:ascii="Arial" w:cs="Arial" w:eastAsia="Arial" w:hAnsi="Arial"/>
          <w:sz w:val="17"/>
          <w:szCs w:val="17"/>
          <w:color w:val="auto"/>
        </w:rPr>
      </w:pPr>
    </w:p>
    <w:p>
      <w:pPr>
        <w:ind w:left="131" w:hanging="131"/>
        <w:spacing w:after="0" w:line="257" w:lineRule="auto"/>
        <w:tabs>
          <w:tab w:leader="none" w:pos="1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Approved by FDA for expanded atopic dermatitis indication in pediatrics (6–11 years of age)</w:t>
      </w:r>
    </w:p>
    <w:p>
      <w:pPr>
        <w:spacing w:after="0" w:line="25" w:lineRule="exact"/>
        <w:rPr>
          <w:rFonts w:ascii="Arial" w:cs="Arial" w:eastAsia="Arial" w:hAnsi="Arial"/>
          <w:sz w:val="18"/>
          <w:szCs w:val="18"/>
          <w:color w:val="auto"/>
        </w:rPr>
      </w:pPr>
    </w:p>
    <w:p>
      <w:pPr>
        <w:ind w:left="131" w:right="80" w:hanging="131"/>
        <w:spacing w:after="0" w:line="273" w:lineRule="auto"/>
        <w:tabs>
          <w:tab w:leader="none" w:pos="1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Approved by National Medical Products Administration ("NMPA") in China for adults with atopic dermatitis</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11" w:lineRule="exact"/>
        <w:rPr>
          <w:rFonts w:ascii="Arial" w:cs="Arial" w:eastAsia="Arial" w:hAnsi="Arial"/>
          <w:sz w:val="17"/>
          <w:szCs w:val="17"/>
          <w:color w:val="auto"/>
        </w:rPr>
      </w:pPr>
    </w:p>
    <w:p>
      <w:pPr>
        <w:ind w:left="113" w:right="40" w:hanging="113"/>
        <w:spacing w:after="0" w:line="295" w:lineRule="auto"/>
        <w:tabs>
          <w:tab w:leader="none" w:pos="1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 decision for expanded atopic dermatitis indication in pediatrics (6–11 years of age) (second half 2020)</w:t>
      </w:r>
    </w:p>
    <w:p>
      <w:pPr>
        <w:spacing w:after="0" w:line="3" w:lineRule="exact"/>
        <w:rPr>
          <w:rFonts w:ascii="Arial" w:cs="Arial" w:eastAsia="Arial" w:hAnsi="Arial"/>
          <w:sz w:val="16"/>
          <w:szCs w:val="16"/>
          <w:color w:val="auto"/>
        </w:rPr>
      </w:pPr>
    </w:p>
    <w:p>
      <w:pPr>
        <w:ind w:left="113" w:right="80" w:hanging="113"/>
        <w:spacing w:after="0" w:line="296" w:lineRule="auto"/>
        <w:tabs>
          <w:tab w:leader="none" w:pos="1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Report results from Phase 3 study for atopic dermatitis in pediatric patients (6 months–5 years of age) (2022)</w:t>
      </w:r>
    </w:p>
    <w:p>
      <w:pPr>
        <w:spacing w:after="0" w:line="232" w:lineRule="exact"/>
        <w:rPr>
          <w:rFonts w:ascii="Arial" w:cs="Arial" w:eastAsia="Arial" w:hAnsi="Arial"/>
          <w:sz w:val="17"/>
          <w:szCs w:val="17"/>
          <w:color w:val="auto"/>
        </w:rPr>
      </w:pPr>
    </w:p>
    <w:p>
      <w:pPr>
        <w:sectPr>
          <w:pgSz w:w="11900" w:h="16838" w:orient="portrait"/>
          <w:cols w:equalWidth="0" w:num="3">
            <w:col w:w="7280" w:space="49"/>
            <w:col w:w="1891" w:space="67"/>
            <w:col w:w="1933"/>
          </w:cols>
          <w:pgMar w:left="320" w:top="130" w:right="359" w:bottom="1440" w:gutter="0" w:footer="0" w:header="0"/>
          <w:type w:val="continuous"/>
        </w:sectPr>
      </w:pPr>
    </w:p>
    <w:p>
      <w:pPr>
        <w:spacing w:after="0" w:line="8"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8"/>
          <w:szCs w:val="18"/>
          <w:color w:val="auto"/>
        </w:rPr>
        <w:t>adolescents, and</w:t>
      </w:r>
    </w:p>
    <w:p>
      <w:pPr>
        <w:ind w:left="4540"/>
        <w:spacing w:after="0"/>
        <w:rPr>
          <w:sz w:val="20"/>
          <w:szCs w:val="20"/>
          <w:color w:val="auto"/>
        </w:rPr>
      </w:pPr>
      <w:r>
        <w:rPr>
          <w:rFonts w:ascii="Arial" w:cs="Arial" w:eastAsia="Arial" w:hAnsi="Arial"/>
          <w:sz w:val="18"/>
          <w:szCs w:val="18"/>
          <w:color w:val="auto"/>
        </w:rPr>
        <w:t>pediatrics</w:t>
      </w:r>
    </w:p>
    <w:p>
      <w:pPr>
        <w:spacing w:after="0" w:line="47" w:lineRule="exact"/>
        <w:rPr>
          <w:rFonts w:ascii="Arial" w:cs="Arial" w:eastAsia="Arial" w:hAnsi="Arial"/>
          <w:sz w:val="17"/>
          <w:szCs w:val="17"/>
          <w:color w:val="auto"/>
        </w:rPr>
      </w:pPr>
    </w:p>
    <w:p>
      <w:pPr>
        <w:ind w:left="4420"/>
        <w:spacing w:after="0"/>
        <w:rPr>
          <w:sz w:val="20"/>
          <w:szCs w:val="20"/>
          <w:color w:val="auto"/>
        </w:rPr>
      </w:pPr>
      <w:r>
        <w:rPr>
          <w:rFonts w:ascii="Arial" w:cs="Arial" w:eastAsia="Arial" w:hAnsi="Arial"/>
          <w:sz w:val="18"/>
          <w:szCs w:val="18"/>
          <w:color w:val="auto"/>
        </w:rPr>
        <w:t>- Chronic</w:t>
      </w:r>
    </w:p>
    <w:p>
      <w:pPr>
        <w:spacing w:after="0" w:line="23"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8"/>
          <w:szCs w:val="18"/>
          <w:color w:val="auto"/>
        </w:rPr>
        <w:t>obstructive</w:t>
      </w:r>
    </w:p>
    <w:p>
      <w:pPr>
        <w:spacing w:after="0" w:line="9"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6"/>
          <w:szCs w:val="16"/>
          <w:color w:val="auto"/>
        </w:rPr>
        <w:t>pulmonary disease</w:t>
      </w:r>
    </w:p>
    <w:p>
      <w:pPr>
        <w:spacing w:after="0" w:line="32"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8"/>
          <w:szCs w:val="18"/>
          <w:color w:val="auto"/>
        </w:rPr>
        <w:t>("COPD")</w:t>
      </w:r>
    </w:p>
    <w:p>
      <w:pPr>
        <w:spacing w:after="0" w:line="20" w:lineRule="exact"/>
        <w:rPr>
          <w:rFonts w:ascii="Arial" w:cs="Arial" w:eastAsia="Arial" w:hAnsi="Arial"/>
          <w:sz w:val="17"/>
          <w:szCs w:val="17"/>
          <w:color w:val="auto"/>
        </w:rPr>
      </w:pPr>
    </w:p>
    <w:p>
      <w:pPr>
        <w:ind w:left="4420"/>
        <w:spacing w:after="0"/>
        <w:rPr>
          <w:sz w:val="20"/>
          <w:szCs w:val="20"/>
          <w:color w:val="auto"/>
        </w:rPr>
      </w:pPr>
      <w:r>
        <w:rPr>
          <w:rFonts w:ascii="Arial" w:cs="Arial" w:eastAsia="Arial" w:hAnsi="Arial"/>
          <w:sz w:val="18"/>
          <w:szCs w:val="18"/>
          <w:color w:val="auto"/>
        </w:rPr>
        <w:t>- Bullous</w:t>
      </w:r>
    </w:p>
    <w:p>
      <w:pPr>
        <w:ind w:left="4540"/>
        <w:spacing w:after="0" w:line="228" w:lineRule="auto"/>
        <w:rPr>
          <w:sz w:val="20"/>
          <w:szCs w:val="20"/>
          <w:color w:val="auto"/>
        </w:rPr>
      </w:pPr>
      <w:r>
        <w:rPr>
          <w:rFonts w:ascii="Arial" w:cs="Arial" w:eastAsia="Arial" w:hAnsi="Arial"/>
          <w:sz w:val="16"/>
          <w:szCs w:val="16"/>
          <w:color w:val="auto"/>
        </w:rPr>
        <w:t>pemphigoid (Phase</w:t>
      </w:r>
    </w:p>
    <w:p>
      <w:pPr>
        <w:ind w:left="4540"/>
        <w:spacing w:after="0" w:line="221" w:lineRule="auto"/>
        <w:rPr>
          <w:sz w:val="20"/>
          <w:szCs w:val="20"/>
          <w:color w:val="auto"/>
        </w:rPr>
      </w:pPr>
      <w:r>
        <w:rPr>
          <w:rFonts w:ascii="Arial" w:cs="Arial" w:eastAsia="Arial" w:hAnsi="Arial"/>
          <w:sz w:val="18"/>
          <w:szCs w:val="18"/>
          <w:color w:val="auto"/>
        </w:rPr>
        <w:t>2/3)</w:t>
      </w:r>
      <w:r>
        <w:rPr>
          <w:rFonts w:ascii="Arial" w:cs="Arial" w:eastAsia="Arial" w:hAnsi="Arial"/>
          <w:sz w:val="23"/>
          <w:szCs w:val="23"/>
          <w:color w:val="auto"/>
          <w:vertAlign w:val="superscript"/>
        </w:rPr>
        <w:t>(c)</w:t>
      </w:r>
    </w:p>
    <w:p>
      <w:pPr>
        <w:ind w:left="4420"/>
        <w:spacing w:after="0"/>
        <w:rPr>
          <w:sz w:val="20"/>
          <w:szCs w:val="20"/>
          <w:color w:val="auto"/>
        </w:rPr>
      </w:pPr>
      <w:r>
        <w:rPr>
          <w:rFonts w:ascii="Arial" w:cs="Arial" w:eastAsia="Arial" w:hAnsi="Arial"/>
          <w:sz w:val="18"/>
          <w:szCs w:val="18"/>
          <w:color w:val="auto"/>
        </w:rPr>
        <w:t>- Chronic</w:t>
      </w:r>
    </w:p>
    <w:p>
      <w:pPr>
        <w:spacing w:after="0" w:line="7"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8"/>
          <w:szCs w:val="18"/>
          <w:color w:val="auto"/>
        </w:rPr>
        <w:t>spontaneous</w:t>
      </w:r>
    </w:p>
    <w:p>
      <w:pPr>
        <w:spacing w:after="0" w:line="9" w:lineRule="exact"/>
        <w:rPr>
          <w:rFonts w:ascii="Arial" w:cs="Arial" w:eastAsia="Arial" w:hAnsi="Arial"/>
          <w:sz w:val="17"/>
          <w:szCs w:val="17"/>
          <w:color w:val="auto"/>
        </w:rPr>
      </w:pPr>
    </w:p>
    <w:p>
      <w:pPr>
        <w:ind w:left="4540"/>
        <w:spacing w:after="0"/>
        <w:rPr>
          <w:sz w:val="20"/>
          <w:szCs w:val="20"/>
          <w:color w:val="auto"/>
        </w:rPr>
      </w:pPr>
      <w:r>
        <w:rPr>
          <w:rFonts w:ascii="Arial" w:cs="Arial" w:eastAsia="Arial" w:hAnsi="Arial"/>
          <w:sz w:val="18"/>
          <w:szCs w:val="18"/>
          <w:color w:val="auto"/>
        </w:rPr>
        <w:t>urticaria</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8"/>
          <w:szCs w:val="18"/>
          <w:color w:val="auto"/>
        </w:rPr>
        <w:t>- Approved by MHLW for - Report results from</w:t>
      </w:r>
    </w:p>
    <w:p>
      <w:pPr>
        <w:spacing w:after="0" w:line="7" w:lineRule="exact"/>
        <w:rPr>
          <w:rFonts w:ascii="Arial" w:cs="Arial" w:eastAsia="Arial" w:hAnsi="Arial"/>
          <w:sz w:val="17"/>
          <w:szCs w:val="17"/>
          <w:color w:val="auto"/>
        </w:rPr>
      </w:pPr>
    </w:p>
    <w:p>
      <w:pPr>
        <w:ind w:left="140"/>
        <w:spacing w:after="0"/>
        <w:tabs>
          <w:tab w:leader="none" w:pos="2060" w:val="left"/>
        </w:tabs>
        <w:rPr>
          <w:sz w:val="20"/>
          <w:szCs w:val="20"/>
          <w:color w:val="auto"/>
        </w:rPr>
      </w:pPr>
      <w:r>
        <w:rPr>
          <w:rFonts w:ascii="Arial" w:cs="Arial" w:eastAsia="Arial" w:hAnsi="Arial"/>
          <w:sz w:val="18"/>
          <w:szCs w:val="18"/>
          <w:color w:val="auto"/>
        </w:rPr>
        <w:t>CRSwNP in Japan</w:t>
      </w:r>
      <w:r>
        <w:rPr>
          <w:sz w:val="20"/>
          <w:szCs w:val="20"/>
          <w:color w:val="auto"/>
        </w:rPr>
        <w:tab/>
      </w:r>
      <w:r>
        <w:rPr>
          <w:rFonts w:ascii="Arial" w:cs="Arial" w:eastAsia="Arial" w:hAnsi="Arial"/>
          <w:sz w:val="15"/>
          <w:szCs w:val="15"/>
          <w:color w:val="auto"/>
        </w:rPr>
        <w:t>Phase 3 study for asthma</w:t>
      </w:r>
    </w:p>
    <w:p>
      <w:pPr>
        <w:spacing w:after="0" w:line="9" w:lineRule="exact"/>
        <w:rPr>
          <w:rFonts w:ascii="Arial" w:cs="Arial" w:eastAsia="Arial" w:hAnsi="Arial"/>
          <w:sz w:val="17"/>
          <w:szCs w:val="17"/>
          <w:color w:val="auto"/>
        </w:rPr>
      </w:pPr>
    </w:p>
    <w:p>
      <w:pPr>
        <w:jc w:val="both"/>
        <w:ind w:left="2080" w:right="60"/>
        <w:spacing w:after="0" w:line="255" w:lineRule="auto"/>
        <w:rPr>
          <w:sz w:val="20"/>
          <w:szCs w:val="20"/>
          <w:color w:val="auto"/>
        </w:rPr>
      </w:pPr>
      <w:r>
        <w:rPr>
          <w:rFonts w:ascii="Arial" w:cs="Arial" w:eastAsia="Arial" w:hAnsi="Arial"/>
          <w:sz w:val="18"/>
          <w:szCs w:val="18"/>
          <w:color w:val="auto"/>
        </w:rPr>
        <w:t>in pediatric patients (6– 11 years of age) (second half 2020)</w:t>
      </w:r>
    </w:p>
    <w:p>
      <w:pPr>
        <w:spacing w:after="0" w:line="298" w:lineRule="exact"/>
        <w:rPr>
          <w:rFonts w:ascii="Arial" w:cs="Arial" w:eastAsia="Arial" w:hAnsi="Arial"/>
          <w:sz w:val="17"/>
          <w:szCs w:val="17"/>
          <w:color w:val="auto"/>
        </w:rPr>
      </w:pPr>
    </w:p>
    <w:p>
      <w:pPr>
        <w:ind w:left="2080" w:right="40" w:hanging="120"/>
        <w:spacing w:after="0" w:line="275" w:lineRule="auto"/>
        <w:rPr>
          <w:sz w:val="20"/>
          <w:szCs w:val="20"/>
          <w:color w:val="auto"/>
        </w:rPr>
      </w:pPr>
      <w:r>
        <w:rPr>
          <w:rFonts w:ascii="Arial" w:cs="Arial" w:eastAsia="Arial" w:hAnsi="Arial"/>
          <w:sz w:val="17"/>
          <w:szCs w:val="17"/>
          <w:color w:val="auto"/>
        </w:rPr>
        <w:t>- Resubmit supplemental Biologics License Application ("sBLA") for 200 mg auto-injector (second half 2020)</w:t>
      </w:r>
    </w:p>
    <w:p>
      <w:pPr>
        <w:spacing w:after="0" w:line="162" w:lineRule="exact"/>
        <w:rPr>
          <w:rFonts w:ascii="Arial" w:cs="Arial" w:eastAsia="Arial" w:hAnsi="Arial"/>
          <w:sz w:val="17"/>
          <w:szCs w:val="17"/>
          <w:color w:val="auto"/>
        </w:rPr>
      </w:pPr>
    </w:p>
    <w:p>
      <w:pPr>
        <w:sectPr>
          <w:pgSz w:w="11900" w:h="16838" w:orient="portrait"/>
          <w:cols w:equalWidth="0" w:num="2">
            <w:col w:w="6600" w:space="720"/>
            <w:col w:w="3900"/>
          </w:cols>
          <w:pgMar w:left="320" w:top="130" w:right="359" w:bottom="1440" w:gutter="0" w:footer="0" w:header="0"/>
          <w:type w:val="continuous"/>
        </w:sectPr>
      </w:pPr>
    </w:p>
    <w:p>
      <w:pPr>
        <w:ind w:left="4420"/>
        <w:spacing w:after="0"/>
        <w:tabs>
          <w:tab w:leader="none" w:pos="7300" w:val="left"/>
          <w:tab w:leader="none" w:pos="9260" w:val="left"/>
        </w:tabs>
        <w:rPr>
          <w:sz w:val="20"/>
          <w:szCs w:val="20"/>
          <w:color w:val="auto"/>
        </w:rPr>
      </w:pPr>
      <w:r>
        <w:rPr>
          <w:rFonts w:ascii="Arial" w:cs="Arial" w:eastAsia="Arial" w:hAnsi="Arial"/>
          <w:sz w:val="18"/>
          <w:szCs w:val="18"/>
          <w:color w:val="auto"/>
        </w:rPr>
        <w:t>- Prurigo nodularis</w:t>
      </w:r>
      <w:r>
        <w:rPr>
          <w:sz w:val="20"/>
          <w:szCs w:val="20"/>
          <w:color w:val="auto"/>
        </w:rPr>
        <w:tab/>
      </w:r>
      <w:r>
        <w:rPr>
          <w:rFonts w:ascii="Arial" w:cs="Arial" w:eastAsia="Arial" w:hAnsi="Arial"/>
          <w:sz w:val="18"/>
          <w:szCs w:val="18"/>
          <w:color w:val="auto"/>
        </w:rPr>
        <w:t>- Presented results from</w:t>
      </w:r>
      <w:r>
        <w:rPr>
          <w:sz w:val="20"/>
          <w:szCs w:val="20"/>
          <w:color w:val="auto"/>
        </w:rPr>
        <w:tab/>
      </w:r>
      <w:r>
        <w:rPr>
          <w:rFonts w:ascii="Arial" w:cs="Arial" w:eastAsia="Arial" w:hAnsi="Arial"/>
          <w:sz w:val="16"/>
          <w:szCs w:val="16"/>
          <w:color w:val="auto"/>
        </w:rPr>
        <w:t>- Report results from</w:t>
      </w:r>
    </w:p>
    <w:p>
      <w:pPr>
        <w:spacing w:after="0" w:line="23" w:lineRule="exact"/>
        <w:rPr>
          <w:rFonts w:ascii="Arial" w:cs="Arial" w:eastAsia="Arial" w:hAnsi="Arial"/>
          <w:sz w:val="17"/>
          <w:szCs w:val="17"/>
          <w:color w:val="auto"/>
        </w:rPr>
      </w:pPr>
    </w:p>
    <w:p>
      <w:pPr>
        <w:ind w:left="7460"/>
        <w:spacing w:after="0"/>
        <w:tabs>
          <w:tab w:leader="none" w:pos="9380" w:val="left"/>
        </w:tabs>
        <w:rPr>
          <w:sz w:val="20"/>
          <w:szCs w:val="20"/>
          <w:color w:val="auto"/>
        </w:rPr>
      </w:pPr>
      <w:r>
        <w:rPr>
          <w:rFonts w:ascii="Arial" w:cs="Arial" w:eastAsia="Arial" w:hAnsi="Arial"/>
          <w:sz w:val="18"/>
          <w:szCs w:val="18"/>
          <w:color w:val="auto"/>
        </w:rPr>
        <w:t>Phase 2a trial in grass</w:t>
      </w:r>
      <w:r>
        <w:rPr>
          <w:sz w:val="20"/>
          <w:szCs w:val="20"/>
          <w:color w:val="auto"/>
        </w:rPr>
        <w:tab/>
      </w:r>
      <w:r>
        <w:rPr>
          <w:rFonts w:ascii="Arial" w:cs="Arial" w:eastAsia="Arial" w:hAnsi="Arial"/>
          <w:sz w:val="15"/>
          <w:szCs w:val="15"/>
          <w:color w:val="auto"/>
        </w:rPr>
        <w:t>Phase 2 study in peanut</w:t>
      </w:r>
    </w:p>
    <w:p>
      <w:pPr>
        <w:spacing w:after="0" w:line="9" w:lineRule="exact"/>
        <w:rPr>
          <w:rFonts w:ascii="Arial" w:cs="Arial" w:eastAsia="Arial" w:hAnsi="Arial"/>
          <w:sz w:val="17"/>
          <w:szCs w:val="17"/>
          <w:color w:val="auto"/>
        </w:rPr>
      </w:pPr>
    </w:p>
    <w:p>
      <w:pPr>
        <w:ind w:left="7460"/>
        <w:spacing w:after="0"/>
        <w:tabs>
          <w:tab w:leader="none" w:pos="9380" w:val="left"/>
        </w:tabs>
        <w:rPr>
          <w:sz w:val="20"/>
          <w:szCs w:val="20"/>
          <w:color w:val="auto"/>
        </w:rPr>
      </w:pPr>
      <w:r>
        <w:rPr>
          <w:rFonts w:ascii="Arial" w:cs="Arial" w:eastAsia="Arial" w:hAnsi="Arial"/>
          <w:sz w:val="18"/>
          <w:szCs w:val="18"/>
          <w:color w:val="auto"/>
        </w:rPr>
        <w:t>allergy</w:t>
      </w:r>
      <w:r>
        <w:rPr>
          <w:sz w:val="20"/>
          <w:szCs w:val="20"/>
          <w:color w:val="auto"/>
        </w:rPr>
        <w:tab/>
      </w:r>
      <w:r>
        <w:rPr>
          <w:rFonts w:ascii="Arial" w:cs="Arial" w:eastAsia="Arial" w:hAnsi="Arial"/>
          <w:sz w:val="18"/>
          <w:szCs w:val="18"/>
          <w:color w:val="auto"/>
        </w:rPr>
        <w:t>allergy (second half</w:t>
      </w:r>
    </w:p>
    <w:p>
      <w:pPr>
        <w:spacing w:after="0" w:line="9" w:lineRule="exact"/>
        <w:rPr>
          <w:rFonts w:ascii="Arial" w:cs="Arial" w:eastAsia="Arial" w:hAnsi="Arial"/>
          <w:sz w:val="17"/>
          <w:szCs w:val="17"/>
          <w:color w:val="auto"/>
        </w:rPr>
      </w:pPr>
    </w:p>
    <w:p>
      <w:pPr>
        <w:ind w:left="9400"/>
        <w:spacing w:after="0"/>
        <w:rPr>
          <w:sz w:val="20"/>
          <w:szCs w:val="20"/>
          <w:color w:val="auto"/>
        </w:rPr>
      </w:pPr>
      <w:r>
        <w:rPr>
          <w:rFonts w:ascii="Arial" w:cs="Arial" w:eastAsia="Arial" w:hAnsi="Arial"/>
          <w:sz w:val="18"/>
          <w:szCs w:val="18"/>
          <w:color w:val="auto"/>
        </w:rPr>
        <w:t>2020)</w:t>
      </w:r>
    </w:p>
    <w:p>
      <w:pPr>
        <w:spacing w:after="0" w:line="49" w:lineRule="exact"/>
        <w:rPr>
          <w:rFonts w:ascii="Arial" w:cs="Arial" w:eastAsia="Arial" w:hAnsi="Arial"/>
          <w:sz w:val="17"/>
          <w:szCs w:val="17"/>
          <w:color w:val="auto"/>
        </w:rPr>
      </w:pPr>
    </w:p>
    <w:p>
      <w:pPr>
        <w:ind w:left="7320"/>
        <w:spacing w:after="0"/>
        <w:tabs>
          <w:tab w:leader="none" w:pos="9260" w:val="left"/>
        </w:tabs>
        <w:rPr>
          <w:sz w:val="20"/>
          <w:szCs w:val="20"/>
          <w:color w:val="auto"/>
        </w:rPr>
      </w:pPr>
      <w:r>
        <w:rPr>
          <w:rFonts w:ascii="Arial" w:cs="Arial" w:eastAsia="Arial" w:hAnsi="Arial"/>
          <w:sz w:val="18"/>
          <w:szCs w:val="18"/>
          <w:color w:val="auto"/>
        </w:rPr>
        <w:t>- Initiated second</w:t>
      </w:r>
      <w:r>
        <w:rPr>
          <w:sz w:val="20"/>
          <w:szCs w:val="20"/>
          <w:color w:val="auto"/>
        </w:rPr>
        <w:tab/>
      </w:r>
      <w:r>
        <w:rPr>
          <w:rFonts w:ascii="Arial" w:cs="Arial" w:eastAsia="Arial" w:hAnsi="Arial"/>
          <w:sz w:val="16"/>
          <w:szCs w:val="16"/>
          <w:color w:val="auto"/>
        </w:rPr>
        <w:t>- Report results from Part</w:t>
      </w:r>
    </w:p>
    <w:p>
      <w:pPr>
        <w:spacing w:after="0" w:line="23" w:lineRule="exact"/>
        <w:rPr>
          <w:rFonts w:ascii="Arial" w:cs="Arial" w:eastAsia="Arial" w:hAnsi="Arial"/>
          <w:sz w:val="17"/>
          <w:szCs w:val="17"/>
          <w:color w:val="auto"/>
        </w:rPr>
      </w:pPr>
    </w:p>
    <w:p>
      <w:pPr>
        <w:jc w:val="right"/>
        <w:ind w:right="20"/>
        <w:spacing w:after="0"/>
        <w:tabs>
          <w:tab w:leader="none" w:pos="1780" w:val="left"/>
        </w:tabs>
        <w:rPr>
          <w:sz w:val="20"/>
          <w:szCs w:val="20"/>
          <w:color w:val="auto"/>
        </w:rPr>
      </w:pPr>
      <w:r>
        <w:rPr>
          <w:rFonts w:ascii="Arial" w:cs="Arial" w:eastAsia="Arial" w:hAnsi="Arial"/>
          <w:sz w:val="18"/>
          <w:szCs w:val="18"/>
          <w:color w:val="auto"/>
        </w:rPr>
        <w:t>confirmatory Phase 3</w:t>
      </w:r>
      <w:r>
        <w:rPr>
          <w:sz w:val="20"/>
          <w:szCs w:val="20"/>
          <w:color w:val="auto"/>
        </w:rPr>
        <w:tab/>
      </w:r>
      <w:r>
        <w:rPr>
          <w:rFonts w:ascii="Arial" w:cs="Arial" w:eastAsia="Arial" w:hAnsi="Arial"/>
          <w:sz w:val="16"/>
          <w:szCs w:val="16"/>
          <w:color w:val="auto"/>
        </w:rPr>
        <w:t>B of the Phase 3 study in</w:t>
      </w:r>
    </w:p>
    <w:p>
      <w:pPr>
        <w:spacing w:after="0" w:line="9" w:lineRule="exact"/>
        <w:rPr>
          <w:rFonts w:ascii="Arial" w:cs="Arial" w:eastAsia="Arial" w:hAnsi="Arial"/>
          <w:sz w:val="17"/>
          <w:szCs w:val="17"/>
          <w:color w:val="auto"/>
        </w:rPr>
      </w:pPr>
    </w:p>
    <w:p>
      <w:pPr>
        <w:ind w:left="7460"/>
        <w:spacing w:after="0"/>
        <w:tabs>
          <w:tab w:leader="none" w:pos="9380" w:val="left"/>
        </w:tabs>
        <w:rPr>
          <w:sz w:val="20"/>
          <w:szCs w:val="20"/>
          <w:color w:val="auto"/>
        </w:rPr>
      </w:pPr>
      <w:r>
        <w:rPr>
          <w:rFonts w:ascii="Arial" w:cs="Arial" w:eastAsia="Arial" w:hAnsi="Arial"/>
          <w:sz w:val="18"/>
          <w:szCs w:val="18"/>
          <w:color w:val="auto"/>
        </w:rPr>
        <w:t>trial in COPD</w:t>
      </w:r>
      <w:r>
        <w:rPr>
          <w:sz w:val="20"/>
          <w:szCs w:val="20"/>
          <w:color w:val="auto"/>
        </w:rPr>
        <w:tab/>
      </w:r>
      <w:r>
        <w:rPr>
          <w:rFonts w:ascii="Arial" w:cs="Arial" w:eastAsia="Arial" w:hAnsi="Arial"/>
          <w:sz w:val="15"/>
          <w:szCs w:val="15"/>
          <w:color w:val="auto"/>
        </w:rPr>
        <w:t>adults and adolescents</w:t>
      </w:r>
    </w:p>
    <w:p>
      <w:pPr>
        <w:spacing w:after="0" w:line="9" w:lineRule="exact"/>
        <w:rPr>
          <w:rFonts w:ascii="Arial" w:cs="Arial" w:eastAsia="Arial" w:hAnsi="Arial"/>
          <w:sz w:val="17"/>
          <w:szCs w:val="17"/>
          <w:color w:val="auto"/>
        </w:rPr>
      </w:pPr>
    </w:p>
    <w:p>
      <w:pPr>
        <w:ind w:left="9400"/>
        <w:spacing w:after="0"/>
        <w:rPr>
          <w:sz w:val="20"/>
          <w:szCs w:val="20"/>
          <w:color w:val="auto"/>
        </w:rPr>
      </w:pPr>
      <w:r>
        <w:rPr>
          <w:rFonts w:ascii="Arial" w:cs="Arial" w:eastAsia="Arial" w:hAnsi="Arial"/>
          <w:sz w:val="18"/>
          <w:szCs w:val="18"/>
          <w:color w:val="auto"/>
        </w:rPr>
        <w:t>with EoE (2022)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4"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Clinical Program</w:t>
      </w:r>
    </w:p>
    <w:p>
      <w:pPr>
        <w:spacing w:after="0" w:line="12"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1097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Phase 1</w:t>
            </w:r>
          </w:p>
        </w:tc>
        <w:tc>
          <w:tcPr>
            <w:tcW w:w="14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Phase 2</w:t>
            </w:r>
          </w:p>
        </w:tc>
        <w:tc>
          <w:tcPr>
            <w:tcW w:w="14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Phase 3</w:t>
            </w:r>
          </w:p>
        </w:tc>
        <w:tc>
          <w:tcPr>
            <w:tcW w:w="14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Regulatory</w:t>
            </w:r>
          </w:p>
        </w:tc>
        <w:tc>
          <w:tcPr>
            <w:tcW w:w="20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2020 Events to Date</w:t>
            </w:r>
          </w:p>
        </w:tc>
        <w:tc>
          <w:tcPr>
            <w:tcW w:w="156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Select Upcoming</w:t>
            </w:r>
          </w:p>
        </w:tc>
        <w:tc>
          <w:tcPr>
            <w:tcW w:w="0" w:type="dxa"/>
            <w:vAlign w:val="bottom"/>
          </w:tcPr>
          <w:p>
            <w:pPr>
              <w:spacing w:after="0"/>
              <w:rPr>
                <w:sz w:val="1"/>
                <w:szCs w:val="1"/>
                <w:color w:val="auto"/>
              </w:rPr>
            </w:pPr>
          </w:p>
        </w:tc>
      </w:tr>
      <w:tr>
        <w:trPr>
          <w:trHeight w:val="258"/>
        </w:trPr>
        <w:tc>
          <w:tcPr>
            <w:tcW w:w="96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440" w:type="dxa"/>
            <w:vAlign w:val="bottom"/>
          </w:tcPr>
          <w:p>
            <w:pPr>
              <w:jc w:val="center"/>
              <w:ind w:left="30"/>
              <w:spacing w:after="0" w:line="258"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2020" w:type="dxa"/>
            <w:vAlign w:val="bottom"/>
            <w:vMerge w:val="continue"/>
          </w:tcPr>
          <w:p>
            <w:pPr>
              <w:spacing w:after="0"/>
              <w:rPr>
                <w:sz w:val="22"/>
                <w:szCs w:val="22"/>
                <w:color w:val="auto"/>
              </w:rPr>
            </w:pPr>
          </w:p>
        </w:tc>
        <w:tc>
          <w:tcPr>
            <w:tcW w:w="1560" w:type="dxa"/>
            <w:vAlign w:val="bottom"/>
          </w:tcPr>
          <w:p>
            <w:pPr>
              <w:jc w:val="center"/>
              <w:ind w:left="190"/>
              <w:spacing w:after="0" w:line="258"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-17780</wp:posOffset>
            </wp:positionV>
            <wp:extent cx="5940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60" w:space="540"/>
            <w:col w:w="91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Kevzara (sarilumab)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174115" cy="1440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74115" cy="1440180"/>
                    </a:xfrm>
                    <a:prstGeom prst="rect">
                      <a:avLst/>
                    </a:prstGeom>
                    <a:noFill/>
                  </pic:spPr>
                </pic:pic>
              </a:graphicData>
            </a:graphic>
          </wp:anchor>
        </w:drawing>
      </w:r>
    </w:p>
    <w:p>
      <w:pPr>
        <w:ind w:left="40"/>
        <w:spacing w:after="0" w:line="207" w:lineRule="auto"/>
        <w:rPr>
          <w:sz w:val="20"/>
          <w:szCs w:val="20"/>
          <w:color w:val="auto"/>
        </w:rPr>
      </w:pPr>
      <w:r>
        <w:rPr>
          <w:rFonts w:ascii="Arial" w:cs="Arial" w:eastAsia="Arial" w:hAnsi="Arial"/>
          <w:sz w:val="12"/>
          <w:szCs w:val="12"/>
          <w:b w:val="1"/>
          <w:bCs w:val="1"/>
          <w:color w:val="auto"/>
        </w:rPr>
        <w:t>(a)</w:t>
      </w:r>
    </w:p>
    <w:p>
      <w:pPr>
        <w:ind w:left="40"/>
        <w:spacing w:after="0"/>
        <w:rPr>
          <w:sz w:val="20"/>
          <w:szCs w:val="20"/>
          <w:color w:val="auto"/>
        </w:rPr>
      </w:pPr>
      <w:r>
        <w:rPr>
          <w:rFonts w:ascii="Arial" w:cs="Arial" w:eastAsia="Arial" w:hAnsi="Arial"/>
          <w:sz w:val="18"/>
          <w:szCs w:val="18"/>
          <w:i w:val="1"/>
          <w:iCs w:val="1"/>
          <w:color w:val="auto"/>
        </w:rPr>
        <w:t>Antibody to IL-6R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right="160"/>
        <w:spacing w:after="0" w:line="204" w:lineRule="auto"/>
        <w:rPr>
          <w:sz w:val="20"/>
          <w:szCs w:val="20"/>
          <w:color w:val="auto"/>
        </w:rPr>
      </w:pPr>
      <w:r>
        <w:rPr>
          <w:rFonts w:ascii="Arial" w:cs="Arial" w:eastAsia="Arial" w:hAnsi="Arial"/>
          <w:sz w:val="18"/>
          <w:szCs w:val="18"/>
          <w:b w:val="1"/>
          <w:bCs w:val="1"/>
          <w:color w:val="auto"/>
        </w:rPr>
        <w:t>REGN3500</w:t>
      </w:r>
      <w:r>
        <w:rPr>
          <w:rFonts w:ascii="Arial" w:cs="Arial" w:eastAsia="Arial" w:hAnsi="Arial"/>
          <w:sz w:val="23"/>
          <w:szCs w:val="23"/>
          <w:b w:val="1"/>
          <w:bCs w:val="1"/>
          <w:color w:val="auto"/>
          <w:vertAlign w:val="superscript"/>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Antibody to IL-33. Studied as monotherapy and in combination with Dupixent.</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Arial" w:cs="Arial" w:eastAsia="Arial" w:hAnsi="Arial"/>
          <w:sz w:val="18"/>
          <w:szCs w:val="18"/>
          <w:color w:val="auto"/>
        </w:rPr>
        <w:t>- Allergic</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bronchopulmonary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aspergillosis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("ABPA")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shd w:val="clear" w:color="auto" w:fill="CCEEFF"/>
          </w:tcPr>
          <w:p>
            <w:pPr>
              <w:spacing w:after="0"/>
              <w:rPr>
                <w:sz w:val="19"/>
                <w:szCs w:val="19"/>
                <w:color w:val="auto"/>
              </w:rPr>
            </w:pPr>
          </w:p>
        </w:tc>
        <w:tc>
          <w:tcPr>
            <w:tcW w:w="2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Polyarticular-</w:t>
            </w: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Hospitalized</w:t>
            </w:r>
          </w:p>
        </w:tc>
        <w:tc>
          <w:tcPr>
            <w:tcW w:w="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Stopped Phase 3 U.S.</w:t>
            </w:r>
          </w:p>
        </w:tc>
      </w:tr>
      <w:tr>
        <w:trPr>
          <w:trHeight w:val="216"/>
        </w:trPr>
        <w:tc>
          <w:tcPr>
            <w:tcW w:w="140" w:type="dxa"/>
            <w:vAlign w:val="bottom"/>
            <w:shd w:val="clear" w:color="auto" w:fill="CCEEFF"/>
          </w:tcPr>
          <w:p>
            <w:pPr>
              <w:spacing w:after="0"/>
              <w:rPr>
                <w:sz w:val="18"/>
                <w:szCs w:val="18"/>
                <w:color w:val="auto"/>
              </w:rPr>
            </w:pPr>
          </w:p>
        </w:tc>
        <w:tc>
          <w:tcPr>
            <w:tcW w:w="2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course juvenile</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"critical" COVID-</w:t>
            </w: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trial in COVID-19</w:t>
            </w:r>
          </w:p>
        </w:tc>
      </w:tr>
      <w:tr>
        <w:trPr>
          <w:trHeight w:val="216"/>
        </w:trPr>
        <w:tc>
          <w:tcPr>
            <w:tcW w:w="140" w:type="dxa"/>
            <w:vAlign w:val="bottom"/>
            <w:shd w:val="clear" w:color="auto" w:fill="CCEEFF"/>
          </w:tcPr>
          <w:p>
            <w:pPr>
              <w:spacing w:after="0"/>
              <w:rPr>
                <w:sz w:val="18"/>
                <w:szCs w:val="18"/>
                <w:color w:val="auto"/>
              </w:rPr>
            </w:pPr>
          </w:p>
        </w:tc>
        <w:tc>
          <w:tcPr>
            <w:tcW w:w="2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8"/>
              </w:rPr>
              <w:t>idiopathic arthritis</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 patients (outside</w:t>
            </w: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patients due to study not</w:t>
            </w: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("pcJIA")</w:t>
            </w:r>
          </w:p>
        </w:tc>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 United States)</w:t>
            </w:r>
          </w:p>
        </w:tc>
        <w:tc>
          <w:tcPr>
            <w:tcW w:w="7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meeting its primary and</w:t>
            </w:r>
          </w:p>
        </w:tc>
      </w:tr>
      <w:tr>
        <w:trPr>
          <w:trHeight w:val="229"/>
        </w:trPr>
        <w:tc>
          <w:tcPr>
            <w:tcW w:w="140" w:type="dxa"/>
            <w:vAlign w:val="bottom"/>
          </w:tcPr>
          <w:p>
            <w:pPr>
              <w:spacing w:after="0"/>
              <w:rPr>
                <w:sz w:val="19"/>
                <w:szCs w:val="19"/>
                <w:color w:val="auto"/>
              </w:rPr>
            </w:pPr>
          </w:p>
        </w:tc>
        <w:tc>
          <w:tcPr>
            <w:tcW w:w="2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 Systemic juvenile</w:t>
            </w:r>
          </w:p>
        </w:tc>
        <w:tc>
          <w:tcPr>
            <w:tcW w:w="2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89"/>
              </w:rPr>
              <w:t>key secondary endpoints</w:t>
            </w:r>
          </w:p>
        </w:tc>
      </w:tr>
      <w:tr>
        <w:trPr>
          <w:trHeight w:val="203"/>
        </w:trPr>
        <w:tc>
          <w:tcPr>
            <w:tcW w:w="140" w:type="dxa"/>
            <w:vAlign w:val="bottom"/>
          </w:tcPr>
          <w:p>
            <w:pPr>
              <w:spacing w:after="0"/>
              <w:rPr>
                <w:sz w:val="17"/>
                <w:szCs w:val="17"/>
                <w:color w:val="auto"/>
              </w:rPr>
            </w:pPr>
          </w:p>
        </w:tc>
        <w:tc>
          <w:tcPr>
            <w:tcW w:w="2560" w:type="dxa"/>
            <w:vAlign w:val="bottom"/>
            <w:shd w:val="clear" w:color="auto" w:fill="CCEEFF"/>
          </w:tcPr>
          <w:p>
            <w:pPr>
              <w:ind w:left="1160"/>
              <w:spacing w:after="0" w:line="203" w:lineRule="exact"/>
              <w:rPr>
                <w:sz w:val="20"/>
                <w:szCs w:val="20"/>
                <w:color w:val="auto"/>
              </w:rPr>
            </w:pPr>
            <w:r>
              <w:rPr>
                <w:rFonts w:ascii="Arial" w:cs="Arial" w:eastAsia="Arial" w:hAnsi="Arial"/>
                <w:sz w:val="18"/>
                <w:szCs w:val="18"/>
                <w:color w:val="auto"/>
                <w:w w:val="98"/>
              </w:rPr>
              <w:t>idiopathic arthritis</w:t>
            </w:r>
          </w:p>
        </w:tc>
        <w:tc>
          <w:tcPr>
            <w:tcW w:w="2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29"/>
        </w:trPr>
        <w:tc>
          <w:tcPr>
            <w:tcW w:w="140" w:type="dxa"/>
            <w:vAlign w:val="bottom"/>
          </w:tcPr>
          <w:p>
            <w:pPr>
              <w:spacing w:after="0"/>
              <w:rPr>
                <w:sz w:val="19"/>
                <w:szCs w:val="19"/>
                <w:color w:val="auto"/>
              </w:rPr>
            </w:pPr>
          </w:p>
        </w:tc>
        <w:tc>
          <w:tcPr>
            <w:tcW w:w="2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("sJIA")</w:t>
            </w:r>
          </w:p>
        </w:tc>
        <w:tc>
          <w:tcPr>
            <w:tcW w:w="2240" w:type="dxa"/>
            <w:vAlign w:val="bottom"/>
            <w:shd w:val="clear" w:color="auto" w:fill="CCEEFF"/>
          </w:tcPr>
          <w:p>
            <w:pPr>
              <w:spacing w:after="0"/>
              <w:rPr>
                <w:sz w:val="19"/>
                <w:szCs w:val="19"/>
                <w:color w:val="auto"/>
              </w:rPr>
            </w:pPr>
          </w:p>
        </w:tc>
        <w:tc>
          <w:tcPr>
            <w:tcW w:w="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clinical</w:t>
            </w:r>
          </w:p>
        </w:tc>
      </w:tr>
      <w:tr>
        <w:trPr>
          <w:trHeight w:val="216"/>
        </w:trPr>
        <w:tc>
          <w:tcPr>
            <w:tcW w:w="1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in</w:t>
            </w:r>
          </w:p>
        </w:tc>
      </w:tr>
      <w:tr>
        <w:trPr>
          <w:trHeight w:val="216"/>
        </w:trPr>
        <w:tc>
          <w:tcPr>
            <w:tcW w:w="1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polymyalgia rheumatica</w:t>
            </w:r>
          </w:p>
        </w:tc>
      </w:tr>
      <w:tr>
        <w:trPr>
          <w:trHeight w:val="237"/>
        </w:trPr>
        <w:tc>
          <w:tcPr>
            <w:tcW w:w="14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giant cell arteritis</w:t>
            </w:r>
          </w:p>
        </w:tc>
      </w:tr>
      <w:tr>
        <w:trPr>
          <w:trHeight w:val="229"/>
        </w:trPr>
        <w:tc>
          <w:tcPr>
            <w:tcW w:w="140" w:type="dxa"/>
            <w:vAlign w:val="bottom"/>
          </w:tcPr>
          <w:p>
            <w:pPr>
              <w:spacing w:after="0"/>
              <w:rPr>
                <w:sz w:val="19"/>
                <w:szCs w:val="19"/>
                <w:color w:val="auto"/>
              </w:rPr>
            </w:pPr>
          </w:p>
        </w:tc>
        <w:tc>
          <w:tcPr>
            <w:tcW w:w="2560" w:type="dxa"/>
            <w:vAlign w:val="bottom"/>
          </w:tcPr>
          <w:p>
            <w:pPr>
              <w:ind w:left="1040"/>
              <w:spacing w:after="0"/>
              <w:rPr>
                <w:sz w:val="20"/>
                <w:szCs w:val="20"/>
                <w:color w:val="auto"/>
              </w:rPr>
            </w:pPr>
            <w:r>
              <w:rPr>
                <w:rFonts w:ascii="Arial" w:cs="Arial" w:eastAsia="Arial" w:hAnsi="Arial"/>
                <w:sz w:val="18"/>
                <w:szCs w:val="18"/>
                <w:color w:val="auto"/>
              </w:rPr>
              <w:t>- Asthma</w:t>
            </w:r>
          </w:p>
        </w:tc>
        <w:tc>
          <w:tcPr>
            <w:tcW w:w="2240" w:type="dxa"/>
            <w:vAlign w:val="bottom"/>
          </w:tcPr>
          <w:p>
            <w:pPr>
              <w:spacing w:after="0"/>
              <w:rPr>
                <w:sz w:val="19"/>
                <w:szCs w:val="19"/>
                <w:color w:val="auto"/>
              </w:rPr>
            </w:pPr>
          </w:p>
        </w:tc>
        <w:tc>
          <w:tcPr>
            <w:tcW w:w="2600" w:type="dxa"/>
            <w:vAlign w:val="bottom"/>
            <w:gridSpan w:val="2"/>
          </w:tcPr>
          <w:p>
            <w:pPr>
              <w:ind w:left="680"/>
              <w:spacing w:after="0"/>
              <w:rPr>
                <w:sz w:val="20"/>
                <w:szCs w:val="20"/>
                <w:color w:val="auto"/>
              </w:rPr>
            </w:pPr>
            <w:r>
              <w:rPr>
                <w:rFonts w:ascii="Arial" w:cs="Arial" w:eastAsia="Arial" w:hAnsi="Arial"/>
                <w:sz w:val="18"/>
                <w:szCs w:val="18"/>
                <w:color w:val="auto"/>
              </w:rPr>
              <w:t>- Discontinued further</w:t>
            </w:r>
          </w:p>
        </w:tc>
      </w:tr>
      <w:tr>
        <w:trPr>
          <w:trHeight w:val="138"/>
        </w:trPr>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tcPr>
          <w:p>
            <w:pPr>
              <w:ind w:left="20"/>
              <w:spacing w:after="0" w:line="138" w:lineRule="exact"/>
              <w:rPr>
                <w:sz w:val="20"/>
                <w:szCs w:val="20"/>
                <w:color w:val="auto"/>
              </w:rPr>
            </w:pPr>
            <w:r>
              <w:rPr>
                <w:rFonts w:ascii="Arial" w:cs="Arial" w:eastAsia="Arial" w:hAnsi="Arial"/>
                <w:sz w:val="15"/>
                <w:szCs w:val="15"/>
                <w:color w:val="auto"/>
              </w:rPr>
              <w:t>clinical development in</w:t>
            </w:r>
          </w:p>
        </w:tc>
      </w:tr>
    </w:tbl>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 COPD</w:t>
            </w:r>
          </w:p>
        </w:tc>
        <w:tc>
          <w:tcPr>
            <w:tcW w:w="3680" w:type="dxa"/>
            <w:vAlign w:val="bottom"/>
            <w:vMerge w:val="restart"/>
          </w:tcPr>
          <w:p>
            <w:pPr>
              <w:ind w:left="1980"/>
              <w:spacing w:after="0"/>
              <w:rPr>
                <w:sz w:val="20"/>
                <w:szCs w:val="20"/>
                <w:color w:val="auto"/>
              </w:rPr>
            </w:pPr>
            <w:r>
              <w:rPr>
                <w:rFonts w:ascii="Arial" w:cs="Arial" w:eastAsia="Arial" w:hAnsi="Arial"/>
                <w:sz w:val="18"/>
                <w:szCs w:val="18"/>
                <w:color w:val="auto"/>
                <w:w w:val="90"/>
              </w:rPr>
              <w:t>atopic dermatitis due to</w:t>
            </w:r>
          </w:p>
        </w:tc>
        <w:tc>
          <w:tcPr>
            <w:tcW w:w="0" w:type="dxa"/>
            <w:vAlign w:val="bottom"/>
          </w:tcPr>
          <w:p>
            <w:pPr>
              <w:spacing w:after="0"/>
              <w:rPr>
                <w:sz w:val="1"/>
                <w:szCs w:val="1"/>
                <w:color w:val="auto"/>
              </w:rPr>
            </w:pPr>
          </w:p>
        </w:tc>
      </w:tr>
      <w:tr>
        <w:trPr>
          <w:trHeight w:val="64"/>
        </w:trPr>
        <w:tc>
          <w:tcPr>
            <w:tcW w:w="25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3680" w:type="dxa"/>
            <w:vAlign w:val="bottom"/>
          </w:tcPr>
          <w:p>
            <w:pPr>
              <w:ind w:left="1980"/>
              <w:spacing w:after="0"/>
              <w:rPr>
                <w:sz w:val="20"/>
                <w:szCs w:val="20"/>
                <w:color w:val="auto"/>
              </w:rPr>
            </w:pPr>
            <w:r>
              <w:rPr>
                <w:rFonts w:ascii="Arial" w:cs="Arial" w:eastAsia="Arial" w:hAnsi="Arial"/>
                <w:sz w:val="18"/>
                <w:szCs w:val="18"/>
                <w:color w:val="auto"/>
              </w:rPr>
              <w:t>lack of efficacy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20" w:right="60" w:hanging="120"/>
        <w:spacing w:after="0" w:line="258"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Phase 3 study in hand and foot atopic dermatitis (second half 2020)</w:t>
      </w:r>
    </w:p>
    <w:p>
      <w:pPr>
        <w:spacing w:after="0" w:line="25" w:lineRule="exact"/>
        <w:rPr>
          <w:rFonts w:ascii="Arial" w:cs="Arial" w:eastAsia="Arial" w:hAnsi="Arial"/>
          <w:sz w:val="18"/>
          <w:szCs w:val="18"/>
          <w:color w:val="auto"/>
        </w:rPr>
      </w:pPr>
    </w:p>
    <w:p>
      <w:pPr>
        <w:ind w:left="120" w:right="60" w:hanging="120"/>
        <w:spacing w:after="0" w:line="257"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results from Phase 3 study outside the United States in COVID-19 (second half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-711200</wp:posOffset>
            </wp:positionV>
            <wp:extent cx="1234440" cy="1440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1440180"/>
                    </a:xfrm>
                    <a:prstGeom prst="rect">
                      <a:avLst/>
                    </a:prstGeom>
                    <a:noFill/>
                  </pic:spPr>
                </pic:pic>
              </a:graphicData>
            </a:graphic>
          </wp:anchor>
        </w:drawing>
      </w:r>
    </w:p>
    <w:p>
      <w:pPr>
        <w:spacing w:after="0" w:line="2247" w:lineRule="exact"/>
        <w:rPr>
          <w:sz w:val="20"/>
          <w:szCs w:val="20"/>
          <w:color w:val="auto"/>
        </w:rPr>
      </w:pPr>
    </w:p>
    <w:p>
      <w:pPr>
        <w:sectPr>
          <w:pgSz w:w="11900" w:h="16838" w:orient="portrait"/>
          <w:cols w:equalWidth="0" w:num="3">
            <w:col w:w="1640" w:space="100"/>
            <w:col w:w="7540" w:space="20"/>
            <w:col w:w="19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17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b w:val="1"/>
                <w:bCs w:val="1"/>
                <w:color w:val="auto"/>
              </w:rPr>
              <w:t>REGN1908-1909</w:t>
            </w:r>
            <w:r>
              <w:rPr>
                <w:rFonts w:ascii="Arial" w:cs="Arial" w:eastAsia="Arial" w:hAnsi="Arial"/>
                <w:sz w:val="22"/>
                <w:szCs w:val="22"/>
                <w:b w:val="1"/>
                <w:bCs w:val="1"/>
                <w:color w:val="auto"/>
                <w:vertAlign w:val="superscript"/>
              </w:rPr>
              <w:t>(f)</w:t>
            </w:r>
          </w:p>
        </w:tc>
        <w:tc>
          <w:tcPr>
            <w:tcW w:w="1160" w:type="dxa"/>
            <w:vAlign w:val="bottom"/>
            <w:shd w:val="clear" w:color="auto" w:fill="CCEEFF"/>
          </w:tcPr>
          <w:p>
            <w:pPr>
              <w:spacing w:after="0"/>
              <w:rPr>
                <w:sz w:val="17"/>
                <w:szCs w:val="17"/>
                <w:color w:val="auto"/>
              </w:rPr>
            </w:pPr>
          </w:p>
        </w:tc>
        <w:tc>
          <w:tcPr>
            <w:tcW w:w="1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Cat allergy</w:t>
            </w:r>
          </w:p>
        </w:tc>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Report results from</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4"/>
              </w:rPr>
              <w:t>Multi-antibody therapy</w:t>
            </w: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Phase 2 study in cat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to Feld1</w:t>
            </w: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4"/>
              </w:rPr>
              <w:t>allergic asthmatics (first</w:t>
            </w:r>
          </w:p>
        </w:tc>
        <w:tc>
          <w:tcPr>
            <w:tcW w:w="0" w:type="dxa"/>
            <w:vAlign w:val="bottom"/>
          </w:tcPr>
          <w:p>
            <w:pPr>
              <w:spacing w:after="0"/>
              <w:rPr>
                <w:sz w:val="1"/>
                <w:szCs w:val="1"/>
                <w:color w:val="auto"/>
              </w:rPr>
            </w:pPr>
          </w:p>
        </w:tc>
      </w:tr>
      <w:tr>
        <w:trPr>
          <w:trHeight w:val="40"/>
        </w:trPr>
        <w:tc>
          <w:tcPr>
            <w:tcW w:w="1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94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REGN5713-5714-</w:t>
            </w:r>
          </w:p>
        </w:tc>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 Birch allergy</w:t>
            </w:r>
          </w:p>
        </w:tc>
        <w:tc>
          <w:tcPr>
            <w:tcW w:w="1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5715</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i w:val="1"/>
                <w:iCs w:val="1"/>
                <w:color w:val="auto"/>
              </w:rPr>
              <w:t>Antibody to Betv1</w:t>
            </w:r>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ACACAC"/>
            </w:tcBorders>
            <w:shd w:val="clear" w:color="auto" w:fill="ACACAC"/>
          </w:tcPr>
          <w:p>
            <w:pPr>
              <w:spacing w:after="0"/>
              <w:rPr>
                <w:sz w:val="21"/>
                <w:szCs w:val="21"/>
                <w:color w:val="auto"/>
              </w:rPr>
            </w:pPr>
          </w:p>
        </w:tc>
        <w:tc>
          <w:tcPr>
            <w:tcW w:w="1160" w:type="dxa"/>
            <w:vAlign w:val="bottom"/>
            <w:tcBorders>
              <w:bottom w:val="single" w:sz="8" w:color="ACACAC"/>
            </w:tcBorders>
            <w:shd w:val="clear" w:color="auto" w:fill="ACACAC"/>
          </w:tcPr>
          <w:p>
            <w:pPr>
              <w:spacing w:after="0"/>
              <w:rPr>
                <w:sz w:val="21"/>
                <w:szCs w:val="21"/>
                <w:color w:val="auto"/>
              </w:rPr>
            </w:pPr>
          </w:p>
        </w:tc>
        <w:tc>
          <w:tcPr>
            <w:tcW w:w="1540" w:type="dxa"/>
            <w:vAlign w:val="bottom"/>
            <w:tcBorders>
              <w:bottom w:val="single" w:sz="8" w:color="ACACAC"/>
            </w:tcBorders>
            <w:shd w:val="clear" w:color="auto" w:fill="ACACAC"/>
          </w:tcPr>
          <w:p>
            <w:pPr>
              <w:spacing w:after="0"/>
              <w:rPr>
                <w:sz w:val="21"/>
                <w:szCs w:val="21"/>
                <w:color w:val="auto"/>
              </w:rPr>
            </w:pPr>
          </w:p>
        </w:tc>
        <w:tc>
          <w:tcPr>
            <w:tcW w:w="2240" w:type="dxa"/>
            <w:vAlign w:val="bottom"/>
            <w:tcBorders>
              <w:bottom w:val="single" w:sz="8" w:color="ACACAC"/>
            </w:tcBorders>
            <w:shd w:val="clear" w:color="auto" w:fill="ACACAC"/>
          </w:tcPr>
          <w:p>
            <w:pPr>
              <w:ind w:left="820"/>
              <w:spacing w:after="0"/>
              <w:rPr>
                <w:sz w:val="20"/>
                <w:szCs w:val="20"/>
                <w:color w:val="auto"/>
              </w:rPr>
            </w:pPr>
            <w:r>
              <w:rPr>
                <w:rFonts w:ascii="Arial" w:cs="Arial" w:eastAsia="Arial" w:hAnsi="Arial"/>
                <w:sz w:val="18"/>
                <w:szCs w:val="18"/>
                <w:b w:val="1"/>
                <w:bCs w:val="1"/>
                <w:color w:val="auto"/>
              </w:rPr>
              <w:t>Oncology</w:t>
            </w:r>
          </w:p>
        </w:tc>
        <w:tc>
          <w:tcPr>
            <w:tcW w:w="2600" w:type="dxa"/>
            <w:vAlign w:val="bottom"/>
            <w:tcBorders>
              <w:bottom w:val="single" w:sz="8" w:color="ACACAC"/>
            </w:tcBorders>
            <w:shd w:val="clear" w:color="auto" w:fill="ACACAC"/>
          </w:tcPr>
          <w:p>
            <w:pPr>
              <w:spacing w:after="0"/>
              <w:rPr>
                <w:sz w:val="21"/>
                <w:szCs w:val="21"/>
                <w:color w:val="auto"/>
              </w:rPr>
            </w:pPr>
          </w:p>
        </w:tc>
        <w:tc>
          <w:tcPr>
            <w:tcW w:w="194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 xml:space="preserve">Libtayo (cemiplimab) </w:t>
            </w:r>
            <w:r>
              <w:rPr>
                <w:rFonts w:ascii="Arial" w:cs="Arial" w:eastAsia="Arial" w:hAnsi="Arial"/>
                <w:sz w:val="18"/>
                <w:szCs w:val="18"/>
                <w:color w:val="auto"/>
                <w:w w:val="95"/>
              </w:rPr>
              <w:t>- Solid tumors</w:t>
            </w:r>
          </w:p>
        </w:tc>
        <w:tc>
          <w:tcPr>
            <w:tcW w:w="1540" w:type="dxa"/>
            <w:vAlign w:val="bottom"/>
          </w:tcPr>
          <w:p>
            <w:pPr>
              <w:ind w:left="20"/>
              <w:spacing w:after="0"/>
              <w:rPr>
                <w:sz w:val="20"/>
                <w:szCs w:val="20"/>
                <w:color w:val="auto"/>
              </w:rPr>
            </w:pPr>
            <w:r>
              <w:rPr>
                <w:rFonts w:ascii="Arial" w:cs="Arial" w:eastAsia="Arial" w:hAnsi="Arial"/>
                <w:sz w:val="18"/>
                <w:szCs w:val="18"/>
                <w:color w:val="auto"/>
              </w:rPr>
              <w:t>- Basal cell</w:t>
            </w:r>
          </w:p>
        </w:tc>
        <w:tc>
          <w:tcPr>
            <w:tcW w:w="2240" w:type="dxa"/>
            <w:vAlign w:val="bottom"/>
          </w:tcPr>
          <w:p>
            <w:pPr>
              <w:ind w:left="20"/>
              <w:spacing w:after="0"/>
              <w:rPr>
                <w:sz w:val="20"/>
                <w:szCs w:val="20"/>
                <w:color w:val="auto"/>
              </w:rPr>
            </w:pPr>
            <w:r>
              <w:rPr>
                <w:rFonts w:ascii="Arial" w:cs="Arial" w:eastAsia="Arial" w:hAnsi="Arial"/>
                <w:sz w:val="18"/>
                <w:szCs w:val="18"/>
                <w:color w:val="auto"/>
              </w:rPr>
              <w:t>- First-line non-small</w:t>
            </w:r>
          </w:p>
        </w:tc>
        <w:tc>
          <w:tcPr>
            <w:tcW w:w="2600" w:type="dxa"/>
            <w:vAlign w:val="bottom"/>
          </w:tcPr>
          <w:p>
            <w:pPr>
              <w:ind w:left="680"/>
              <w:spacing w:after="0"/>
              <w:rPr>
                <w:sz w:val="20"/>
                <w:szCs w:val="20"/>
                <w:color w:val="auto"/>
              </w:rPr>
            </w:pPr>
            <w:r>
              <w:rPr>
                <w:rFonts w:ascii="Arial" w:cs="Arial" w:eastAsia="Arial" w:hAnsi="Arial"/>
                <w:sz w:val="18"/>
                <w:szCs w:val="18"/>
                <w:color w:val="auto"/>
                <w:w w:val="99"/>
              </w:rPr>
              <w:t>- Reported that Phase 3</w:t>
            </w:r>
          </w:p>
        </w:tc>
        <w:tc>
          <w:tcPr>
            <w:tcW w:w="1940" w:type="dxa"/>
            <w:vAlign w:val="bottom"/>
          </w:tcPr>
          <w:p>
            <w:pPr>
              <w:ind w:left="20"/>
              <w:spacing w:after="0"/>
              <w:rPr>
                <w:sz w:val="20"/>
                <w:szCs w:val="20"/>
                <w:color w:val="auto"/>
              </w:rPr>
            </w:pPr>
            <w:r>
              <w:rPr>
                <w:rFonts w:ascii="Arial" w:cs="Arial" w:eastAsia="Arial" w:hAnsi="Arial"/>
                <w:sz w:val="18"/>
                <w:szCs w:val="18"/>
                <w:color w:val="auto"/>
              </w:rPr>
              <w:t>- Submit sBLA and</w:t>
            </w:r>
          </w:p>
        </w:tc>
        <w:tc>
          <w:tcPr>
            <w:tcW w:w="0" w:type="dxa"/>
            <w:vAlign w:val="bottom"/>
          </w:tcPr>
          <w:p>
            <w:pPr>
              <w:spacing w:after="0"/>
              <w:rPr>
                <w:sz w:val="1"/>
                <w:szCs w:val="1"/>
                <w:color w:val="auto"/>
              </w:rPr>
            </w:pPr>
          </w:p>
        </w:tc>
      </w:tr>
      <w:tr>
        <w:trPr>
          <w:trHeight w:val="108"/>
        </w:trPr>
        <w:tc>
          <w:tcPr>
            <w:tcW w:w="172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(a)(h)</w:t>
            </w:r>
          </w:p>
        </w:tc>
        <w:tc>
          <w:tcPr>
            <w:tcW w:w="1160" w:type="dxa"/>
            <w:vAlign w:val="bottom"/>
            <w:vMerge w:val="restart"/>
          </w:tcPr>
          <w:p>
            <w:pPr>
              <w:ind w:left="140"/>
              <w:spacing w:after="0"/>
              <w:rPr>
                <w:sz w:val="20"/>
                <w:szCs w:val="20"/>
                <w:color w:val="auto"/>
              </w:rPr>
            </w:pPr>
            <w:r>
              <w:rPr>
                <w:rFonts w:ascii="Arial" w:cs="Arial" w:eastAsia="Arial" w:hAnsi="Arial"/>
                <w:sz w:val="18"/>
                <w:szCs w:val="18"/>
                <w:color w:val="auto"/>
                <w:w w:val="88"/>
              </w:rPr>
              <w:t>and advanced</w:t>
            </w:r>
          </w:p>
        </w:tc>
        <w:tc>
          <w:tcPr>
            <w:tcW w:w="1540" w:type="dxa"/>
            <w:vAlign w:val="bottom"/>
            <w:vMerge w:val="restart"/>
          </w:tcPr>
          <w:p>
            <w:pPr>
              <w:ind w:left="140"/>
              <w:spacing w:after="0"/>
              <w:rPr>
                <w:sz w:val="20"/>
                <w:szCs w:val="20"/>
                <w:color w:val="auto"/>
              </w:rPr>
            </w:pPr>
            <w:r>
              <w:rPr>
                <w:rFonts w:ascii="Arial" w:cs="Arial" w:eastAsia="Arial" w:hAnsi="Arial"/>
                <w:sz w:val="18"/>
                <w:szCs w:val="18"/>
                <w:color w:val="auto"/>
              </w:rPr>
              <w:t>carcinoma</w:t>
            </w:r>
          </w:p>
        </w:tc>
        <w:tc>
          <w:tcPr>
            <w:tcW w:w="2240" w:type="dxa"/>
            <w:vAlign w:val="bottom"/>
            <w:vMerge w:val="restart"/>
          </w:tcPr>
          <w:p>
            <w:pPr>
              <w:ind w:left="140"/>
              <w:spacing w:after="0"/>
              <w:rPr>
                <w:sz w:val="20"/>
                <w:szCs w:val="20"/>
                <w:color w:val="auto"/>
              </w:rPr>
            </w:pPr>
            <w:r>
              <w:rPr>
                <w:rFonts w:ascii="Arial" w:cs="Arial" w:eastAsia="Arial" w:hAnsi="Arial"/>
                <w:sz w:val="18"/>
                <w:szCs w:val="18"/>
                <w:color w:val="auto"/>
              </w:rPr>
              <w:t>cell lung cancer</w:t>
            </w:r>
          </w:p>
        </w:tc>
        <w:tc>
          <w:tcPr>
            <w:tcW w:w="2600" w:type="dxa"/>
            <w:vAlign w:val="bottom"/>
            <w:vMerge w:val="restart"/>
          </w:tcPr>
          <w:p>
            <w:pPr>
              <w:ind w:left="800"/>
              <w:spacing w:after="0"/>
              <w:rPr>
                <w:sz w:val="20"/>
                <w:szCs w:val="20"/>
                <w:color w:val="auto"/>
              </w:rPr>
            </w:pPr>
            <w:r>
              <w:rPr>
                <w:rFonts w:ascii="Arial" w:cs="Arial" w:eastAsia="Arial" w:hAnsi="Arial"/>
                <w:sz w:val="18"/>
                <w:szCs w:val="18"/>
                <w:color w:val="auto"/>
              </w:rPr>
              <w:t>monotherapy trial in</w:t>
            </w:r>
          </w:p>
        </w:tc>
        <w:tc>
          <w:tcPr>
            <w:tcW w:w="1940" w:type="dxa"/>
            <w:vAlign w:val="bottom"/>
            <w:vMerge w:val="restart"/>
          </w:tcPr>
          <w:p>
            <w:pPr>
              <w:ind w:left="14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Arial" w:cs="Arial" w:eastAsia="Arial" w:hAnsi="Arial"/>
                <w:sz w:val="18"/>
                <w:szCs w:val="18"/>
                <w:i w:val="1"/>
                <w:iCs w:val="1"/>
                <w:color w:val="auto"/>
              </w:rPr>
              <w:t>Antibody to PD-1</w:t>
            </w:r>
          </w:p>
        </w:tc>
        <w:tc>
          <w:tcPr>
            <w:tcW w:w="11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160" w:type="dxa"/>
            <w:vAlign w:val="bottom"/>
          </w:tcPr>
          <w:p>
            <w:pPr>
              <w:ind w:left="140"/>
              <w:spacing w:after="0" w:line="201" w:lineRule="exact"/>
              <w:rPr>
                <w:sz w:val="20"/>
                <w:szCs w:val="20"/>
                <w:color w:val="auto"/>
              </w:rPr>
            </w:pPr>
            <w:r>
              <w:rPr>
                <w:rFonts w:ascii="Arial" w:cs="Arial" w:eastAsia="Arial" w:hAnsi="Arial"/>
                <w:sz w:val="18"/>
                <w:szCs w:val="18"/>
                <w:color w:val="auto"/>
              </w:rPr>
              <w:t>hematologic</w:t>
            </w:r>
          </w:p>
        </w:tc>
        <w:tc>
          <w:tcPr>
            <w:tcW w:w="1540" w:type="dxa"/>
            <w:vAlign w:val="bottom"/>
          </w:tcPr>
          <w:p>
            <w:pPr>
              <w:ind w:left="140"/>
              <w:spacing w:after="0" w:line="201" w:lineRule="exact"/>
              <w:rPr>
                <w:sz w:val="20"/>
                <w:szCs w:val="20"/>
                <w:color w:val="auto"/>
              </w:rPr>
            </w:pPr>
            <w:r>
              <w:rPr>
                <w:rFonts w:ascii="Arial" w:cs="Arial" w:eastAsia="Arial" w:hAnsi="Arial"/>
                <w:sz w:val="18"/>
                <w:szCs w:val="18"/>
                <w:color w:val="auto"/>
              </w:rPr>
              <w:t>("BCC")</w:t>
            </w:r>
          </w:p>
        </w:tc>
        <w:tc>
          <w:tcPr>
            <w:tcW w:w="2240" w:type="dxa"/>
            <w:vAlign w:val="bottom"/>
          </w:tcPr>
          <w:p>
            <w:pPr>
              <w:ind w:left="140"/>
              <w:spacing w:after="0" w:line="201" w:lineRule="exact"/>
              <w:rPr>
                <w:sz w:val="20"/>
                <w:szCs w:val="20"/>
                <w:color w:val="auto"/>
              </w:rPr>
            </w:pPr>
            <w:r>
              <w:rPr>
                <w:rFonts w:ascii="Arial" w:cs="Arial" w:eastAsia="Arial" w:hAnsi="Arial"/>
                <w:sz w:val="18"/>
                <w:szCs w:val="18"/>
                <w:color w:val="auto"/>
              </w:rPr>
              <w:t>("NSCLC"),</w:t>
            </w:r>
          </w:p>
        </w:tc>
        <w:tc>
          <w:tcPr>
            <w:tcW w:w="2600" w:type="dxa"/>
            <w:vAlign w:val="bottom"/>
          </w:tcPr>
          <w:p>
            <w:pPr>
              <w:ind w:left="800"/>
              <w:spacing w:after="0" w:line="201" w:lineRule="exact"/>
              <w:rPr>
                <w:sz w:val="20"/>
                <w:szCs w:val="20"/>
                <w:color w:val="auto"/>
              </w:rPr>
            </w:pPr>
            <w:r>
              <w:rPr>
                <w:rFonts w:ascii="Arial" w:cs="Arial" w:eastAsia="Arial" w:hAnsi="Arial"/>
                <w:sz w:val="18"/>
                <w:szCs w:val="18"/>
                <w:color w:val="auto"/>
                <w:w w:val="95"/>
              </w:rPr>
              <w:t>first-line NSCLC met its</w:t>
            </w:r>
          </w:p>
        </w:tc>
        <w:tc>
          <w:tcPr>
            <w:tcW w:w="1940" w:type="dxa"/>
            <w:vAlign w:val="bottom"/>
          </w:tcPr>
          <w:p>
            <w:pPr>
              <w:ind w:left="140"/>
              <w:spacing w:after="0" w:line="201" w:lineRule="exact"/>
              <w:rPr>
                <w:sz w:val="20"/>
                <w:szCs w:val="20"/>
                <w:color w:val="auto"/>
              </w:rPr>
            </w:pPr>
            <w:r>
              <w:rPr>
                <w:rFonts w:ascii="Arial" w:cs="Arial" w:eastAsia="Arial" w:hAnsi="Arial"/>
                <w:sz w:val="18"/>
                <w:szCs w:val="18"/>
                <w:color w:val="auto"/>
              </w:rPr>
              <w:t>Authorization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w w:val="95"/>
              </w:rPr>
              <w:t>malignancies</w:t>
            </w:r>
          </w:p>
        </w:tc>
        <w:tc>
          <w:tcPr>
            <w:tcW w:w="1540" w:type="dxa"/>
            <w:vAlign w:val="bottom"/>
          </w:tcPr>
          <w:p>
            <w:pPr>
              <w:ind w:left="140"/>
              <w:spacing w:after="0"/>
              <w:rPr>
                <w:sz w:val="20"/>
                <w:szCs w:val="20"/>
                <w:color w:val="auto"/>
              </w:rPr>
            </w:pPr>
            <w:r>
              <w:rPr>
                <w:rFonts w:ascii="Arial" w:cs="Arial" w:eastAsia="Arial" w:hAnsi="Arial"/>
                <w:sz w:val="18"/>
                <w:szCs w:val="18"/>
                <w:color w:val="auto"/>
                <w:w w:val="95"/>
              </w:rPr>
              <w:t>(potentially pivotal</w:t>
            </w:r>
          </w:p>
        </w:tc>
        <w:tc>
          <w:tcPr>
            <w:tcW w:w="2240" w:type="dxa"/>
            <w:vAlign w:val="bottom"/>
          </w:tcPr>
          <w:p>
            <w:pPr>
              <w:ind w:left="140"/>
              <w:spacing w:after="0"/>
              <w:rPr>
                <w:sz w:val="20"/>
                <w:szCs w:val="20"/>
                <w:color w:val="auto"/>
              </w:rPr>
            </w:pPr>
            <w:r>
              <w:rPr>
                <w:rFonts w:ascii="Arial" w:cs="Arial" w:eastAsia="Arial" w:hAnsi="Arial"/>
                <w:sz w:val="18"/>
                <w:szCs w:val="18"/>
                <w:color w:val="auto"/>
              </w:rPr>
              <w:t>monotherapy</w:t>
            </w:r>
          </w:p>
        </w:tc>
        <w:tc>
          <w:tcPr>
            <w:tcW w:w="2600" w:type="dxa"/>
            <w:vAlign w:val="bottom"/>
          </w:tcPr>
          <w:p>
            <w:pPr>
              <w:ind w:left="800"/>
              <w:spacing w:after="0"/>
              <w:rPr>
                <w:sz w:val="20"/>
                <w:szCs w:val="20"/>
                <w:color w:val="auto"/>
              </w:rPr>
            </w:pPr>
            <w:r>
              <w:rPr>
                <w:rFonts w:ascii="Arial" w:cs="Arial" w:eastAsia="Arial" w:hAnsi="Arial"/>
                <w:sz w:val="18"/>
                <w:szCs w:val="18"/>
                <w:color w:val="auto"/>
              </w:rPr>
              <w:t>primary endpoint. The</w:t>
            </w:r>
          </w:p>
        </w:tc>
        <w:tc>
          <w:tcPr>
            <w:tcW w:w="1940" w:type="dxa"/>
            <w:vAlign w:val="bottom"/>
          </w:tcPr>
          <w:p>
            <w:pPr>
              <w:ind w:left="140"/>
              <w:spacing w:after="0"/>
              <w:rPr>
                <w:sz w:val="20"/>
                <w:szCs w:val="20"/>
                <w:color w:val="auto"/>
              </w:rPr>
            </w:pPr>
            <w:r>
              <w:rPr>
                <w:rFonts w:ascii="Arial" w:cs="Arial" w:eastAsia="Arial" w:hAnsi="Arial"/>
                <w:sz w:val="18"/>
                <w:szCs w:val="18"/>
                <w:color w:val="auto"/>
              </w:rPr>
              <w:t>Application ("MAA")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study)</w:t>
            </w:r>
          </w:p>
        </w:tc>
        <w:tc>
          <w:tcPr>
            <w:tcW w:w="224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rPr>
              <w:t>Independent Data</w:t>
            </w:r>
          </w:p>
        </w:tc>
        <w:tc>
          <w:tcPr>
            <w:tcW w:w="1940" w:type="dxa"/>
            <w:vAlign w:val="bottom"/>
          </w:tcPr>
          <w:p>
            <w:pPr>
              <w:ind w:left="140"/>
              <w:spacing w:after="0"/>
              <w:rPr>
                <w:sz w:val="20"/>
                <w:szCs w:val="20"/>
                <w:color w:val="auto"/>
              </w:rPr>
            </w:pPr>
            <w:r>
              <w:rPr>
                <w:rFonts w:ascii="Arial" w:cs="Arial" w:eastAsia="Arial" w:hAnsi="Arial"/>
                <w:sz w:val="18"/>
                <w:szCs w:val="18"/>
                <w:color w:val="auto"/>
              </w:rPr>
              <w:t>for first-line NSCLC,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rPr>
              <w:t>Monitoring Committee</w:t>
            </w:r>
          </w:p>
        </w:tc>
        <w:tc>
          <w:tcPr>
            <w:tcW w:w="1940" w:type="dxa"/>
            <w:vAlign w:val="bottom"/>
          </w:tcPr>
          <w:p>
            <w:pPr>
              <w:ind w:left="140"/>
              <w:spacing w:after="0"/>
              <w:rPr>
                <w:sz w:val="20"/>
                <w:szCs w:val="20"/>
                <w:color w:val="auto"/>
              </w:rPr>
            </w:pPr>
            <w:r>
              <w:rPr>
                <w:rFonts w:ascii="Arial" w:cs="Arial" w:eastAsia="Arial" w:hAnsi="Arial"/>
                <w:sz w:val="18"/>
                <w:szCs w:val="18"/>
                <w:color w:val="auto"/>
              </w:rPr>
              <w:t>monotherapy (second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rPr>
              <w:t>("IDMC")</w:t>
            </w:r>
          </w:p>
        </w:tc>
        <w:tc>
          <w:tcPr>
            <w:tcW w:w="1940" w:type="dxa"/>
            <w:vAlign w:val="bottom"/>
          </w:tcPr>
          <w:p>
            <w:pPr>
              <w:ind w:left="140"/>
              <w:spacing w:after="0"/>
              <w:rPr>
                <w:sz w:val="20"/>
                <w:szCs w:val="20"/>
                <w:color w:val="auto"/>
              </w:rPr>
            </w:pPr>
            <w:r>
              <w:rPr>
                <w:rFonts w:ascii="Arial" w:cs="Arial" w:eastAsia="Arial" w:hAnsi="Arial"/>
                <w:sz w:val="18"/>
                <w:szCs w:val="18"/>
                <w:color w:val="auto"/>
              </w:rPr>
              <w:t>half 2020)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w w:val="94"/>
              </w:rPr>
              <w:t>recommended stopping</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rPr>
              <w:t>the trial early due to</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0" w:type="dxa"/>
            <w:vAlign w:val="bottom"/>
          </w:tcPr>
          <w:p>
            <w:pPr>
              <w:ind w:left="800"/>
              <w:spacing w:after="0"/>
              <w:rPr>
                <w:sz w:val="20"/>
                <w:szCs w:val="20"/>
                <w:color w:val="auto"/>
              </w:rPr>
            </w:pPr>
            <w:r>
              <w:rPr>
                <w:rFonts w:ascii="Arial" w:cs="Arial" w:eastAsia="Arial" w:hAnsi="Arial"/>
                <w:sz w:val="18"/>
                <w:szCs w:val="18"/>
                <w:color w:val="auto"/>
              </w:rPr>
              <w:t>highly significant</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-1388110</wp:posOffset>
            </wp:positionV>
            <wp:extent cx="7115175" cy="1680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680210"/>
                    </a:xfrm>
                    <a:prstGeom prst="rect">
                      <a:avLst/>
                    </a:prstGeom>
                    <a:noFill/>
                  </pic:spPr>
                </pic:pic>
              </a:graphicData>
            </a:graphic>
          </wp:anchor>
        </w:drawing>
      </w:r>
    </w:p>
    <w:p>
      <w:pPr>
        <w:ind w:left="7480"/>
        <w:spacing w:after="0"/>
        <w:rPr>
          <w:sz w:val="20"/>
          <w:szCs w:val="20"/>
          <w:color w:val="auto"/>
        </w:rPr>
      </w:pPr>
      <w:r>
        <w:rPr>
          <w:rFonts w:ascii="Arial" w:cs="Arial" w:eastAsia="Arial" w:hAnsi="Arial"/>
          <w:sz w:val="18"/>
          <w:szCs w:val="18"/>
          <w:color w:val="auto"/>
        </w:rPr>
        <w:t>improvement in overall</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Clinical Program</w:t>
            </w: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17"/>
                <w:szCs w:val="17"/>
                <w:color w:val="auto"/>
              </w:rPr>
            </w:pPr>
          </w:p>
        </w:tc>
        <w:tc>
          <w:tcPr>
            <w:tcW w:w="14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Phase 2</w:t>
            </w:r>
          </w:p>
        </w:tc>
        <w:tc>
          <w:tcPr>
            <w:tcW w:w="140" w:type="dxa"/>
            <w:vAlign w:val="bottom"/>
          </w:tcPr>
          <w:p>
            <w:pPr>
              <w:spacing w:after="0"/>
              <w:rPr>
                <w:sz w:val="17"/>
                <w:szCs w:val="17"/>
                <w:color w:val="auto"/>
              </w:rPr>
            </w:pPr>
          </w:p>
        </w:tc>
        <w:tc>
          <w:tcPr>
            <w:tcW w:w="14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3</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i w:val="1"/>
                <w:iCs w:val="1"/>
                <w:color w:val="auto"/>
                <w:w w:val="87"/>
              </w:rPr>
              <w:t>(continued)</w:t>
            </w: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Metastatic or</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First-line NSCLC,</w:t>
            </w: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ind w:left="20"/>
              <w:spacing w:after="0" w:line="177" w:lineRule="exact"/>
              <w:rPr>
                <w:sz w:val="20"/>
                <w:szCs w:val="20"/>
                <w:color w:val="auto"/>
              </w:rPr>
            </w:pPr>
            <w:r>
              <w:rPr>
                <w:rFonts w:ascii="Arial" w:cs="Arial" w:eastAsia="Arial" w:hAnsi="Arial"/>
                <w:sz w:val="18"/>
                <w:szCs w:val="18"/>
                <w:color w:val="auto"/>
              </w:rPr>
              <w:t>locally advanced</w:t>
            </w:r>
          </w:p>
        </w:tc>
        <w:tc>
          <w:tcPr>
            <w:tcW w:w="140" w:type="dxa"/>
            <w:vAlign w:val="bottom"/>
          </w:tcPr>
          <w:p>
            <w:pPr>
              <w:spacing w:after="0"/>
              <w:rPr>
                <w:sz w:val="15"/>
                <w:szCs w:val="15"/>
                <w:color w:val="auto"/>
              </w:rPr>
            </w:pPr>
          </w:p>
        </w:tc>
        <w:tc>
          <w:tcPr>
            <w:tcW w:w="1440" w:type="dxa"/>
            <w:vAlign w:val="bottom"/>
          </w:tcPr>
          <w:p>
            <w:pPr>
              <w:spacing w:after="0" w:line="177" w:lineRule="exact"/>
              <w:rPr>
                <w:sz w:val="20"/>
                <w:szCs w:val="20"/>
                <w:color w:val="auto"/>
              </w:rPr>
            </w:pPr>
            <w:r>
              <w:rPr>
                <w:rFonts w:ascii="Arial" w:cs="Arial" w:eastAsia="Arial" w:hAnsi="Arial"/>
                <w:sz w:val="18"/>
                <w:szCs w:val="18"/>
                <w:color w:val="auto"/>
              </w:rPr>
              <w:t>chemotherapy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3831590" cy="175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31590" cy="1757680"/>
                    </a:xfrm>
                    <a:prstGeom prst="rect">
                      <a:avLst/>
                    </a:prstGeom>
                    <a:noFill/>
                  </pic:spPr>
                </pic:pic>
              </a:graphicData>
            </a:graphic>
          </wp:anchor>
        </w:drawing>
      </w:r>
    </w:p>
    <w:tbl>
      <w:tblPr>
        <w:tblLayout w:type="fixed"/>
        <w:tblInd w:w="1740" w:type="dxa"/>
        <w:tblCellMar>
          <w:top w:w="0" w:type="dxa"/>
          <w:left w:w="0" w:type="dxa"/>
          <w:bottom w:w="0" w:type="dxa"/>
          <w:right w:w="0" w:type="dxa"/>
        </w:tblCellMar>
      </w:tblPr>
      <w:tr>
        <w:trPr>
          <w:trHeight w:val="214"/>
        </w:trPr>
        <w:tc>
          <w:tcPr>
            <w:tcW w:w="1220" w:type="dxa"/>
            <w:vAlign w:val="bottom"/>
          </w:tcPr>
          <w:p>
            <w:pPr>
              <w:spacing w:after="0"/>
              <w:rPr>
                <w:sz w:val="18"/>
                <w:szCs w:val="18"/>
                <w:color w:val="auto"/>
              </w:rPr>
            </w:pPr>
          </w:p>
        </w:tc>
        <w:tc>
          <w:tcPr>
            <w:tcW w:w="1520" w:type="dxa"/>
            <w:vAlign w:val="bottom"/>
          </w:tcPr>
          <w:p>
            <w:pPr>
              <w:ind w:left="140"/>
              <w:spacing w:after="0" w:line="214" w:lineRule="exact"/>
              <w:rPr>
                <w:sz w:val="20"/>
                <w:szCs w:val="20"/>
                <w:color w:val="auto"/>
              </w:rPr>
            </w:pPr>
            <w:r>
              <w:rPr>
                <w:rFonts w:ascii="Arial" w:cs="Arial" w:eastAsia="Arial" w:hAnsi="Arial"/>
                <w:sz w:val="18"/>
                <w:szCs w:val="18"/>
                <w:color w:val="auto"/>
              </w:rPr>
              <w:t>CSCC</w:t>
            </w:r>
            <w:r>
              <w:rPr>
                <w:rFonts w:ascii="Arial" w:cs="Arial" w:eastAsia="Arial" w:hAnsi="Arial"/>
                <w:sz w:val="23"/>
                <w:szCs w:val="23"/>
                <w:color w:val="auto"/>
                <w:vertAlign w:val="superscript"/>
              </w:rPr>
              <w:t>(d)</w:t>
            </w:r>
          </w:p>
        </w:tc>
        <w:tc>
          <w:tcPr>
            <w:tcW w:w="140" w:type="dxa"/>
            <w:vAlign w:val="bottom"/>
          </w:tcPr>
          <w:p>
            <w:pPr>
              <w:spacing w:after="0"/>
              <w:rPr>
                <w:sz w:val="18"/>
                <w:szCs w:val="18"/>
                <w:color w:val="auto"/>
              </w:rPr>
            </w:pPr>
          </w:p>
        </w:tc>
        <w:tc>
          <w:tcPr>
            <w:tcW w:w="1440" w:type="dxa"/>
            <w:vAlign w:val="bottom"/>
            <w:vMerge w:val="restart"/>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r>
        <w:trPr>
          <w:trHeight w:val="94"/>
        </w:trPr>
        <w:tc>
          <w:tcPr>
            <w:tcW w:w="1220" w:type="dxa"/>
            <w:vAlign w:val="bottom"/>
            <w:shd w:val="clear" w:color="auto" w:fill="CCEEFF"/>
          </w:tcPr>
          <w:p>
            <w:pPr>
              <w:spacing w:after="0"/>
              <w:rPr>
                <w:sz w:val="8"/>
                <w:szCs w:val="8"/>
                <w:color w:val="auto"/>
              </w:rPr>
            </w:pPr>
          </w:p>
        </w:tc>
        <w:tc>
          <w:tcPr>
            <w:tcW w:w="1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Neoadjuvant</w:t>
            </w:r>
          </w:p>
        </w:tc>
        <w:tc>
          <w:tcPr>
            <w:tcW w:w="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CSCC</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0" w:type="dxa"/>
            <w:vAlign w:val="bottom"/>
            <w:vMerge w:val="continue"/>
          </w:tcPr>
          <w:p>
            <w:pPr>
              <w:spacing w:after="0"/>
              <w:rPr>
                <w:sz w:val="16"/>
                <w:szCs w:val="16"/>
                <w:color w:val="auto"/>
              </w:rPr>
            </w:pPr>
          </w:p>
        </w:tc>
        <w:tc>
          <w:tcPr>
            <w:tcW w:w="1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Second-line</w:t>
            </w:r>
          </w:p>
        </w:tc>
        <w:tc>
          <w:tcPr>
            <w:tcW w:w="0" w:type="dxa"/>
            <w:vAlign w:val="bottom"/>
          </w:tcPr>
          <w:p>
            <w:pPr>
              <w:spacing w:after="0"/>
              <w:rPr>
                <w:sz w:val="1"/>
                <w:szCs w:val="1"/>
                <w:color w:val="auto"/>
              </w:rPr>
            </w:pPr>
          </w:p>
        </w:tc>
      </w:tr>
      <w:tr>
        <w:trPr>
          <w:trHeight w:val="304"/>
        </w:trPr>
        <w:tc>
          <w:tcPr>
            <w:tcW w:w="1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cervical cancer</w:t>
            </w:r>
            <w:r>
              <w:rPr>
                <w:rFonts w:ascii="Arial" w:cs="Arial" w:eastAsia="Arial" w:hAnsi="Arial"/>
                <w:sz w:val="23"/>
                <w:szCs w:val="23"/>
                <w:color w:val="auto"/>
                <w:vertAlign w:val="superscript"/>
              </w:rPr>
              <w:t>(e)</w:t>
            </w:r>
          </w:p>
        </w:tc>
        <w:tc>
          <w:tcPr>
            <w:tcW w:w="0" w:type="dxa"/>
            <w:vAlign w:val="bottom"/>
          </w:tcPr>
          <w:p>
            <w:pPr>
              <w:spacing w:after="0"/>
              <w:rPr>
                <w:sz w:val="1"/>
                <w:szCs w:val="1"/>
                <w:color w:val="auto"/>
              </w:rPr>
            </w:pPr>
          </w:p>
        </w:tc>
      </w:tr>
      <w:tr>
        <w:trPr>
          <w:trHeight w:val="276"/>
        </w:trPr>
        <w:tc>
          <w:tcPr>
            <w:tcW w:w="1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Adjuvant CSCC</w:t>
            </w:r>
          </w:p>
        </w:tc>
        <w:tc>
          <w:tcPr>
            <w:tcW w:w="0" w:type="dxa"/>
            <w:vAlign w:val="bottom"/>
          </w:tcPr>
          <w:p>
            <w:pPr>
              <w:spacing w:after="0"/>
              <w:rPr>
                <w:sz w:val="1"/>
                <w:szCs w:val="1"/>
                <w:color w:val="auto"/>
              </w:rPr>
            </w:pPr>
          </w:p>
        </w:tc>
      </w:tr>
      <w:tr>
        <w:trPr>
          <w:trHeight w:val="905"/>
        </w:trPr>
        <w:tc>
          <w:tcPr>
            <w:tcW w:w="1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80" w:type="dxa"/>
            <w:vAlign w:val="bottom"/>
          </w:tcPr>
          <w:p>
            <w:pPr>
              <w:spacing w:after="0" w:line="189" w:lineRule="exact"/>
              <w:rPr>
                <w:sz w:val="20"/>
                <w:szCs w:val="20"/>
                <w:color w:val="auto"/>
              </w:rPr>
            </w:pPr>
            <w:r>
              <w:rPr>
                <w:rFonts w:ascii="Arial" w:cs="Arial" w:eastAsia="Arial" w:hAnsi="Arial"/>
                <w:sz w:val="18"/>
                <w:szCs w:val="18"/>
                <w:b w:val="1"/>
                <w:bCs w:val="1"/>
                <w:color w:val="auto"/>
              </w:rPr>
              <w:t>REGN1979</w:t>
            </w:r>
          </w:p>
        </w:tc>
        <w:tc>
          <w:tcPr>
            <w:tcW w:w="2840" w:type="dxa"/>
            <w:vAlign w:val="bottom"/>
          </w:tcPr>
          <w:p>
            <w:pPr>
              <w:ind w:left="140"/>
              <w:spacing w:after="0" w:line="189" w:lineRule="exact"/>
              <w:rPr>
                <w:sz w:val="20"/>
                <w:szCs w:val="20"/>
                <w:color w:val="auto"/>
              </w:rPr>
            </w:pPr>
            <w:r>
              <w:rPr>
                <w:rFonts w:ascii="Arial" w:cs="Arial" w:eastAsia="Arial" w:hAnsi="Arial"/>
                <w:sz w:val="18"/>
                <w:szCs w:val="18"/>
                <w:color w:val="auto"/>
              </w:rPr>
              <w:t>- Certain B-cell - B-cell non-</w:t>
            </w:r>
          </w:p>
        </w:tc>
        <w:tc>
          <w:tcPr>
            <w:tcW w:w="0" w:type="dxa"/>
            <w:vAlign w:val="bottom"/>
          </w:tcPr>
          <w:p>
            <w:pPr>
              <w:spacing w:after="0"/>
              <w:rPr>
                <w:sz w:val="1"/>
                <w:szCs w:val="1"/>
                <w:color w:val="auto"/>
              </w:rPr>
            </w:pPr>
          </w:p>
        </w:tc>
      </w:tr>
      <w:tr>
        <w:trPr>
          <w:trHeight w:val="177"/>
        </w:trPr>
        <w:tc>
          <w:tcPr>
            <w:tcW w:w="1580" w:type="dxa"/>
            <w:vAlign w:val="bottom"/>
          </w:tcPr>
          <w:p>
            <w:pPr>
              <w:spacing w:after="0" w:line="177" w:lineRule="exact"/>
              <w:rPr>
                <w:sz w:val="20"/>
                <w:szCs w:val="20"/>
                <w:color w:val="auto"/>
              </w:rPr>
            </w:pPr>
            <w:r>
              <w:rPr>
                <w:rFonts w:ascii="Arial" w:cs="Arial" w:eastAsia="Arial" w:hAnsi="Arial"/>
                <w:sz w:val="18"/>
                <w:szCs w:val="18"/>
                <w:i w:val="1"/>
                <w:iCs w:val="1"/>
                <w:color w:val="auto"/>
              </w:rPr>
              <w:t>Bispecific antibody</w:t>
            </w:r>
          </w:p>
        </w:tc>
        <w:tc>
          <w:tcPr>
            <w:tcW w:w="2840" w:type="dxa"/>
            <w:vAlign w:val="bottom"/>
          </w:tcPr>
          <w:p>
            <w:pPr>
              <w:ind w:left="260"/>
              <w:spacing w:after="0" w:line="177" w:lineRule="exact"/>
              <w:rPr>
                <w:sz w:val="20"/>
                <w:szCs w:val="20"/>
                <w:color w:val="auto"/>
              </w:rPr>
            </w:pPr>
            <w:r>
              <w:rPr>
                <w:rFonts w:ascii="Arial" w:cs="Arial" w:eastAsia="Arial" w:hAnsi="Arial"/>
                <w:sz w:val="12"/>
                <w:szCs w:val="12"/>
                <w:color w:val="auto"/>
              </w:rPr>
              <w:t>malignancies</w:t>
            </w:r>
            <w:r>
              <w:rPr>
                <w:rFonts w:ascii="Arial" w:cs="Arial" w:eastAsia="Arial" w:hAnsi="Arial"/>
                <w:sz w:val="15"/>
                <w:szCs w:val="15"/>
                <w:color w:val="auto"/>
                <w:vertAlign w:val="superscript"/>
              </w:rPr>
              <w:t>(c)</w:t>
            </w:r>
            <w:r>
              <w:rPr>
                <w:rFonts w:ascii="Arial" w:cs="Arial" w:eastAsia="Arial" w:hAnsi="Arial"/>
                <w:sz w:val="12"/>
                <w:szCs w:val="12"/>
                <w:color w:val="auto"/>
              </w:rPr>
              <w:t xml:space="preserve">   </w:t>
            </w:r>
            <w:r>
              <w:rPr>
                <w:rFonts w:ascii="Arial" w:cs="Arial" w:eastAsia="Arial" w:hAnsi="Arial"/>
                <w:sz w:val="20"/>
                <w:szCs w:val="20"/>
                <w:color w:val="auto"/>
                <w:vertAlign w:val="subscript"/>
              </w:rPr>
              <w:t>Hodgkin</w:t>
            </w:r>
          </w:p>
        </w:tc>
        <w:tc>
          <w:tcPr>
            <w:tcW w:w="0" w:type="dxa"/>
            <w:vAlign w:val="bottom"/>
          </w:tcPr>
          <w:p>
            <w:pPr>
              <w:spacing w:after="0"/>
              <w:rPr>
                <w:sz w:val="1"/>
                <w:szCs w:val="1"/>
                <w:color w:val="auto"/>
              </w:rPr>
            </w:pPr>
          </w:p>
        </w:tc>
      </w:tr>
      <w:tr>
        <w:trPr>
          <w:trHeight w:val="160"/>
        </w:trPr>
        <w:tc>
          <w:tcPr>
            <w:tcW w:w="1580" w:type="dxa"/>
            <w:vAlign w:val="bottom"/>
          </w:tcPr>
          <w:p>
            <w:pPr>
              <w:spacing w:after="0" w:line="160" w:lineRule="exact"/>
              <w:rPr>
                <w:sz w:val="20"/>
                <w:szCs w:val="20"/>
                <w:color w:val="auto"/>
              </w:rPr>
            </w:pPr>
            <w:r>
              <w:rPr>
                <w:rFonts w:ascii="Arial" w:cs="Arial" w:eastAsia="Arial" w:hAnsi="Arial"/>
                <w:sz w:val="18"/>
                <w:szCs w:val="18"/>
                <w:i w:val="1"/>
                <w:iCs w:val="1"/>
                <w:color w:val="auto"/>
                <w:w w:val="99"/>
              </w:rPr>
              <w:t>targeting CD20 and</w:t>
            </w:r>
          </w:p>
        </w:tc>
        <w:tc>
          <w:tcPr>
            <w:tcW w:w="2840" w:type="dxa"/>
            <w:vAlign w:val="bottom"/>
            <w:vMerge w:val="restart"/>
          </w:tcPr>
          <w:p>
            <w:pPr>
              <w:ind w:left="1480"/>
              <w:spacing w:after="0"/>
              <w:rPr>
                <w:sz w:val="20"/>
                <w:szCs w:val="20"/>
                <w:color w:val="auto"/>
              </w:rPr>
            </w:pPr>
            <w:r>
              <w:rPr>
                <w:rFonts w:ascii="Arial" w:cs="Arial" w:eastAsia="Arial" w:hAnsi="Arial"/>
                <w:sz w:val="18"/>
                <w:szCs w:val="18"/>
                <w:color w:val="auto"/>
              </w:rPr>
              <w:t>lymphoma ("B-</w:t>
            </w:r>
          </w:p>
        </w:tc>
        <w:tc>
          <w:tcPr>
            <w:tcW w:w="0" w:type="dxa"/>
            <w:vAlign w:val="bottom"/>
          </w:tcPr>
          <w:p>
            <w:pPr>
              <w:spacing w:after="0"/>
              <w:rPr>
                <w:sz w:val="1"/>
                <w:szCs w:val="1"/>
                <w:color w:val="auto"/>
              </w:rPr>
            </w:pPr>
          </w:p>
        </w:tc>
      </w:tr>
      <w:tr>
        <w:trPr>
          <w:trHeight w:val="134"/>
        </w:trPr>
        <w:tc>
          <w:tcPr>
            <w:tcW w:w="1580" w:type="dxa"/>
            <w:vAlign w:val="bottom"/>
            <w:vMerge w:val="restart"/>
          </w:tcPr>
          <w:p>
            <w:pPr>
              <w:spacing w:after="0"/>
              <w:rPr>
                <w:sz w:val="20"/>
                <w:szCs w:val="20"/>
                <w:color w:val="auto"/>
              </w:rPr>
            </w:pPr>
            <w:r>
              <w:rPr>
                <w:rFonts w:ascii="Arial" w:cs="Arial" w:eastAsia="Arial" w:hAnsi="Arial"/>
                <w:sz w:val="18"/>
                <w:szCs w:val="18"/>
                <w:i w:val="1"/>
                <w:iCs w:val="1"/>
                <w:color w:val="auto"/>
              </w:rPr>
              <w:t>CD3</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2840" w:type="dxa"/>
            <w:vAlign w:val="bottom"/>
            <w:vMerge w:val="restart"/>
          </w:tcPr>
          <w:p>
            <w:pPr>
              <w:ind w:left="1480"/>
              <w:spacing w:after="0"/>
              <w:rPr>
                <w:sz w:val="20"/>
                <w:szCs w:val="20"/>
                <w:color w:val="auto"/>
              </w:rPr>
            </w:pPr>
            <w:r>
              <w:rPr>
                <w:rFonts w:ascii="Arial" w:cs="Arial" w:eastAsia="Arial" w:hAnsi="Arial"/>
                <w:sz w:val="18"/>
                <w:szCs w:val="18"/>
                <w:color w:val="auto"/>
                <w:w w:val="95"/>
              </w:rPr>
              <w:t>NHL") (potentially</w:t>
            </w:r>
          </w:p>
        </w:tc>
        <w:tc>
          <w:tcPr>
            <w:tcW w:w="0" w:type="dxa"/>
            <w:vAlign w:val="bottom"/>
          </w:tcPr>
          <w:p>
            <w:pPr>
              <w:spacing w:after="0"/>
              <w:rPr>
                <w:sz w:val="1"/>
                <w:szCs w:val="1"/>
                <w:color w:val="auto"/>
              </w:rPr>
            </w:pPr>
          </w:p>
        </w:tc>
      </w:tr>
      <w:tr>
        <w:trPr>
          <w:trHeight w:val="120"/>
        </w:trPr>
        <w:tc>
          <w:tcPr>
            <w:tcW w:w="158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2840" w:type="dxa"/>
            <w:vAlign w:val="bottom"/>
          </w:tcPr>
          <w:p>
            <w:pPr>
              <w:ind w:left="1480"/>
              <w:spacing w:after="0"/>
              <w:rPr>
                <w:sz w:val="20"/>
                <w:szCs w:val="20"/>
                <w:color w:val="auto"/>
              </w:rPr>
            </w:pPr>
            <w:r>
              <w:rPr>
                <w:rFonts w:ascii="Arial" w:cs="Arial" w:eastAsia="Arial" w:hAnsi="Arial"/>
                <w:sz w:val="18"/>
                <w:szCs w:val="18"/>
                <w:color w:val="auto"/>
              </w:rPr>
              <w:t>pivotal study)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Regulatory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-31115</wp:posOffset>
            </wp:positionV>
            <wp:extent cx="831850" cy="175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31850" cy="1757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82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7"/>
              </w:rPr>
              <w:t>2020 Events to Date</w:t>
            </w:r>
          </w:p>
        </w:tc>
        <w:tc>
          <w:tcPr>
            <w:tcW w:w="120" w:type="dxa"/>
            <w:vAlign w:val="bottom"/>
          </w:tcPr>
          <w:p>
            <w:pPr>
              <w:spacing w:after="0"/>
              <w:rPr>
                <w:sz w:val="17"/>
                <w:szCs w:val="17"/>
                <w:color w:val="auto"/>
              </w:rPr>
            </w:pPr>
          </w:p>
        </w:tc>
        <w:tc>
          <w:tcPr>
            <w:tcW w:w="180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222"/>
        </w:trPr>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Reported that Phase 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 patient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study in BCC</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enrollment in Phase 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demonstrated clinically-</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first-line NSCLC</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meaningful and durable</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chemotherapy</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responses</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combination study</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2020)</w:t>
            </w:r>
          </w:p>
        </w:tc>
        <w:tc>
          <w:tcPr>
            <w:tcW w:w="0" w:type="dxa"/>
            <w:vAlign w:val="bottom"/>
          </w:tcPr>
          <w:p>
            <w:pPr>
              <w:spacing w:after="0"/>
              <w:rPr>
                <w:sz w:val="1"/>
                <w:szCs w:val="1"/>
                <w:color w:val="auto"/>
              </w:rPr>
            </w:pPr>
          </w:p>
        </w:tc>
      </w:tr>
      <w:tr>
        <w:trPr>
          <w:trHeight w:val="256"/>
        </w:trPr>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Submit sBLA and MAA</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BCC (second half</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6"/>
        </w:trPr>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Interim analysis from</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 study in</w:t>
            </w:r>
          </w:p>
        </w:tc>
        <w:tc>
          <w:tcPr>
            <w:tcW w:w="0" w:type="dxa"/>
            <w:vAlign w:val="bottom"/>
          </w:tcPr>
          <w:p>
            <w:pPr>
              <w:spacing w:after="0"/>
              <w:rPr>
                <w:sz w:val="1"/>
                <w:szCs w:val="1"/>
                <w:color w:val="auto"/>
              </w:rPr>
            </w:pPr>
          </w:p>
        </w:tc>
      </w:tr>
      <w:tr>
        <w:trPr>
          <w:trHeight w:val="237"/>
        </w:trPr>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cervical cancer (2021)</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 Expanded potentially</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97"/>
              </w:rPr>
              <w:t>- Report updated results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91"/>
              </w:rPr>
              <w:t>pivotal Phase 2 program</w:t>
            </w: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from initial study 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99"/>
              </w:rPr>
              <w:t>with different subtypes</w:t>
            </w: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certain B-cell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of NHL</w:t>
            </w: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malignancies (second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half 2020)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6060" w:space="260"/>
            <w:col w:w="860" w:space="180"/>
            <w:col w:w="386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6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b w:val="1"/>
                <w:bCs w:val="1"/>
                <w:color w:val="auto"/>
              </w:rPr>
              <w:t>REGN5458</w:t>
            </w:r>
            <w:r>
              <w:rPr>
                <w:rFonts w:ascii="Arial" w:cs="Arial" w:eastAsia="Arial" w:hAnsi="Arial"/>
                <w:sz w:val="23"/>
                <w:szCs w:val="23"/>
                <w:b w:val="1"/>
                <w:bCs w:val="1"/>
                <w:color w:val="auto"/>
                <w:vertAlign w:val="superscript"/>
              </w:rPr>
              <w:t>(a)</w:t>
            </w:r>
          </w:p>
        </w:tc>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Multiple</w:t>
            </w:r>
          </w:p>
        </w:tc>
        <w:tc>
          <w:tcPr>
            <w:tcW w:w="5100" w:type="dxa"/>
            <w:vAlign w:val="bottom"/>
            <w:shd w:val="clear" w:color="auto" w:fill="CCEEFF"/>
          </w:tcPr>
          <w:p>
            <w:pPr>
              <w:ind w:left="3200"/>
              <w:spacing w:after="0"/>
              <w:rPr>
                <w:sz w:val="20"/>
                <w:szCs w:val="20"/>
                <w:color w:val="auto"/>
              </w:rPr>
            </w:pPr>
            <w:r>
              <w:rPr>
                <w:rFonts w:ascii="Arial" w:cs="Arial" w:eastAsia="Arial" w:hAnsi="Arial"/>
                <w:sz w:val="18"/>
                <w:szCs w:val="18"/>
                <w:color w:val="auto"/>
                <w:w w:val="97"/>
              </w:rPr>
              <w:t>- Report updated results</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Bispecific antibody</w:t>
            </w: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myeloma</w:t>
            </w:r>
          </w:p>
        </w:tc>
        <w:tc>
          <w:tcPr>
            <w:tcW w:w="51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from initial study in</w:t>
            </w: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i w:val="1"/>
                <w:iCs w:val="1"/>
                <w:color w:val="auto"/>
              </w:rPr>
              <w:t>targeting BCMA and</w:t>
            </w:r>
          </w:p>
        </w:tc>
        <w:tc>
          <w:tcPr>
            <w:tcW w:w="4420" w:type="dxa"/>
            <w:vAlign w:val="bottom"/>
            <w:shd w:val="clear" w:color="auto" w:fill="CCEEFF"/>
          </w:tcPr>
          <w:p>
            <w:pPr>
              <w:spacing w:after="0"/>
              <w:rPr>
                <w:sz w:val="10"/>
                <w:szCs w:val="10"/>
                <w:color w:val="auto"/>
              </w:rPr>
            </w:pPr>
          </w:p>
        </w:tc>
        <w:tc>
          <w:tcPr>
            <w:tcW w:w="5100" w:type="dxa"/>
            <w:vAlign w:val="bottom"/>
            <w:vMerge w:val="restart"/>
            <w:shd w:val="clear" w:color="auto" w:fill="CCEEFF"/>
          </w:tcPr>
          <w:p>
            <w:pPr>
              <w:ind w:left="332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134"/>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4420" w:type="dxa"/>
            <w:vAlign w:val="bottom"/>
            <w:shd w:val="clear" w:color="auto" w:fill="CCEEFF"/>
          </w:tcPr>
          <w:p>
            <w:pPr>
              <w:spacing w:after="0"/>
              <w:rPr>
                <w:sz w:val="11"/>
                <w:szCs w:val="11"/>
                <w:color w:val="auto"/>
              </w:rPr>
            </w:pPr>
          </w:p>
        </w:tc>
        <w:tc>
          <w:tcPr>
            <w:tcW w:w="5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680" w:type="dxa"/>
            <w:vAlign w:val="bottom"/>
            <w:vMerge w:val="continue"/>
            <w:shd w:val="clear" w:color="auto" w:fill="CCEEFF"/>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5100" w:type="dxa"/>
            <w:vAlign w:val="bottom"/>
            <w:vMerge w:val="restart"/>
            <w:shd w:val="clear" w:color="auto" w:fill="CCEEFF"/>
          </w:tcPr>
          <w:p>
            <w:pPr>
              <w:ind w:left="3320"/>
              <w:spacing w:after="0"/>
              <w:rPr>
                <w:sz w:val="20"/>
                <w:szCs w:val="20"/>
                <w:color w:val="auto"/>
              </w:rPr>
            </w:pPr>
            <w:r>
              <w:rPr>
                <w:rFonts w:ascii="Arial" w:cs="Arial" w:eastAsia="Arial" w:hAnsi="Arial"/>
                <w:sz w:val="18"/>
                <w:szCs w:val="18"/>
                <w:color w:val="auto"/>
              </w:rPr>
              <w:t>(second half 2020)</w:t>
            </w:r>
          </w:p>
        </w:tc>
        <w:tc>
          <w:tcPr>
            <w:tcW w:w="0" w:type="dxa"/>
            <w:vAlign w:val="bottom"/>
          </w:tcPr>
          <w:p>
            <w:pPr>
              <w:spacing w:after="0"/>
              <w:rPr>
                <w:sz w:val="1"/>
                <w:szCs w:val="1"/>
                <w:color w:val="auto"/>
              </w:rPr>
            </w:pPr>
          </w:p>
        </w:tc>
      </w:tr>
      <w:tr>
        <w:trPr>
          <w:trHeight w:val="141"/>
        </w:trPr>
        <w:tc>
          <w:tcPr>
            <w:tcW w:w="1680" w:type="dxa"/>
            <w:vAlign w:val="bottom"/>
            <w:tcBorders>
              <w:bottom w:val="single" w:sz="8" w:color="CCEEFF"/>
            </w:tcBorders>
            <w:shd w:val="clear" w:color="auto" w:fill="CCEEFF"/>
          </w:tcPr>
          <w:p>
            <w:pPr>
              <w:spacing w:after="0"/>
              <w:rPr>
                <w:sz w:val="12"/>
                <w:szCs w:val="12"/>
                <w:color w:val="auto"/>
              </w:rPr>
            </w:pPr>
          </w:p>
        </w:tc>
        <w:tc>
          <w:tcPr>
            <w:tcW w:w="4420" w:type="dxa"/>
            <w:vAlign w:val="bottom"/>
            <w:tcBorders>
              <w:bottom w:val="single" w:sz="8" w:color="CCEEFF"/>
            </w:tcBorders>
            <w:shd w:val="clear" w:color="auto" w:fill="CCEEFF"/>
          </w:tcPr>
          <w:p>
            <w:pPr>
              <w:spacing w:after="0"/>
              <w:rPr>
                <w:sz w:val="12"/>
                <w:szCs w:val="12"/>
                <w:color w:val="auto"/>
              </w:rPr>
            </w:pPr>
          </w:p>
        </w:tc>
        <w:tc>
          <w:tcPr>
            <w:tcW w:w="51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REGN5459</w:t>
            </w:r>
            <w:r>
              <w:rPr>
                <w:rFonts w:ascii="Arial" w:cs="Arial" w:eastAsia="Arial" w:hAnsi="Arial"/>
                <w:sz w:val="21"/>
                <w:szCs w:val="21"/>
                <w:b w:val="1"/>
                <w:bCs w:val="1"/>
                <w:color w:val="auto"/>
                <w:vertAlign w:val="superscript"/>
              </w:rPr>
              <w:t>(a)</w:t>
            </w:r>
          </w:p>
        </w:tc>
        <w:tc>
          <w:tcPr>
            <w:tcW w:w="4420" w:type="dxa"/>
            <w:vAlign w:val="bottom"/>
          </w:tcPr>
          <w:p>
            <w:pPr>
              <w:ind w:left="60"/>
              <w:spacing w:after="0" w:line="189" w:lineRule="exact"/>
              <w:rPr>
                <w:sz w:val="20"/>
                <w:szCs w:val="20"/>
                <w:color w:val="auto"/>
              </w:rPr>
            </w:pPr>
            <w:r>
              <w:rPr>
                <w:rFonts w:ascii="Arial" w:cs="Arial" w:eastAsia="Arial" w:hAnsi="Arial"/>
                <w:sz w:val="18"/>
                <w:szCs w:val="18"/>
                <w:color w:val="auto"/>
              </w:rPr>
              <w:t>- Multiple</w:t>
            </w:r>
          </w:p>
        </w:tc>
        <w:tc>
          <w:tcPr>
            <w:tcW w:w="5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line="177" w:lineRule="exact"/>
              <w:rPr>
                <w:sz w:val="20"/>
                <w:szCs w:val="20"/>
                <w:color w:val="auto"/>
              </w:rPr>
            </w:pPr>
            <w:r>
              <w:rPr>
                <w:rFonts w:ascii="Arial" w:cs="Arial" w:eastAsia="Arial" w:hAnsi="Arial"/>
                <w:sz w:val="18"/>
                <w:szCs w:val="18"/>
                <w:i w:val="1"/>
                <w:iCs w:val="1"/>
                <w:color w:val="auto"/>
              </w:rPr>
              <w:t>Bispecific antibody</w:t>
            </w:r>
          </w:p>
        </w:tc>
        <w:tc>
          <w:tcPr>
            <w:tcW w:w="4420" w:type="dxa"/>
            <w:vAlign w:val="bottom"/>
          </w:tcPr>
          <w:p>
            <w:pPr>
              <w:ind w:left="180"/>
              <w:spacing w:after="0" w:line="177" w:lineRule="exact"/>
              <w:rPr>
                <w:sz w:val="20"/>
                <w:szCs w:val="20"/>
                <w:color w:val="auto"/>
              </w:rPr>
            </w:pPr>
            <w:r>
              <w:rPr>
                <w:rFonts w:ascii="Arial" w:cs="Arial" w:eastAsia="Arial" w:hAnsi="Arial"/>
                <w:sz w:val="18"/>
                <w:szCs w:val="18"/>
                <w:color w:val="auto"/>
              </w:rPr>
              <w:t>myeloma</w:t>
            </w:r>
          </w:p>
        </w:tc>
        <w:tc>
          <w:tcPr>
            <w:tcW w:w="5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20"/>
              <w:spacing w:after="0" w:line="160" w:lineRule="exact"/>
              <w:rPr>
                <w:sz w:val="20"/>
                <w:szCs w:val="20"/>
                <w:color w:val="auto"/>
              </w:rPr>
            </w:pPr>
            <w:r>
              <w:rPr>
                <w:rFonts w:ascii="Arial" w:cs="Arial" w:eastAsia="Arial" w:hAnsi="Arial"/>
                <w:sz w:val="18"/>
                <w:szCs w:val="18"/>
                <w:i w:val="1"/>
                <w:iCs w:val="1"/>
                <w:color w:val="auto"/>
              </w:rPr>
              <w:t>targeting BCMA and</w:t>
            </w:r>
          </w:p>
        </w:tc>
        <w:tc>
          <w:tcPr>
            <w:tcW w:w="44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CD3</w:t>
            </w:r>
          </w:p>
        </w:tc>
        <w:tc>
          <w:tcPr>
            <w:tcW w:w="44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REGN4018</w:t>
            </w:r>
            <w:r>
              <w:rPr>
                <w:rFonts w:ascii="Arial" w:cs="Arial" w:eastAsia="Arial" w:hAnsi="Arial"/>
                <w:sz w:val="21"/>
                <w:szCs w:val="21"/>
                <w:b w:val="1"/>
                <w:bCs w:val="1"/>
                <w:color w:val="auto"/>
                <w:vertAlign w:val="superscript"/>
              </w:rPr>
              <w:t>(a)</w:t>
            </w:r>
          </w:p>
        </w:tc>
        <w:tc>
          <w:tcPr>
            <w:tcW w:w="4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 Platinum-</w:t>
            </w:r>
          </w:p>
        </w:tc>
        <w:tc>
          <w:tcPr>
            <w:tcW w:w="5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Bispecific antibody</w:t>
            </w: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resistant</w:t>
            </w:r>
          </w:p>
        </w:tc>
        <w:tc>
          <w:tcPr>
            <w:tcW w:w="5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i w:val="1"/>
                <w:iCs w:val="1"/>
                <w:color w:val="auto"/>
              </w:rPr>
              <w:t>targeting MUC16 and</w:t>
            </w:r>
          </w:p>
        </w:tc>
        <w:tc>
          <w:tcPr>
            <w:tcW w:w="44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ovarian cancer</w:t>
            </w:r>
          </w:p>
        </w:tc>
        <w:tc>
          <w:tcPr>
            <w:tcW w:w="5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4420" w:type="dxa"/>
            <w:vAlign w:val="bottom"/>
            <w:vMerge w:val="continue"/>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shd w:val="clear" w:color="auto" w:fill="CCEEFF"/>
          </w:tcPr>
          <w:p>
            <w:pPr>
              <w:spacing w:after="0"/>
              <w:rPr>
                <w:sz w:val="7"/>
                <w:szCs w:val="7"/>
                <w:color w:val="auto"/>
              </w:rPr>
            </w:pPr>
          </w:p>
        </w:tc>
        <w:tc>
          <w:tcPr>
            <w:tcW w:w="4420" w:type="dxa"/>
            <w:vAlign w:val="bottom"/>
            <w:shd w:val="clear" w:color="auto" w:fill="CCEEFF"/>
          </w:tcPr>
          <w:p>
            <w:pPr>
              <w:spacing w:after="0"/>
              <w:rPr>
                <w:sz w:val="7"/>
                <w:szCs w:val="7"/>
                <w:color w:val="auto"/>
              </w:rPr>
            </w:pPr>
          </w:p>
        </w:tc>
        <w:tc>
          <w:tcPr>
            <w:tcW w:w="5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REGN5678</w:t>
            </w:r>
          </w:p>
        </w:tc>
        <w:tc>
          <w:tcPr>
            <w:tcW w:w="4420" w:type="dxa"/>
            <w:vAlign w:val="bottom"/>
          </w:tcPr>
          <w:p>
            <w:pPr>
              <w:ind w:left="60"/>
              <w:spacing w:after="0" w:line="189" w:lineRule="exact"/>
              <w:rPr>
                <w:sz w:val="20"/>
                <w:szCs w:val="20"/>
                <w:color w:val="auto"/>
              </w:rPr>
            </w:pPr>
            <w:r>
              <w:rPr>
                <w:rFonts w:ascii="Arial" w:cs="Arial" w:eastAsia="Arial" w:hAnsi="Arial"/>
                <w:sz w:val="18"/>
                <w:szCs w:val="18"/>
                <w:color w:val="auto"/>
              </w:rPr>
              <w:t>- Prostate</w:t>
            </w:r>
          </w:p>
        </w:tc>
        <w:tc>
          <w:tcPr>
            <w:tcW w:w="5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line="177" w:lineRule="exact"/>
              <w:rPr>
                <w:sz w:val="20"/>
                <w:szCs w:val="20"/>
                <w:color w:val="auto"/>
              </w:rPr>
            </w:pPr>
            <w:r>
              <w:rPr>
                <w:rFonts w:ascii="Arial" w:cs="Arial" w:eastAsia="Arial" w:hAnsi="Arial"/>
                <w:sz w:val="18"/>
                <w:szCs w:val="18"/>
                <w:i w:val="1"/>
                <w:iCs w:val="1"/>
                <w:color w:val="auto"/>
              </w:rPr>
              <w:t>Bispecific antibody</w:t>
            </w:r>
          </w:p>
        </w:tc>
        <w:tc>
          <w:tcPr>
            <w:tcW w:w="4420" w:type="dxa"/>
            <w:vAlign w:val="bottom"/>
          </w:tcPr>
          <w:p>
            <w:pPr>
              <w:ind w:left="180"/>
              <w:spacing w:after="0" w:line="177" w:lineRule="exact"/>
              <w:rPr>
                <w:sz w:val="20"/>
                <w:szCs w:val="20"/>
                <w:color w:val="auto"/>
              </w:rPr>
            </w:pPr>
            <w:r>
              <w:rPr>
                <w:rFonts w:ascii="Arial" w:cs="Arial" w:eastAsia="Arial" w:hAnsi="Arial"/>
                <w:sz w:val="18"/>
                <w:szCs w:val="18"/>
                <w:color w:val="auto"/>
              </w:rPr>
              <w:t>cancer</w:t>
            </w:r>
          </w:p>
        </w:tc>
        <w:tc>
          <w:tcPr>
            <w:tcW w:w="5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20"/>
              <w:spacing w:after="0" w:line="160" w:lineRule="exact"/>
              <w:rPr>
                <w:sz w:val="20"/>
                <w:szCs w:val="20"/>
                <w:color w:val="auto"/>
              </w:rPr>
            </w:pPr>
            <w:r>
              <w:rPr>
                <w:rFonts w:ascii="Arial" w:cs="Arial" w:eastAsia="Arial" w:hAnsi="Arial"/>
                <w:sz w:val="18"/>
                <w:szCs w:val="18"/>
                <w:i w:val="1"/>
                <w:iCs w:val="1"/>
                <w:color w:val="auto"/>
              </w:rPr>
              <w:t>targeting PSMA and</w:t>
            </w:r>
          </w:p>
        </w:tc>
        <w:tc>
          <w:tcPr>
            <w:tcW w:w="44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CD28</w:t>
            </w:r>
          </w:p>
        </w:tc>
        <w:tc>
          <w:tcPr>
            <w:tcW w:w="44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REGN5093</w:t>
            </w:r>
          </w:p>
        </w:tc>
        <w:tc>
          <w:tcPr>
            <w:tcW w:w="4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 MET-altered</w:t>
            </w:r>
          </w:p>
        </w:tc>
        <w:tc>
          <w:tcPr>
            <w:tcW w:w="5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Bispecific antibody</w:t>
            </w: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w:t>
            </w:r>
          </w:p>
        </w:tc>
        <w:tc>
          <w:tcPr>
            <w:tcW w:w="5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i w:val="1"/>
                <w:iCs w:val="1"/>
                <w:color w:val="auto"/>
              </w:rPr>
              <w:t>targeting two distinct</w:t>
            </w:r>
          </w:p>
        </w:tc>
        <w:tc>
          <w:tcPr>
            <w:tcW w:w="44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NSCLC</w:t>
            </w:r>
          </w:p>
        </w:tc>
        <w:tc>
          <w:tcPr>
            <w:tcW w:w="5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MET epitopes</w:t>
            </w:r>
          </w:p>
        </w:tc>
        <w:tc>
          <w:tcPr>
            <w:tcW w:w="4420" w:type="dxa"/>
            <w:vAlign w:val="bottom"/>
            <w:vMerge w:val="continue"/>
            <w:shd w:val="clear" w:color="auto" w:fill="CCEEFF"/>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shd w:val="clear" w:color="auto" w:fill="CCEEFF"/>
          </w:tcPr>
          <w:p>
            <w:pPr>
              <w:spacing w:after="0"/>
              <w:rPr>
                <w:sz w:val="7"/>
                <w:szCs w:val="7"/>
                <w:color w:val="auto"/>
              </w:rPr>
            </w:pPr>
          </w:p>
        </w:tc>
        <w:tc>
          <w:tcPr>
            <w:tcW w:w="4420" w:type="dxa"/>
            <w:vAlign w:val="bottom"/>
            <w:shd w:val="clear" w:color="auto" w:fill="CCEEFF"/>
          </w:tcPr>
          <w:p>
            <w:pPr>
              <w:spacing w:after="0"/>
              <w:rPr>
                <w:sz w:val="7"/>
                <w:szCs w:val="7"/>
                <w:color w:val="auto"/>
              </w:rPr>
            </w:pPr>
          </w:p>
        </w:tc>
        <w:tc>
          <w:tcPr>
            <w:tcW w:w="5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REGN3767</w:t>
            </w:r>
            <w:r>
              <w:rPr>
                <w:rFonts w:ascii="Arial" w:cs="Arial" w:eastAsia="Arial" w:hAnsi="Arial"/>
                <w:sz w:val="21"/>
                <w:szCs w:val="21"/>
                <w:b w:val="1"/>
                <w:bCs w:val="1"/>
                <w:color w:val="auto"/>
                <w:vertAlign w:val="superscript"/>
              </w:rPr>
              <w:t>(f)</w:t>
            </w:r>
          </w:p>
        </w:tc>
        <w:tc>
          <w:tcPr>
            <w:tcW w:w="4420" w:type="dxa"/>
            <w:vAlign w:val="bottom"/>
          </w:tcPr>
          <w:p>
            <w:pPr>
              <w:ind w:left="60"/>
              <w:spacing w:after="0" w:line="189" w:lineRule="exact"/>
              <w:rPr>
                <w:sz w:val="20"/>
                <w:szCs w:val="20"/>
                <w:color w:val="auto"/>
              </w:rPr>
            </w:pPr>
            <w:r>
              <w:rPr>
                <w:rFonts w:ascii="Arial" w:cs="Arial" w:eastAsia="Arial" w:hAnsi="Arial"/>
                <w:sz w:val="18"/>
                <w:szCs w:val="18"/>
                <w:color w:val="auto"/>
              </w:rPr>
              <w:t>- Solid tumors</w:t>
            </w:r>
          </w:p>
        </w:tc>
        <w:tc>
          <w:tcPr>
            <w:tcW w:w="5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Antibody to LAG-3</w:t>
            </w:r>
          </w:p>
        </w:tc>
        <w:tc>
          <w:tcPr>
            <w:tcW w:w="4420" w:type="dxa"/>
            <w:vAlign w:val="bottom"/>
          </w:tcPr>
          <w:p>
            <w:pPr>
              <w:ind w:left="180"/>
              <w:spacing w:after="0"/>
              <w:rPr>
                <w:sz w:val="20"/>
                <w:szCs w:val="20"/>
                <w:color w:val="auto"/>
              </w:rPr>
            </w:pPr>
            <w:r>
              <w:rPr>
                <w:rFonts w:ascii="Arial" w:cs="Arial" w:eastAsia="Arial" w:hAnsi="Arial"/>
                <w:sz w:val="18"/>
                <w:szCs w:val="18"/>
                <w:color w:val="auto"/>
              </w:rPr>
              <w:t>and advanced</w:t>
            </w:r>
          </w:p>
        </w:tc>
        <w:tc>
          <w:tcPr>
            <w:tcW w:w="5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hematologic</w:t>
            </w: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malignancies</w:t>
            </w: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Clinical Program</w:t>
            </w:r>
          </w:p>
        </w:tc>
        <w:tc>
          <w:tcPr>
            <w:tcW w:w="9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Phase 1</w:t>
            </w:r>
          </w:p>
        </w:tc>
        <w:tc>
          <w:tcPr>
            <w:tcW w:w="12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Phase 2</w:t>
            </w:r>
          </w:p>
        </w:tc>
        <w:tc>
          <w:tcPr>
            <w:tcW w:w="120" w:type="dxa"/>
            <w:vAlign w:val="bottom"/>
            <w:vMerge w:val="restart"/>
          </w:tcPr>
          <w:p>
            <w:pPr>
              <w:spacing w:after="0"/>
              <w:rPr>
                <w:sz w:val="17"/>
                <w:szCs w:val="17"/>
                <w:color w:val="auto"/>
              </w:rPr>
            </w:pPr>
          </w:p>
        </w:tc>
        <w:tc>
          <w:tcPr>
            <w:tcW w:w="15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Phase 3</w:t>
            </w:r>
          </w:p>
        </w:tc>
        <w:tc>
          <w:tcPr>
            <w:tcW w:w="120" w:type="dxa"/>
            <w:vAlign w:val="bottom"/>
            <w:vMerge w:val="restart"/>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5"/>
              </w:rPr>
              <w:t>2020 Events to Date</w:t>
            </w:r>
          </w:p>
        </w:tc>
        <w:tc>
          <w:tcPr>
            <w:tcW w:w="120" w:type="dxa"/>
            <w:vAlign w:val="bottom"/>
            <w:vMerge w:val="restart"/>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c>
          <w:tcPr>
            <w:tcW w:w="0" w:type="dxa"/>
            <w:vAlign w:val="bottom"/>
          </w:tcPr>
          <w:p>
            <w:pPr>
              <w:spacing w:after="0"/>
              <w:rPr>
                <w:sz w:val="1"/>
                <w:szCs w:val="1"/>
                <w:color w:val="auto"/>
              </w:rPr>
            </w:pPr>
          </w:p>
        </w:tc>
      </w:tr>
      <w:tr>
        <w:trPr>
          <w:trHeight w:val="230"/>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7"/>
              </w:rPr>
              <w:t>(continued)</w:t>
            </w:r>
          </w:p>
        </w:tc>
        <w:tc>
          <w:tcPr>
            <w:tcW w:w="8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20" w:type="dxa"/>
            <w:vAlign w:val="bottom"/>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Cardiovascular/Metabolic Diseases</w:t>
      </w:r>
    </w:p>
    <w:p>
      <w:pPr>
        <w:sectPr>
          <w:pgSz w:w="11900" w:h="16838" w:orient="portrait"/>
          <w:cols w:equalWidth="0" w:num="1">
            <w:col w:w="11220"/>
          </w:cols>
          <w:pgMar w:left="320" w:top="130" w:right="359" w:bottom="1440" w:gutter="0" w:footer="0" w:header="0"/>
        </w:sectPr>
      </w:pP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Praluent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1122680" cy="763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2680" cy="763270"/>
                    </a:xfrm>
                    <a:prstGeom prst="rect">
                      <a:avLst/>
                    </a:prstGeom>
                    <a:noFill/>
                  </pic:spPr>
                </pic:pic>
              </a:graphicData>
            </a:graphic>
          </wp:anchor>
        </w:drawing>
      </w:r>
    </w:p>
    <w:p>
      <w:pPr>
        <w:ind w:left="40"/>
        <w:spacing w:after="0" w:line="183" w:lineRule="auto"/>
        <w:rPr>
          <w:sz w:val="20"/>
          <w:szCs w:val="20"/>
          <w:color w:val="auto"/>
        </w:rPr>
      </w:pPr>
      <w:r>
        <w:rPr>
          <w:rFonts w:ascii="Arial" w:cs="Arial" w:eastAsia="Arial" w:hAnsi="Arial"/>
          <w:sz w:val="16"/>
          <w:szCs w:val="16"/>
          <w:b w:val="1"/>
          <w:bCs w:val="1"/>
          <w:color w:val="auto"/>
        </w:rPr>
        <w:t>(alirocumab)</w:t>
      </w:r>
      <w:r>
        <w:rPr>
          <w:rFonts w:ascii="Arial" w:cs="Arial" w:eastAsia="Arial" w:hAnsi="Arial"/>
          <w:sz w:val="20"/>
          <w:szCs w:val="20"/>
          <w:b w:val="1"/>
          <w:bCs w:val="1"/>
          <w:color w:val="auto"/>
          <w:vertAlign w:val="superscript"/>
        </w:rPr>
        <w:t>(j)</w:t>
      </w:r>
    </w:p>
    <w:p>
      <w:pPr>
        <w:ind w:left="40"/>
        <w:spacing w:after="0"/>
        <w:rPr>
          <w:sz w:val="20"/>
          <w:szCs w:val="20"/>
          <w:color w:val="auto"/>
        </w:rPr>
      </w:pPr>
      <w:r>
        <w:rPr>
          <w:rFonts w:ascii="Arial" w:cs="Arial" w:eastAsia="Arial" w:hAnsi="Arial"/>
          <w:sz w:val="18"/>
          <w:szCs w:val="18"/>
          <w:i w:val="1"/>
          <w:iCs w:val="1"/>
          <w:color w:val="auto"/>
        </w:rPr>
        <w:t>Antibody to PCSK9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line="234" w:lineRule="auto"/>
        <w:rPr>
          <w:sz w:val="20"/>
          <w:szCs w:val="20"/>
          <w:color w:val="auto"/>
        </w:rPr>
      </w:pPr>
      <w:r>
        <w:rPr>
          <w:rFonts w:ascii="Arial" w:cs="Arial" w:eastAsia="Arial" w:hAnsi="Arial"/>
          <w:sz w:val="16"/>
          <w:szCs w:val="16"/>
          <w:b w:val="1"/>
          <w:bCs w:val="1"/>
          <w:color w:val="auto"/>
        </w:rPr>
        <w:t>Evinacumab</w:t>
      </w:r>
      <w:r>
        <w:rPr>
          <w:rFonts w:ascii="Arial" w:cs="Arial" w:eastAsia="Arial" w:hAnsi="Arial"/>
          <w:sz w:val="20"/>
          <w:szCs w:val="20"/>
          <w:b w:val="1"/>
          <w:bCs w:val="1"/>
          <w:color w:val="auto"/>
          <w:vertAlign w:val="superscript"/>
        </w:rPr>
        <w:t>(f)</w:t>
      </w:r>
      <w:r>
        <w:rPr>
          <w:rFonts w:ascii="Arial" w:cs="Arial" w:eastAsia="Arial" w:hAnsi="Arial"/>
          <w:sz w:val="16"/>
          <w:szCs w:val="16"/>
          <w:b w:val="1"/>
          <w:bCs w:val="1"/>
          <w:color w:val="auto"/>
        </w:rPr>
        <w:t xml:space="preserve"> (REGN1500) </w:t>
      </w:r>
      <w:r>
        <w:rPr>
          <w:rFonts w:ascii="Arial" w:cs="Arial" w:eastAsia="Arial" w:hAnsi="Arial"/>
          <w:sz w:val="16"/>
          <w:szCs w:val="16"/>
          <w:i w:val="1"/>
          <w:iCs w:val="1"/>
          <w:color w:val="auto"/>
        </w:rPr>
        <w:t>Antibody to ANGPTL3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shd w:val="clear" w:color="auto" w:fill="CCEEFF"/>
          </w:tcPr>
          <w:p>
            <w:pPr>
              <w:spacing w:after="0"/>
              <w:rPr>
                <w:sz w:val="17"/>
                <w:szCs w:val="17"/>
                <w:color w:val="auto"/>
              </w:rPr>
            </w:pPr>
          </w:p>
        </w:tc>
        <w:tc>
          <w:tcPr>
            <w:tcW w:w="436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 Homozygous</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HoFH in adults - Reported results from</w:t>
            </w: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 FDA decision on sBLA</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familial</w:t>
            </w:r>
          </w:p>
        </w:tc>
        <w:tc>
          <w:tcPr>
            <w:tcW w:w="1260" w:type="dxa"/>
            <w:vAlign w:val="bottom"/>
            <w:shd w:val="clear" w:color="auto" w:fill="CCEEFF"/>
          </w:tcPr>
          <w:p>
            <w:pPr>
              <w:ind w:left="120"/>
              <w:spacing w:after="0" w:line="216" w:lineRule="exact"/>
              <w:rPr>
                <w:sz w:val="20"/>
                <w:szCs w:val="20"/>
                <w:color w:val="auto"/>
              </w:rPr>
            </w:pPr>
            <w:r>
              <w:rPr>
                <w:rFonts w:ascii="Arial" w:cs="Arial" w:eastAsia="Arial" w:hAnsi="Arial"/>
                <w:sz w:val="18"/>
                <w:szCs w:val="18"/>
                <w:color w:val="auto"/>
              </w:rPr>
              <w:t>(U.S.)</w:t>
            </w:r>
            <w:r>
              <w:rPr>
                <w:rFonts w:ascii="Arial" w:cs="Arial" w:eastAsia="Arial" w:hAnsi="Arial"/>
                <w:sz w:val="23"/>
                <w:szCs w:val="23"/>
                <w:color w:val="auto"/>
                <w:vertAlign w:val="superscript"/>
              </w:rPr>
              <w:t>(c)</w:t>
            </w:r>
          </w:p>
        </w:tc>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Phase 3 study in adult</w:t>
            </w:r>
          </w:p>
        </w:tc>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HoFH in adults</w:t>
            </w:r>
          </w:p>
        </w:tc>
        <w:tc>
          <w:tcPr>
            <w:tcW w:w="0" w:type="dxa"/>
            <w:vAlign w:val="bottom"/>
          </w:tcPr>
          <w:p>
            <w:pPr>
              <w:spacing w:after="0"/>
              <w:rPr>
                <w:sz w:val="1"/>
                <w:szCs w:val="1"/>
                <w:color w:val="auto"/>
              </w:rPr>
            </w:pPr>
          </w:p>
        </w:tc>
      </w:tr>
      <w:tr>
        <w:trPr>
          <w:trHeight w:val="122"/>
        </w:trPr>
        <w:tc>
          <w:tcPr>
            <w:tcW w:w="80" w:type="dxa"/>
            <w:vAlign w:val="bottom"/>
            <w:shd w:val="clear" w:color="auto" w:fill="CCEEFF"/>
          </w:tcPr>
          <w:p>
            <w:pPr>
              <w:spacing w:after="0"/>
              <w:rPr>
                <w:sz w:val="10"/>
                <w:szCs w:val="10"/>
                <w:color w:val="auto"/>
              </w:rPr>
            </w:pPr>
          </w:p>
        </w:tc>
        <w:tc>
          <w:tcPr>
            <w:tcW w:w="4360" w:type="dxa"/>
            <w:vAlign w:val="bottom"/>
            <w:shd w:val="clear" w:color="auto" w:fill="CCEEFF"/>
          </w:tcPr>
          <w:p>
            <w:pPr>
              <w:ind w:left="2800"/>
              <w:spacing w:after="0" w:line="122" w:lineRule="exact"/>
              <w:rPr>
                <w:sz w:val="20"/>
                <w:szCs w:val="20"/>
                <w:color w:val="auto"/>
              </w:rPr>
            </w:pPr>
            <w:r>
              <w:rPr>
                <w:rFonts w:ascii="Arial" w:cs="Arial" w:eastAsia="Arial" w:hAnsi="Arial"/>
                <w:sz w:val="13"/>
                <w:szCs w:val="13"/>
                <w:color w:val="auto"/>
              </w:rPr>
              <w:t>hypercholesterolemia</w:t>
            </w:r>
          </w:p>
        </w:tc>
        <w:tc>
          <w:tcPr>
            <w:tcW w:w="1260" w:type="dxa"/>
            <w:vAlign w:val="bottom"/>
            <w:shd w:val="clear" w:color="auto" w:fill="CCEEFF"/>
          </w:tcPr>
          <w:p>
            <w:pPr>
              <w:spacing w:after="0"/>
              <w:rPr>
                <w:sz w:val="10"/>
                <w:szCs w:val="10"/>
                <w:color w:val="auto"/>
              </w:rPr>
            </w:pPr>
          </w:p>
        </w:tc>
        <w:tc>
          <w:tcPr>
            <w:tcW w:w="18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patients with HoFH</w:t>
            </w:r>
          </w:p>
        </w:tc>
        <w:tc>
          <w:tcPr>
            <w:tcW w:w="19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(target action date of</w:t>
            </w: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4360" w:type="dxa"/>
            <w:vAlign w:val="bottom"/>
            <w:shd w:val="clear" w:color="auto" w:fill="CCEEFF"/>
          </w:tcPr>
          <w:p>
            <w:pPr>
              <w:ind w:left="2800"/>
              <w:spacing w:after="0" w:line="176" w:lineRule="exact"/>
              <w:rPr>
                <w:sz w:val="20"/>
                <w:szCs w:val="20"/>
                <w:color w:val="auto"/>
              </w:rPr>
            </w:pPr>
            <w:r>
              <w:rPr>
                <w:rFonts w:ascii="Arial" w:cs="Arial" w:eastAsia="Arial" w:hAnsi="Arial"/>
                <w:sz w:val="16"/>
                <w:szCs w:val="16"/>
                <w:color w:val="auto"/>
              </w:rPr>
              <w:t>("HoFH")</w:t>
            </w:r>
            <w:r>
              <w:rPr>
                <w:rFonts w:ascii="Arial" w:cs="Arial" w:eastAsia="Arial" w:hAnsi="Arial"/>
                <w:sz w:val="20"/>
                <w:szCs w:val="20"/>
                <w:color w:val="auto"/>
                <w:vertAlign w:val="superscript"/>
              </w:rPr>
              <w:t>(c)</w:t>
            </w:r>
            <w:r>
              <w:rPr>
                <w:rFonts w:ascii="Arial" w:cs="Arial" w:eastAsia="Arial" w:hAnsi="Arial"/>
                <w:sz w:val="16"/>
                <w:szCs w:val="16"/>
                <w:color w:val="auto"/>
              </w:rPr>
              <w:t xml:space="preserve"> in adults</w:t>
            </w:r>
          </w:p>
        </w:tc>
        <w:tc>
          <w:tcPr>
            <w:tcW w:w="1260" w:type="dxa"/>
            <w:vAlign w:val="bottom"/>
            <w:shd w:val="clear" w:color="auto" w:fill="CCEEFF"/>
          </w:tcPr>
          <w:p>
            <w:pPr>
              <w:spacing w:after="0"/>
              <w:rPr>
                <w:sz w:val="15"/>
                <w:szCs w:val="15"/>
                <w:color w:val="auto"/>
              </w:rPr>
            </w:pPr>
          </w:p>
        </w:tc>
        <w:tc>
          <w:tcPr>
            <w:tcW w:w="1860" w:type="dxa"/>
            <w:vAlign w:val="bottom"/>
            <w:vMerge w:val="continue"/>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4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and pediatrics</w:t>
            </w:r>
          </w:p>
        </w:tc>
        <w:tc>
          <w:tcPr>
            <w:tcW w:w="1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4, 2021)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8"/>
                <w:szCs w:val="18"/>
                <w:color w:val="auto"/>
              </w:rPr>
              <w:t>- HeFH in pediatrics</w:t>
            </w:r>
          </w:p>
        </w:tc>
        <w:tc>
          <w:tcPr>
            <w:tcW w:w="1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360" w:type="dxa"/>
            <w:vAlign w:val="bottom"/>
          </w:tcPr>
          <w:p>
            <w:pPr>
              <w:ind w:left="980"/>
              <w:spacing w:after="0" w:line="189" w:lineRule="exact"/>
              <w:rPr>
                <w:sz w:val="20"/>
                <w:szCs w:val="20"/>
                <w:color w:val="auto"/>
              </w:rPr>
            </w:pPr>
            <w:r>
              <w:rPr>
                <w:rFonts w:ascii="Arial" w:cs="Arial" w:eastAsia="Arial" w:hAnsi="Arial"/>
                <w:sz w:val="18"/>
                <w:szCs w:val="18"/>
                <w:color w:val="auto"/>
              </w:rPr>
              <w:t>- Refractory</w:t>
            </w:r>
          </w:p>
        </w:tc>
        <w:tc>
          <w:tcPr>
            <w:tcW w:w="1260" w:type="dxa"/>
            <w:vAlign w:val="bottom"/>
          </w:tcPr>
          <w:p>
            <w:pPr>
              <w:spacing w:after="0" w:line="189" w:lineRule="exact"/>
              <w:rPr>
                <w:sz w:val="20"/>
                <w:szCs w:val="20"/>
                <w:color w:val="auto"/>
              </w:rPr>
            </w:pPr>
            <w:r>
              <w:rPr>
                <w:rFonts w:ascii="Arial" w:cs="Arial" w:eastAsia="Arial" w:hAnsi="Arial"/>
                <w:sz w:val="17"/>
                <w:szCs w:val="17"/>
                <w:color w:val="auto"/>
              </w:rPr>
              <w:t>- HoFH (U.S.)</w:t>
            </w:r>
            <w:r>
              <w:rPr>
                <w:rFonts w:ascii="Arial" w:cs="Arial" w:eastAsia="Arial" w:hAnsi="Arial"/>
                <w:sz w:val="21"/>
                <w:szCs w:val="21"/>
                <w:color w:val="auto"/>
                <w:vertAlign w:val="superscript"/>
              </w:rPr>
              <w:t>(c)</w:t>
            </w:r>
          </w:p>
        </w:tc>
        <w:tc>
          <w:tcPr>
            <w:tcW w:w="1860" w:type="dxa"/>
            <w:vAlign w:val="bottom"/>
          </w:tcPr>
          <w:p>
            <w:pPr>
              <w:ind w:left="60"/>
              <w:spacing w:after="0" w:line="189" w:lineRule="exact"/>
              <w:rPr>
                <w:sz w:val="20"/>
                <w:szCs w:val="20"/>
                <w:color w:val="auto"/>
              </w:rPr>
            </w:pPr>
            <w:r>
              <w:rPr>
                <w:rFonts w:ascii="Arial" w:cs="Arial" w:eastAsia="Arial" w:hAnsi="Arial"/>
                <w:sz w:val="18"/>
                <w:szCs w:val="18"/>
                <w:color w:val="auto"/>
              </w:rPr>
              <w:t>- Submitted MAA for</w:t>
            </w:r>
          </w:p>
        </w:tc>
        <w:tc>
          <w:tcPr>
            <w:tcW w:w="1960" w:type="dxa"/>
            <w:vAlign w:val="bottom"/>
          </w:tcPr>
          <w:p>
            <w:pPr>
              <w:ind w:left="100"/>
              <w:spacing w:after="0" w:line="189" w:lineRule="exact"/>
              <w:rPr>
                <w:sz w:val="20"/>
                <w:szCs w:val="20"/>
                <w:color w:val="auto"/>
              </w:rPr>
            </w:pPr>
            <w:r>
              <w:rPr>
                <w:rFonts w:ascii="Arial" w:cs="Arial" w:eastAsia="Arial" w:hAnsi="Arial"/>
                <w:sz w:val="18"/>
                <w:szCs w:val="18"/>
                <w:color w:val="auto"/>
              </w:rPr>
              <w:t>- FDA decision on BLA</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360" w:type="dxa"/>
            <w:vAlign w:val="bottom"/>
            <w:vMerge w:val="restart"/>
          </w:tcPr>
          <w:p>
            <w:pPr>
              <w:ind w:left="1100"/>
              <w:spacing w:after="0"/>
              <w:rPr>
                <w:sz w:val="20"/>
                <w:szCs w:val="20"/>
                <w:color w:val="auto"/>
              </w:rPr>
            </w:pPr>
            <w:r>
              <w:rPr>
                <w:rFonts w:ascii="Arial" w:cs="Arial" w:eastAsia="Arial" w:hAnsi="Arial"/>
                <w:sz w:val="18"/>
                <w:szCs w:val="18"/>
                <w:color w:val="auto"/>
              </w:rPr>
              <w:t>hypercholesterolemia</w:t>
            </w:r>
          </w:p>
        </w:tc>
        <w:tc>
          <w:tcPr>
            <w:tcW w:w="1260" w:type="dxa"/>
            <w:vAlign w:val="bottom"/>
          </w:tcPr>
          <w:p>
            <w:pPr>
              <w:ind w:left="120"/>
              <w:spacing w:after="0"/>
              <w:rPr>
                <w:sz w:val="20"/>
                <w:szCs w:val="20"/>
                <w:color w:val="auto"/>
              </w:rPr>
            </w:pPr>
            <w:r>
              <w:rPr>
                <w:rFonts w:ascii="Arial" w:cs="Arial" w:eastAsia="Arial" w:hAnsi="Arial"/>
                <w:sz w:val="12"/>
                <w:szCs w:val="12"/>
                <w:color w:val="auto"/>
              </w:rPr>
              <w:t>(d)</w:t>
            </w:r>
          </w:p>
        </w:tc>
        <w:tc>
          <w:tcPr>
            <w:tcW w:w="1860" w:type="dxa"/>
            <w:vAlign w:val="bottom"/>
            <w:vMerge w:val="restart"/>
          </w:tcPr>
          <w:p>
            <w:pPr>
              <w:ind w:left="180"/>
              <w:spacing w:after="0"/>
              <w:rPr>
                <w:sz w:val="20"/>
                <w:szCs w:val="20"/>
                <w:color w:val="auto"/>
              </w:rPr>
            </w:pPr>
            <w:r>
              <w:rPr>
                <w:rFonts w:ascii="Arial" w:cs="Arial" w:eastAsia="Arial" w:hAnsi="Arial"/>
                <w:sz w:val="18"/>
                <w:szCs w:val="18"/>
                <w:color w:val="auto"/>
              </w:rPr>
              <w:t>HoFH</w:t>
            </w:r>
          </w:p>
        </w:tc>
        <w:tc>
          <w:tcPr>
            <w:tcW w:w="1960" w:type="dxa"/>
            <w:vAlign w:val="bottom"/>
            <w:vMerge w:val="restart"/>
          </w:tcPr>
          <w:p>
            <w:pPr>
              <w:ind w:left="220"/>
              <w:spacing w:after="0"/>
              <w:rPr>
                <w:sz w:val="20"/>
                <w:szCs w:val="20"/>
                <w:color w:val="auto"/>
              </w:rPr>
            </w:pPr>
            <w:r>
              <w:rPr>
                <w:rFonts w:ascii="Arial" w:cs="Arial" w:eastAsia="Arial" w:hAnsi="Arial"/>
                <w:sz w:val="18"/>
                <w:szCs w:val="18"/>
                <w:color w:val="auto"/>
              </w:rPr>
              <w:t>and EC decision on</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360" w:type="dxa"/>
            <w:vAlign w:val="bottom"/>
          </w:tcPr>
          <w:p>
            <w:pPr>
              <w:ind w:left="1100"/>
              <w:spacing w:after="0"/>
              <w:rPr>
                <w:sz w:val="20"/>
                <w:szCs w:val="20"/>
                <w:color w:val="auto"/>
              </w:rPr>
            </w:pPr>
            <w:r>
              <w:rPr>
                <w:rFonts w:ascii="Arial" w:cs="Arial" w:eastAsia="Arial" w:hAnsi="Arial"/>
                <w:sz w:val="18"/>
                <w:szCs w:val="18"/>
                <w:color w:val="auto"/>
              </w:rPr>
              <w:t>(both HeFH and</w:t>
            </w: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60" w:type="dxa"/>
            <w:vAlign w:val="bottom"/>
          </w:tcPr>
          <w:p>
            <w:pPr>
              <w:ind w:left="220"/>
              <w:spacing w:after="0"/>
              <w:rPr>
                <w:sz w:val="20"/>
                <w:szCs w:val="20"/>
                <w:color w:val="auto"/>
              </w:rPr>
            </w:pPr>
            <w:r>
              <w:rPr>
                <w:rFonts w:ascii="Arial" w:cs="Arial" w:eastAsia="Arial" w:hAnsi="Arial"/>
                <w:sz w:val="18"/>
                <w:szCs w:val="18"/>
                <w:color w:val="auto"/>
              </w:rPr>
              <w:t>MAA for HoFH (first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360" w:type="dxa"/>
            <w:vAlign w:val="bottom"/>
          </w:tcPr>
          <w:p>
            <w:pPr>
              <w:ind w:left="1100"/>
              <w:spacing w:after="0"/>
              <w:rPr>
                <w:sz w:val="20"/>
                <w:szCs w:val="20"/>
                <w:color w:val="auto"/>
              </w:rPr>
            </w:pPr>
            <w:r>
              <w:rPr>
                <w:rFonts w:ascii="Arial" w:cs="Arial" w:eastAsia="Arial" w:hAnsi="Arial"/>
                <w:sz w:val="18"/>
                <w:szCs w:val="18"/>
                <w:color w:val="auto"/>
              </w:rPr>
              <w:t>non-FH)</w:t>
            </w:r>
          </w:p>
        </w:tc>
        <w:tc>
          <w:tcPr>
            <w:tcW w:w="1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60" w:type="dxa"/>
            <w:vAlign w:val="bottom"/>
          </w:tcPr>
          <w:p>
            <w:pPr>
              <w:ind w:left="220"/>
              <w:spacing w:after="0"/>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Severe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hypertriglyceridemia</w:t>
      </w:r>
    </w:p>
    <w:p>
      <w:pPr>
        <w:spacing w:after="0" w:line="1" w:lineRule="exact"/>
        <w:rPr>
          <w:sz w:val="20"/>
          <w:szCs w:val="20"/>
          <w:color w:val="auto"/>
        </w:rPr>
      </w:pPr>
    </w:p>
    <w:p>
      <w:pPr>
        <w:sectPr>
          <w:pgSz w:w="11900" w:h="16838" w:orient="portrait"/>
          <w:cols w:equalWidth="0" w:num="2">
            <w:col w:w="1680" w:space="20"/>
            <w:col w:w="95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16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3"/>
                <w:szCs w:val="23"/>
                <w:b w:val="1"/>
                <w:bCs w:val="1"/>
                <w:color w:val="auto"/>
                <w:vertAlign w:val="superscript"/>
              </w:rPr>
              <w:t>(f)</w:t>
            </w:r>
          </w:p>
        </w:tc>
        <w:tc>
          <w:tcPr>
            <w:tcW w:w="5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Paroxysmal</w:t>
            </w:r>
          </w:p>
        </w:tc>
        <w:tc>
          <w:tcPr>
            <w:tcW w:w="452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 Initiate combination</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(REGN3918)</w:t>
            </w:r>
          </w:p>
        </w:tc>
        <w:tc>
          <w:tcPr>
            <w:tcW w:w="50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nocturnal</w:t>
            </w:r>
          </w:p>
        </w:tc>
        <w:tc>
          <w:tcPr>
            <w:tcW w:w="452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program with</w:t>
            </w: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i w:val="1"/>
                <w:iCs w:val="1"/>
                <w:color w:val="auto"/>
              </w:rPr>
              <w:t>Antibody to C5</w:t>
            </w:r>
          </w:p>
        </w:tc>
        <w:tc>
          <w:tcPr>
            <w:tcW w:w="5000" w:type="dxa"/>
            <w:vAlign w:val="bottom"/>
            <w:shd w:val="clear" w:color="auto" w:fill="CCEEFF"/>
          </w:tcPr>
          <w:p>
            <w:pPr>
              <w:ind w:left="1180"/>
              <w:spacing w:after="0" w:line="122" w:lineRule="exact"/>
              <w:rPr>
                <w:sz w:val="20"/>
                <w:szCs w:val="20"/>
                <w:color w:val="auto"/>
              </w:rPr>
            </w:pPr>
            <w:r>
              <w:rPr>
                <w:rFonts w:ascii="Arial" w:cs="Arial" w:eastAsia="Arial" w:hAnsi="Arial"/>
                <w:sz w:val="13"/>
                <w:szCs w:val="13"/>
                <w:color w:val="auto"/>
              </w:rPr>
              <w:t>hemoglobinuria</w:t>
            </w:r>
          </w:p>
        </w:tc>
        <w:tc>
          <w:tcPr>
            <w:tcW w:w="4520" w:type="dxa"/>
            <w:vAlign w:val="bottom"/>
            <w:vMerge w:val="restart"/>
            <w:shd w:val="clear" w:color="auto" w:fill="CCEEFF"/>
          </w:tcPr>
          <w:p>
            <w:pPr>
              <w:ind w:left="2780"/>
              <w:spacing w:after="0"/>
              <w:rPr>
                <w:sz w:val="20"/>
                <w:szCs w:val="20"/>
                <w:color w:val="auto"/>
              </w:rPr>
            </w:pPr>
            <w:r>
              <w:rPr>
                <w:rFonts w:ascii="Arial" w:cs="Arial" w:eastAsia="Arial" w:hAnsi="Arial"/>
                <w:sz w:val="18"/>
                <w:szCs w:val="18"/>
                <w:color w:val="auto"/>
              </w:rPr>
              <w:t>Alnylam's cemdisiran</w:t>
            </w:r>
          </w:p>
        </w:tc>
        <w:tc>
          <w:tcPr>
            <w:tcW w:w="0" w:type="dxa"/>
            <w:vAlign w:val="bottom"/>
          </w:tcPr>
          <w:p>
            <w:pPr>
              <w:spacing w:after="0"/>
              <w:rPr>
                <w:sz w:val="1"/>
                <w:szCs w:val="1"/>
                <w:color w:val="auto"/>
              </w:rPr>
            </w:pPr>
          </w:p>
        </w:tc>
      </w:tr>
      <w:tr>
        <w:trPr>
          <w:trHeight w:val="150"/>
        </w:trPr>
        <w:tc>
          <w:tcPr>
            <w:tcW w:w="1680" w:type="dxa"/>
            <w:vAlign w:val="bottom"/>
            <w:shd w:val="clear" w:color="auto" w:fill="CCEEFF"/>
          </w:tcPr>
          <w:p>
            <w:pPr>
              <w:spacing w:after="0"/>
              <w:rPr>
                <w:sz w:val="13"/>
                <w:szCs w:val="13"/>
                <w:color w:val="auto"/>
              </w:rPr>
            </w:pPr>
          </w:p>
        </w:tc>
        <w:tc>
          <w:tcPr>
            <w:tcW w:w="5000" w:type="dxa"/>
            <w:vAlign w:val="bottom"/>
            <w:shd w:val="clear" w:color="auto" w:fill="CCEEFF"/>
          </w:tcPr>
          <w:p>
            <w:pPr>
              <w:ind w:left="1180"/>
              <w:spacing w:after="0" w:line="150" w:lineRule="exact"/>
              <w:rPr>
                <w:sz w:val="20"/>
                <w:szCs w:val="20"/>
                <w:color w:val="auto"/>
              </w:rPr>
            </w:pPr>
            <w:r>
              <w:rPr>
                <w:rFonts w:ascii="Arial" w:cs="Arial" w:eastAsia="Arial" w:hAnsi="Arial"/>
                <w:sz w:val="14"/>
                <w:szCs w:val="14"/>
                <w:color w:val="auto"/>
              </w:rPr>
              <w:t>("PNH")</w:t>
            </w:r>
            <w:r>
              <w:rPr>
                <w:rFonts w:ascii="Arial" w:cs="Arial" w:eastAsia="Arial" w:hAnsi="Arial"/>
                <w:sz w:val="17"/>
                <w:szCs w:val="17"/>
                <w:color w:val="auto"/>
                <w:vertAlign w:val="superscript"/>
              </w:rPr>
              <w:t>(c)</w:t>
            </w:r>
          </w:p>
        </w:tc>
        <w:tc>
          <w:tcPr>
            <w:tcW w:w="4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452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(second half 2020)</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spacing w:after="0"/>
              <w:rPr>
                <w:sz w:val="17"/>
                <w:szCs w:val="17"/>
                <w:color w:val="auto"/>
              </w:rPr>
            </w:pPr>
          </w:p>
        </w:tc>
        <w:tc>
          <w:tcPr>
            <w:tcW w:w="500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 CD55-deficient</w:t>
            </w:r>
          </w:p>
        </w:tc>
        <w:tc>
          <w:tcPr>
            <w:tcW w:w="4520" w:type="dxa"/>
            <w:vAlign w:val="bottom"/>
            <w:shd w:val="clear" w:color="auto" w:fill="CCEEFF"/>
          </w:tcPr>
          <w:p>
            <w:pPr>
              <w:ind w:left="2660"/>
              <w:spacing w:after="0" w:line="200" w:lineRule="exact"/>
              <w:rPr>
                <w:sz w:val="20"/>
                <w:szCs w:val="20"/>
                <w:color w:val="auto"/>
              </w:rPr>
            </w:pPr>
            <w:r>
              <w:rPr>
                <w:rFonts w:ascii="Arial" w:cs="Arial" w:eastAsia="Arial" w:hAnsi="Arial"/>
                <w:sz w:val="18"/>
                <w:szCs w:val="18"/>
                <w:color w:val="auto"/>
              </w:rPr>
              <w:t>- Initiate Phase 3</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50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protein-losing</w:t>
            </w:r>
          </w:p>
        </w:tc>
        <w:tc>
          <w:tcPr>
            <w:tcW w:w="4520" w:type="dxa"/>
            <w:vAlign w:val="bottom"/>
            <w:shd w:val="clear" w:color="auto" w:fill="CCEEFF"/>
          </w:tcPr>
          <w:p>
            <w:pPr>
              <w:ind w:left="2780"/>
              <w:spacing w:after="0"/>
              <w:rPr>
                <w:sz w:val="20"/>
                <w:szCs w:val="20"/>
                <w:color w:val="auto"/>
              </w:rPr>
            </w:pPr>
            <w:r>
              <w:rPr>
                <w:rFonts w:ascii="Arial" w:cs="Arial" w:eastAsia="Arial" w:hAnsi="Arial"/>
                <w:sz w:val="18"/>
                <w:szCs w:val="18"/>
                <w:color w:val="auto"/>
                <w:w w:val="98"/>
              </w:rPr>
              <w:t>program in PNH (next</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5000" w:type="dxa"/>
            <w:vAlign w:val="bottom"/>
            <w:shd w:val="clear" w:color="auto" w:fill="CCEEFF"/>
          </w:tcPr>
          <w:p>
            <w:pPr>
              <w:ind w:left="1180"/>
              <w:spacing w:after="0" w:line="216" w:lineRule="exact"/>
              <w:rPr>
                <w:sz w:val="20"/>
                <w:szCs w:val="20"/>
                <w:color w:val="auto"/>
              </w:rPr>
            </w:pPr>
            <w:r>
              <w:rPr>
                <w:rFonts w:ascii="Arial" w:cs="Arial" w:eastAsia="Arial" w:hAnsi="Arial"/>
                <w:sz w:val="18"/>
                <w:szCs w:val="18"/>
                <w:color w:val="auto"/>
              </w:rPr>
              <w:t>enteropathy</w:t>
            </w:r>
            <w:r>
              <w:rPr>
                <w:rFonts w:ascii="Arial" w:cs="Arial" w:eastAsia="Arial" w:hAnsi="Arial"/>
                <w:sz w:val="23"/>
                <w:szCs w:val="23"/>
                <w:color w:val="auto"/>
                <w:vertAlign w:val="superscript"/>
              </w:rPr>
              <w:t>(c)</w:t>
            </w:r>
          </w:p>
        </w:tc>
        <w:tc>
          <w:tcPr>
            <w:tcW w:w="4520" w:type="dxa"/>
            <w:vAlign w:val="bottom"/>
            <w:vMerge w:val="restart"/>
            <w:shd w:val="clear" w:color="auto" w:fill="CCEEFF"/>
          </w:tcPr>
          <w:p>
            <w:pPr>
              <w:ind w:left="2780"/>
              <w:spacing w:after="0"/>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r>
        <w:trPr>
          <w:trHeight w:val="54"/>
        </w:trPr>
        <w:tc>
          <w:tcPr>
            <w:tcW w:w="1680" w:type="dxa"/>
            <w:vAlign w:val="bottom"/>
            <w:shd w:val="clear" w:color="auto" w:fill="CCEEFF"/>
          </w:tcPr>
          <w:p>
            <w:pPr>
              <w:spacing w:after="0"/>
              <w:rPr>
                <w:sz w:val="4"/>
                <w:szCs w:val="4"/>
                <w:color w:val="auto"/>
              </w:rPr>
            </w:pPr>
          </w:p>
        </w:tc>
        <w:tc>
          <w:tcPr>
            <w:tcW w:w="5000" w:type="dxa"/>
            <w:vAlign w:val="bottom"/>
            <w:shd w:val="clear" w:color="auto" w:fill="CCEEFF"/>
          </w:tcPr>
          <w:p>
            <w:pPr>
              <w:spacing w:after="0"/>
              <w:rPr>
                <w:sz w:val="4"/>
                <w:szCs w:val="4"/>
                <w:color w:val="auto"/>
              </w:rPr>
            </w:pPr>
          </w:p>
        </w:tc>
        <w:tc>
          <w:tcPr>
            <w:tcW w:w="45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68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spacing w:after="0"/>
        <w:tabs>
          <w:tab w:leader="none" w:pos="2740" w:val="left"/>
        </w:tabs>
        <w:rPr>
          <w:sz w:val="20"/>
          <w:szCs w:val="20"/>
          <w:color w:val="auto"/>
        </w:rPr>
      </w:pPr>
      <w:r>
        <w:rPr>
          <w:rFonts w:ascii="Arial" w:cs="Arial" w:eastAsia="Arial" w:hAnsi="Arial"/>
          <w:sz w:val="17"/>
          <w:szCs w:val="17"/>
          <w:b w:val="1"/>
          <w:bCs w:val="1"/>
          <w:color w:val="auto"/>
        </w:rPr>
        <w:t>Garetosmab</w:t>
      </w:r>
      <w:r>
        <w:rPr>
          <w:rFonts w:ascii="Arial" w:cs="Arial" w:eastAsia="Arial" w:hAnsi="Arial"/>
          <w:sz w:val="22"/>
          <w:szCs w:val="22"/>
          <w:b w:val="1"/>
          <w:bCs w:val="1"/>
          <w:color w:val="auto"/>
          <w:vertAlign w:val="superscript"/>
        </w:rPr>
        <w:t>(f)</w:t>
      </w:r>
      <w:r>
        <w:rPr>
          <w:sz w:val="20"/>
          <w:szCs w:val="20"/>
          <w:color w:val="auto"/>
        </w:rPr>
        <w:tab/>
      </w:r>
      <w:r>
        <w:rPr>
          <w:rFonts w:ascii="Arial" w:cs="Arial" w:eastAsia="Arial" w:hAnsi="Arial"/>
          <w:sz w:val="16"/>
          <w:szCs w:val="16"/>
          <w:color w:val="auto"/>
        </w:rPr>
        <w:t>- Fibrodysplasia</w:t>
      </w:r>
    </w:p>
    <w:p>
      <w:pPr>
        <w:ind w:left="40"/>
        <w:spacing w:after="0" w:line="204" w:lineRule="auto"/>
        <w:tabs>
          <w:tab w:leader="none" w:pos="2860" w:val="left"/>
        </w:tabs>
        <w:rPr>
          <w:sz w:val="20"/>
          <w:szCs w:val="20"/>
          <w:color w:val="auto"/>
        </w:rPr>
      </w:pPr>
      <w:r>
        <w:rPr>
          <w:rFonts w:ascii="Arial" w:cs="Arial" w:eastAsia="Arial" w:hAnsi="Arial"/>
          <w:sz w:val="18"/>
          <w:szCs w:val="18"/>
          <w:b w:val="1"/>
          <w:bCs w:val="1"/>
          <w:color w:val="auto"/>
        </w:rPr>
        <w:t>(REGN2477)</w:t>
      </w:r>
      <w:r>
        <w:rPr>
          <w:sz w:val="20"/>
          <w:szCs w:val="20"/>
          <w:color w:val="auto"/>
        </w:rPr>
        <w:tab/>
      </w:r>
      <w:r>
        <w:rPr>
          <w:rFonts w:ascii="Arial" w:cs="Arial" w:eastAsia="Arial" w:hAnsi="Arial"/>
          <w:sz w:val="18"/>
          <w:szCs w:val="18"/>
          <w:color w:val="auto"/>
        </w:rPr>
        <w:t>ossificans</w:t>
      </w:r>
    </w:p>
    <w:p>
      <w:pPr>
        <w:ind w:left="40"/>
        <w:spacing w:after="0" w:line="229" w:lineRule="auto"/>
        <w:tabs>
          <w:tab w:leader="none" w:pos="2860" w:val="left"/>
        </w:tabs>
        <w:rPr>
          <w:sz w:val="20"/>
          <w:szCs w:val="20"/>
          <w:color w:val="auto"/>
        </w:rPr>
      </w:pPr>
      <w:r>
        <w:rPr>
          <w:rFonts w:ascii="Arial" w:cs="Arial" w:eastAsia="Arial" w:hAnsi="Arial"/>
          <w:sz w:val="18"/>
          <w:szCs w:val="18"/>
          <w:i w:val="1"/>
          <w:iCs w:val="1"/>
          <w:color w:val="auto"/>
        </w:rPr>
        <w:t>Antibody to Activin A</w:t>
      </w:r>
      <w:r>
        <w:rPr>
          <w:sz w:val="20"/>
          <w:szCs w:val="20"/>
          <w:color w:val="auto"/>
        </w:rPr>
        <w:tab/>
      </w:r>
      <w:r>
        <w:rPr>
          <w:rFonts w:ascii="Arial" w:cs="Arial" w:eastAsia="Arial" w:hAnsi="Arial"/>
          <w:sz w:val="16"/>
          <w:szCs w:val="16"/>
          <w:color w:val="auto"/>
        </w:rPr>
        <w:t>progressiva</w:t>
      </w:r>
    </w:p>
    <w:p>
      <w:pPr>
        <w:ind w:left="2880"/>
        <w:spacing w:after="0" w:line="183" w:lineRule="auto"/>
        <w:rPr>
          <w:sz w:val="20"/>
          <w:szCs w:val="20"/>
          <w:color w:val="auto"/>
        </w:rPr>
      </w:pPr>
      <w:r>
        <w:rPr>
          <w:rFonts w:ascii="Arial" w:cs="Arial" w:eastAsia="Arial" w:hAnsi="Arial"/>
          <w:sz w:val="20"/>
          <w:szCs w:val="20"/>
          <w:color w:val="auto"/>
          <w:vertAlign w:val="subscript"/>
        </w:rPr>
        <w:t>("FOP")</w:t>
      </w:r>
      <w:r>
        <w:rPr>
          <w:rFonts w:ascii="Arial" w:cs="Arial" w:eastAsia="Arial" w:hAnsi="Arial"/>
          <w:sz w:val="9"/>
          <w:szCs w:val="9"/>
          <w:color w:val="auto"/>
        </w:rPr>
        <w:t>(c)(d)(e)</w:t>
      </w:r>
    </w:p>
    <w:p>
      <w:pPr>
        <w:ind w:left="2880"/>
        <w:spacing w:after="0" w:line="215" w:lineRule="auto"/>
        <w:rPr>
          <w:sz w:val="20"/>
          <w:szCs w:val="20"/>
          <w:color w:val="auto"/>
        </w:rPr>
      </w:pPr>
      <w:r>
        <w:rPr>
          <w:rFonts w:ascii="Arial" w:cs="Arial" w:eastAsia="Arial" w:hAnsi="Arial"/>
          <w:sz w:val="17"/>
          <w:szCs w:val="17"/>
          <w:color w:val="auto"/>
        </w:rPr>
        <w:t>(potentially pivotal</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study)</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Arial" w:cs="Arial" w:eastAsia="Arial" w:hAnsi="Arial"/>
          <w:sz w:val="18"/>
          <w:szCs w:val="18"/>
          <w:color w:val="auto"/>
        </w:rPr>
        <w:t>- Reported results from</w:t>
      </w:r>
      <w:r>
        <w:rPr>
          <w:sz w:val="20"/>
          <w:szCs w:val="20"/>
          <w:color w:val="auto"/>
        </w:rPr>
        <w:tab/>
      </w:r>
      <w:r>
        <w:rPr>
          <w:rFonts w:ascii="Arial" w:cs="Arial" w:eastAsia="Arial" w:hAnsi="Arial"/>
          <w:sz w:val="17"/>
          <w:szCs w:val="17"/>
          <w:color w:val="auto"/>
        </w:rPr>
        <w:t>- Submit BLA and MAA</w:t>
      </w:r>
    </w:p>
    <w:p>
      <w:pPr>
        <w:spacing w:after="0" w:line="23" w:lineRule="exact"/>
        <w:rPr>
          <w:sz w:val="20"/>
          <w:szCs w:val="20"/>
          <w:color w:val="auto"/>
        </w:rPr>
      </w:pPr>
    </w:p>
    <w:p>
      <w:pPr>
        <w:ind w:left="120"/>
        <w:spacing w:after="0"/>
        <w:tabs>
          <w:tab w:leader="none" w:pos="2000" w:val="left"/>
        </w:tabs>
        <w:rPr>
          <w:sz w:val="20"/>
          <w:szCs w:val="20"/>
          <w:color w:val="auto"/>
        </w:rPr>
      </w:pPr>
      <w:r>
        <w:rPr>
          <w:rFonts w:ascii="Arial" w:cs="Arial" w:eastAsia="Arial" w:hAnsi="Arial"/>
          <w:sz w:val="18"/>
          <w:szCs w:val="18"/>
          <w:color w:val="auto"/>
        </w:rPr>
        <w:t>Phase 2 study in FOP</w:t>
      </w:r>
      <w:r>
        <w:rPr>
          <w:sz w:val="20"/>
          <w:szCs w:val="20"/>
          <w:color w:val="auto"/>
        </w:rPr>
        <w:tab/>
      </w:r>
      <w:r>
        <w:rPr>
          <w:rFonts w:ascii="Arial" w:cs="Arial" w:eastAsia="Arial" w:hAnsi="Arial"/>
          <w:sz w:val="17"/>
          <w:szCs w:val="17"/>
          <w:color w:val="auto"/>
        </w:rPr>
        <w:t>for FOP (first half</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2021)</w:t>
      </w:r>
    </w:p>
    <w:p>
      <w:pPr>
        <w:spacing w:after="0" w:line="4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 Initiate Phase 3 study</w:t>
      </w:r>
    </w:p>
    <w:p>
      <w:pPr>
        <w:spacing w:after="0" w:line="3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for FOP in pediatrics</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(first half 2021)</w:t>
      </w:r>
    </w:p>
    <w:p>
      <w:pPr>
        <w:spacing w:after="0" w:line="1" w:lineRule="exact"/>
        <w:rPr>
          <w:sz w:val="20"/>
          <w:szCs w:val="20"/>
          <w:color w:val="auto"/>
        </w:rPr>
      </w:pPr>
    </w:p>
    <w:p>
      <w:pPr>
        <w:sectPr>
          <w:pgSz w:w="11900" w:h="16838" w:orient="portrait"/>
          <w:cols w:equalWidth="0" w:num="2">
            <w:col w:w="6740" w:space="720"/>
            <w:col w:w="376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20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REGN4461</w:t>
            </w:r>
            <w:r>
              <w:rPr>
                <w:rFonts w:ascii="Arial" w:cs="Arial" w:eastAsia="Arial" w:hAnsi="Arial"/>
                <w:sz w:val="23"/>
                <w:szCs w:val="23"/>
                <w:b w:val="1"/>
                <w:bCs w:val="1"/>
                <w:color w:val="auto"/>
                <w:vertAlign w:val="superscript"/>
              </w:rPr>
              <w:t>(f)</w:t>
            </w:r>
          </w:p>
        </w:tc>
        <w:tc>
          <w:tcPr>
            <w:tcW w:w="9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Generalized</w:t>
            </w:r>
          </w:p>
        </w:tc>
      </w:tr>
      <w:tr>
        <w:trPr>
          <w:trHeight w:val="162"/>
        </w:trPr>
        <w:tc>
          <w:tcPr>
            <w:tcW w:w="20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i w:val="1"/>
                <w:iCs w:val="1"/>
                <w:color w:val="auto"/>
              </w:rPr>
              <w:t>Agonist antibody to</w:t>
            </w:r>
          </w:p>
        </w:tc>
        <w:tc>
          <w:tcPr>
            <w:tcW w:w="9120" w:type="dxa"/>
            <w:vAlign w:val="bottom"/>
            <w:shd w:val="clear" w:color="auto" w:fill="CCEEFF"/>
          </w:tcPr>
          <w:p>
            <w:pPr>
              <w:ind w:left="780"/>
              <w:spacing w:after="0" w:line="162" w:lineRule="exact"/>
              <w:rPr>
                <w:sz w:val="20"/>
                <w:szCs w:val="20"/>
                <w:color w:val="auto"/>
              </w:rPr>
            </w:pPr>
            <w:r>
              <w:rPr>
                <w:rFonts w:ascii="Arial" w:cs="Arial" w:eastAsia="Arial" w:hAnsi="Arial"/>
                <w:sz w:val="14"/>
                <w:szCs w:val="14"/>
                <w:color w:val="auto"/>
              </w:rPr>
              <w:t>lipodystrophy</w:t>
            </w:r>
            <w:r>
              <w:rPr>
                <w:rFonts w:ascii="Arial" w:cs="Arial" w:eastAsia="Arial" w:hAnsi="Arial"/>
                <w:sz w:val="18"/>
                <w:szCs w:val="18"/>
                <w:color w:val="auto"/>
                <w:vertAlign w:val="superscript"/>
              </w:rPr>
              <w:t>(e)</w:t>
            </w: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leptin receptor</w:t>
            </w:r>
          </w:p>
        </w:tc>
        <w:tc>
          <w:tcPr>
            <w:tcW w:w="9120" w:type="dxa"/>
            <w:vAlign w:val="bottom"/>
            <w:shd w:val="clear" w:color="auto" w:fill="CCEEFF"/>
          </w:tcPr>
          <w:p>
            <w:pPr>
              <w:spacing w:after="0"/>
              <w:rPr>
                <w:sz w:val="15"/>
                <w:szCs w:val="15"/>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("LEPR")</w:t>
            </w:r>
          </w:p>
        </w:tc>
        <w:tc>
          <w:tcPr>
            <w:tcW w:w="91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Pain</w:t>
      </w:r>
    </w:p>
    <w:p>
      <w:pPr>
        <w:sectPr>
          <w:pgSz w:w="11900" w:h="16838" w:orient="portrait"/>
          <w:cols w:equalWidth="0" w:num="1">
            <w:col w:w="11220"/>
          </w:cols>
          <w:pgMar w:left="320" w:top="130" w:right="359" w:bottom="1440" w:gutter="0" w:footer="0" w:header="0"/>
          <w:type w:val="continuous"/>
        </w:sectPr>
      </w:pPr>
    </w:p>
    <w:p>
      <w:pPr>
        <w:spacing w:after="0" w:line="35" w:lineRule="exact"/>
        <w:rPr>
          <w:sz w:val="20"/>
          <w:szCs w:val="20"/>
          <w:color w:val="auto"/>
        </w:rPr>
      </w:pPr>
    </w:p>
    <w:p>
      <w:pPr>
        <w:ind w:left="40"/>
        <w:spacing w:after="0"/>
        <w:tabs>
          <w:tab w:leader="none" w:pos="4440" w:val="left"/>
        </w:tabs>
        <w:rPr>
          <w:sz w:val="20"/>
          <w:szCs w:val="20"/>
          <w:color w:val="auto"/>
        </w:rPr>
      </w:pPr>
      <w:r>
        <w:rPr>
          <w:rFonts w:ascii="Arial" w:cs="Arial" w:eastAsia="Arial" w:hAnsi="Arial"/>
          <w:sz w:val="18"/>
          <w:szCs w:val="18"/>
          <w:b w:val="1"/>
          <w:bCs w:val="1"/>
          <w:color w:val="auto"/>
        </w:rPr>
        <w:t>Fasinumab</w:t>
      </w:r>
      <w:r>
        <w:rPr>
          <w:rFonts w:ascii="Arial" w:cs="Arial" w:eastAsia="Arial" w:hAnsi="Arial"/>
          <w:sz w:val="23"/>
          <w:szCs w:val="23"/>
          <w:b w:val="1"/>
          <w:bCs w:val="1"/>
          <w:color w:val="auto"/>
          <w:vertAlign w:val="superscript"/>
        </w:rPr>
        <w:t>(l)(f)</w:t>
      </w:r>
      <w:r>
        <w:rPr>
          <w:sz w:val="20"/>
          <w:szCs w:val="20"/>
          <w:color w:val="auto"/>
        </w:rPr>
        <w:tab/>
      </w:r>
      <w:r>
        <w:rPr>
          <w:rFonts w:ascii="Arial" w:cs="Arial" w:eastAsia="Arial" w:hAnsi="Arial"/>
          <w:sz w:val="16"/>
          <w:szCs w:val="16"/>
          <w:color w:val="auto"/>
        </w:rPr>
        <w:t>- Osteoarthritis pain of</w:t>
      </w:r>
    </w:p>
    <w:p>
      <w:pPr>
        <w:ind w:left="40"/>
        <w:spacing w:after="0" w:line="183" w:lineRule="auto"/>
        <w:tabs>
          <w:tab w:leader="none" w:pos="4560" w:val="left"/>
        </w:tabs>
        <w:rPr>
          <w:sz w:val="20"/>
          <w:szCs w:val="20"/>
          <w:color w:val="auto"/>
        </w:rPr>
      </w:pPr>
      <w:r>
        <w:rPr>
          <w:rFonts w:ascii="Arial" w:cs="Arial" w:eastAsia="Arial" w:hAnsi="Arial"/>
          <w:sz w:val="16"/>
          <w:szCs w:val="16"/>
          <w:b w:val="1"/>
          <w:bCs w:val="1"/>
          <w:color w:val="auto"/>
        </w:rPr>
        <w:t>(REGN475)</w:t>
      </w:r>
      <w:r>
        <w:rPr>
          <w:sz w:val="20"/>
          <w:szCs w:val="20"/>
          <w:color w:val="auto"/>
        </w:rPr>
        <w:tab/>
      </w:r>
      <w:r>
        <w:rPr>
          <w:rFonts w:ascii="Arial" w:cs="Arial" w:eastAsia="Arial" w:hAnsi="Arial"/>
          <w:sz w:val="16"/>
          <w:szCs w:val="16"/>
          <w:color w:val="auto"/>
        </w:rPr>
        <w:t>the knee or hip</w:t>
      </w:r>
      <w:r>
        <w:rPr>
          <w:rFonts w:ascii="Arial" w:cs="Arial" w:eastAsia="Arial" w:hAnsi="Arial"/>
          <w:sz w:val="20"/>
          <w:szCs w:val="20"/>
          <w:color w:val="auto"/>
          <w:vertAlign w:val="superscript"/>
        </w:rPr>
        <w:t>(e)</w:t>
      </w:r>
    </w:p>
    <w:p>
      <w:pPr>
        <w:ind w:left="40"/>
        <w:spacing w:after="0"/>
        <w:rPr>
          <w:sz w:val="20"/>
          <w:szCs w:val="20"/>
          <w:color w:val="auto"/>
        </w:rPr>
      </w:pPr>
      <w:r>
        <w:rPr>
          <w:rFonts w:ascii="Arial" w:cs="Arial" w:eastAsia="Arial" w:hAnsi="Arial"/>
          <w:sz w:val="18"/>
          <w:szCs w:val="18"/>
          <w:i w:val="1"/>
          <w:iCs w:val="1"/>
          <w:color w:val="auto"/>
        </w:rPr>
        <w:t>Antibody to NGF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8"/>
          <w:szCs w:val="18"/>
          <w:b w:val="1"/>
          <w:bCs w:val="1"/>
          <w:color w:val="auto"/>
        </w:rPr>
        <w:t>REGN5069</w:t>
      </w:r>
      <w:r>
        <w:rPr>
          <w:sz w:val="20"/>
          <w:szCs w:val="20"/>
          <w:color w:val="auto"/>
        </w:rPr>
        <w:tab/>
      </w:r>
      <w:r>
        <w:rPr>
          <w:rFonts w:ascii="Arial" w:cs="Arial" w:eastAsia="Arial" w:hAnsi="Arial"/>
          <w:sz w:val="18"/>
          <w:szCs w:val="18"/>
          <w:color w:val="auto"/>
        </w:rPr>
        <w:t>- Osteoarthritis pain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7115175" cy="720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720090"/>
                    </a:xfrm>
                    <a:prstGeom prst="rect">
                      <a:avLst/>
                    </a:prstGeom>
                    <a:noFill/>
                  </pic:spPr>
                </pic:pic>
              </a:graphicData>
            </a:graphic>
          </wp:anchor>
        </w:drawing>
      </w:r>
    </w:p>
    <w:p>
      <w:pPr>
        <w:ind w:left="40"/>
        <w:spacing w:after="0"/>
        <w:tabs>
          <w:tab w:leader="none" w:pos="2860" w:val="left"/>
        </w:tabs>
        <w:rPr>
          <w:sz w:val="20"/>
          <w:szCs w:val="20"/>
          <w:color w:val="auto"/>
        </w:rPr>
      </w:pPr>
      <w:r>
        <w:rPr>
          <w:rFonts w:ascii="Arial" w:cs="Arial" w:eastAsia="Arial" w:hAnsi="Arial"/>
          <w:sz w:val="18"/>
          <w:szCs w:val="18"/>
          <w:i w:val="1"/>
          <w:iCs w:val="1"/>
          <w:color w:val="auto"/>
        </w:rPr>
        <w:t>Antibody to GFRα3</w:t>
      </w:r>
      <w:r>
        <w:rPr>
          <w:sz w:val="20"/>
          <w:szCs w:val="20"/>
          <w:color w:val="auto"/>
        </w:rPr>
        <w:tab/>
      </w:r>
      <w:r>
        <w:rPr>
          <w:rFonts w:ascii="Arial" w:cs="Arial" w:eastAsia="Arial" w:hAnsi="Arial"/>
          <w:sz w:val="15"/>
          <w:szCs w:val="15"/>
          <w:color w:val="auto"/>
        </w:rPr>
        <w:t>the knee</w:t>
      </w:r>
      <w:r>
        <w:rPr>
          <w:rFonts w:ascii="Arial" w:cs="Arial" w:eastAsia="Arial" w:hAnsi="Arial"/>
          <w:sz w:val="19"/>
          <w:szCs w:val="19"/>
          <w:color w:val="auto"/>
          <w:vertAlign w:val="superscript"/>
        </w:rPr>
        <w:t>(e)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16" w:hanging="116"/>
        <w:spacing w:after="0" w:line="301"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Reported top-line results from Phase 3 trials in osteoarthritis pain of the knee or hip</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26" w:right="80" w:hanging="126"/>
        <w:spacing w:after="0" w:line="293" w:lineRule="auto"/>
        <w:tabs>
          <w:tab w:leader="none" w:pos="1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Report additional longer-term safety results from Phase 3 studies in osteoarthritis pain of the knee or hip (first half 2021)</w:t>
      </w:r>
    </w:p>
    <w:p>
      <w:pPr>
        <w:spacing w:after="0" w:line="2" w:lineRule="exact"/>
        <w:rPr>
          <w:rFonts w:ascii="Arial" w:cs="Arial" w:eastAsia="Arial" w:hAnsi="Arial"/>
          <w:sz w:val="16"/>
          <w:szCs w:val="16"/>
          <w:color w:val="auto"/>
        </w:rPr>
      </w:pPr>
    </w:p>
    <w:p>
      <w:pPr>
        <w:ind w:left="126" w:right="220" w:hanging="126"/>
        <w:spacing w:after="0" w:line="275" w:lineRule="auto"/>
        <w:tabs>
          <w:tab w:leader="none" w:pos="1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Report results from Phase 2 study in osteoarthritis pain of the knee (second half 2020)</w:t>
      </w:r>
    </w:p>
    <w:p>
      <w:pPr>
        <w:spacing w:after="0" w:line="200" w:lineRule="exact"/>
        <w:rPr>
          <w:sz w:val="20"/>
          <w:szCs w:val="20"/>
          <w:color w:val="auto"/>
        </w:rPr>
      </w:pPr>
    </w:p>
    <w:p>
      <w:pPr>
        <w:sectPr>
          <w:pgSz w:w="11900" w:h="16838" w:orient="portrait"/>
          <w:cols w:equalWidth="0" w:num="3">
            <w:col w:w="6744" w:space="720"/>
            <w:col w:w="1736" w:space="154"/>
            <w:col w:w="1866"/>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Clinical Program</w:t>
            </w:r>
          </w:p>
        </w:tc>
        <w:tc>
          <w:tcPr>
            <w:tcW w:w="120" w:type="dxa"/>
            <w:vAlign w:val="bottom"/>
          </w:tcPr>
          <w:p>
            <w:pPr>
              <w:spacing w:after="0"/>
              <w:rPr>
                <w:sz w:val="17"/>
                <w:szCs w:val="17"/>
                <w:color w:val="auto"/>
              </w:rPr>
            </w:pPr>
          </w:p>
        </w:tc>
        <w:tc>
          <w:tcPr>
            <w:tcW w:w="10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17"/>
                <w:szCs w:val="17"/>
                <w:color w:val="auto"/>
              </w:rPr>
            </w:pPr>
          </w:p>
        </w:tc>
        <w:tc>
          <w:tcPr>
            <w:tcW w:w="14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3</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7"/>
                <w:szCs w:val="17"/>
                <w:color w:val="auto"/>
              </w:rPr>
            </w:pPr>
          </w:p>
        </w:tc>
        <w:tc>
          <w:tcPr>
            <w:tcW w:w="180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6"/>
              </w:rPr>
              <w:t>2020 Events to Date</w:t>
            </w:r>
          </w:p>
        </w:tc>
        <w:tc>
          <w:tcPr>
            <w:tcW w:w="120" w:type="dxa"/>
            <w:vAlign w:val="bottom"/>
          </w:tcPr>
          <w:p>
            <w:pPr>
              <w:spacing w:after="0"/>
              <w:rPr>
                <w:sz w:val="17"/>
                <w:szCs w:val="17"/>
                <w:color w:val="auto"/>
              </w:rPr>
            </w:pP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20" w:type="dxa"/>
            <w:vAlign w:val="bottom"/>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34"/>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02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42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2800" w:type="dxa"/>
            <w:vAlign w:val="bottom"/>
            <w:tcBorders>
              <w:bottom w:val="single" w:sz="8" w:color="ACACAC"/>
            </w:tcBorders>
            <w:gridSpan w:val="3"/>
            <w:shd w:val="clear" w:color="auto" w:fill="ACACAC"/>
          </w:tcPr>
          <w:p>
            <w:pPr>
              <w:ind w:left="340"/>
              <w:spacing w:after="0"/>
              <w:rPr>
                <w:sz w:val="20"/>
                <w:szCs w:val="20"/>
                <w:color w:val="auto"/>
              </w:rPr>
            </w:pPr>
            <w:r>
              <w:rPr>
                <w:rFonts w:ascii="Arial" w:cs="Arial" w:eastAsia="Arial" w:hAnsi="Arial"/>
                <w:sz w:val="18"/>
                <w:szCs w:val="18"/>
                <w:b w:val="1"/>
                <w:bCs w:val="1"/>
                <w:color w:val="auto"/>
              </w:rPr>
              <w:t>Infectious Diseases</w:t>
            </w:r>
          </w:p>
        </w:tc>
        <w:tc>
          <w:tcPr>
            <w:tcW w:w="120" w:type="dxa"/>
            <w:vAlign w:val="bottom"/>
            <w:tcBorders>
              <w:bottom w:val="single" w:sz="8" w:color="ACACAC"/>
            </w:tcBorders>
            <w:shd w:val="clear" w:color="auto" w:fill="ACACAC"/>
          </w:tcPr>
          <w:p>
            <w:pPr>
              <w:spacing w:after="0"/>
              <w:rPr>
                <w:sz w:val="21"/>
                <w:szCs w:val="21"/>
                <w:color w:val="auto"/>
              </w:rPr>
            </w:pPr>
          </w:p>
        </w:tc>
        <w:tc>
          <w:tcPr>
            <w:tcW w:w="18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82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REGN-EB3</w:t>
            </w:r>
            <w:r>
              <w:rPr>
                <w:rFonts w:ascii="Arial" w:cs="Arial" w:eastAsia="Arial" w:hAnsi="Arial"/>
                <w:sz w:val="23"/>
                <w:szCs w:val="23"/>
                <w:b w:val="1"/>
                <w:bCs w:val="1"/>
                <w:color w:val="auto"/>
                <w:vertAlign w:val="superscript"/>
              </w:rPr>
              <w:t>(f)(g)</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gridSpan w:val="2"/>
          </w:tcPr>
          <w:p>
            <w:pPr>
              <w:ind w:left="20"/>
              <w:spacing w:after="0" w:line="243" w:lineRule="exact"/>
              <w:rPr>
                <w:sz w:val="20"/>
                <w:szCs w:val="20"/>
                <w:color w:val="auto"/>
              </w:rPr>
            </w:pPr>
            <w:r>
              <w:rPr>
                <w:rFonts w:ascii="Arial" w:cs="Arial" w:eastAsia="Arial" w:hAnsi="Arial"/>
                <w:sz w:val="18"/>
                <w:szCs w:val="18"/>
                <w:color w:val="auto"/>
                <w:w w:val="90"/>
              </w:rPr>
              <w:t>- Ebola (U.S.)</w:t>
            </w:r>
            <w:r>
              <w:rPr>
                <w:rFonts w:ascii="Arial" w:cs="Arial" w:eastAsia="Arial" w:hAnsi="Arial"/>
                <w:sz w:val="23"/>
                <w:szCs w:val="23"/>
                <w:color w:val="auto"/>
                <w:w w:val="90"/>
                <w:vertAlign w:val="superscript"/>
              </w:rPr>
              <w:t>(c)(d)</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 FDA decision on BLA</w:t>
            </w:r>
          </w:p>
        </w:tc>
        <w:tc>
          <w:tcPr>
            <w:tcW w:w="0" w:type="dxa"/>
            <w:vAlign w:val="bottom"/>
          </w:tcPr>
          <w:p>
            <w:pPr>
              <w:spacing w:after="0"/>
              <w:rPr>
                <w:sz w:val="1"/>
                <w:szCs w:val="1"/>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(REGN3470-3471-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97"/>
              </w:rPr>
              <w:t>for Ebola (target action</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3479)</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date of October 25,</w:t>
            </w:r>
          </w:p>
        </w:tc>
        <w:tc>
          <w:tcPr>
            <w:tcW w:w="0" w:type="dxa"/>
            <w:vAlign w:val="bottom"/>
          </w:tcPr>
          <w:p>
            <w:pPr>
              <w:spacing w:after="0"/>
              <w:rPr>
                <w:sz w:val="1"/>
                <w:szCs w:val="1"/>
                <w:color w:val="auto"/>
              </w:rPr>
            </w:pPr>
          </w:p>
        </w:tc>
      </w:tr>
      <w:tr>
        <w:trPr>
          <w:trHeight w:val="134"/>
        </w:trPr>
        <w:tc>
          <w:tcPr>
            <w:tcW w:w="1740" w:type="dxa"/>
            <w:vAlign w:val="bottom"/>
            <w:vMerge w:val="restart"/>
          </w:tcPr>
          <w:p>
            <w:pPr>
              <w:ind w:left="20"/>
              <w:spacing w:after="0" w:line="176" w:lineRule="exact"/>
              <w:rPr>
                <w:sz w:val="20"/>
                <w:szCs w:val="20"/>
                <w:color w:val="auto"/>
              </w:rPr>
            </w:pPr>
            <w:r>
              <w:rPr>
                <w:rFonts w:ascii="Arial" w:cs="Arial" w:eastAsia="Arial" w:hAnsi="Arial"/>
                <w:sz w:val="18"/>
                <w:szCs w:val="18"/>
                <w:i w:val="1"/>
                <w:iCs w:val="1"/>
                <w:color w:val="auto"/>
                <w:w w:val="95"/>
              </w:rPr>
              <w:t>Multi-antibody therapy</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940" w:type="dxa"/>
            <w:vAlign w:val="bottom"/>
            <w:gridSpan w:val="2"/>
            <w:vMerge w:val="restart"/>
          </w:tcPr>
          <w:p>
            <w:pPr>
              <w:ind w:left="1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3"/>
              </w:rPr>
              <w:t>to Ebola virus infection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("Ebola")</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REGN-COV2</w:t>
            </w:r>
            <w:r>
              <w:rPr>
                <w:rFonts w:ascii="Arial" w:cs="Arial" w:eastAsia="Arial" w:hAnsi="Arial"/>
                <w:sz w:val="21"/>
                <w:szCs w:val="21"/>
                <w:b w:val="1"/>
                <w:bCs w:val="1"/>
                <w:color w:val="auto"/>
                <w:vertAlign w:val="superscript"/>
              </w:rPr>
              <w:t>(g)</w:t>
            </w:r>
          </w:p>
        </w:tc>
        <w:tc>
          <w:tcPr>
            <w:tcW w:w="11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 COVID-19</w:t>
            </w:r>
          </w:p>
        </w:tc>
        <w:tc>
          <w:tcPr>
            <w:tcW w:w="1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 COVID-19</w:t>
            </w:r>
          </w:p>
        </w:tc>
        <w:tc>
          <w:tcPr>
            <w:tcW w:w="15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 COVID-19</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6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 Two papers published in - Report initial virology</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(REGN10933-10987)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multi-dose</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treatment (Phase</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prevention</w:t>
            </w:r>
            <w:r>
              <w:rPr>
                <w:rFonts w:ascii="Arial" w:cs="Arial" w:eastAsia="Arial" w:hAnsi="Arial"/>
                <w:sz w:val="23"/>
                <w:szCs w:val="23"/>
                <w:color w:val="auto"/>
                <w:vertAlign w:val="superscript"/>
              </w:rPr>
              <w:t>(m)</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Science </w:t>
            </w:r>
            <w:r>
              <w:rPr>
                <w:rFonts w:ascii="Arial" w:cs="Arial" w:eastAsia="Arial" w:hAnsi="Arial"/>
                <w:sz w:val="18"/>
                <w:szCs w:val="18"/>
                <w:color w:val="auto"/>
              </w:rPr>
              <w:t>describing</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biomarker results</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i w:val="1"/>
                <w:iCs w:val="1"/>
                <w:color w:val="auto"/>
              </w:rPr>
              <w:t>Multi-antibody therapy</w:t>
            </w: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safety study</w:t>
            </w:r>
          </w:p>
        </w:tc>
        <w:tc>
          <w:tcPr>
            <w:tcW w:w="15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REGN-COV2</w:t>
            </w:r>
          </w:p>
        </w:tc>
        <w:tc>
          <w:tcPr>
            <w:tcW w:w="120" w:type="dxa"/>
            <w:vAlign w:val="bottom"/>
            <w:shd w:val="clear" w:color="auto" w:fill="CCEEFF"/>
          </w:tcPr>
          <w:p>
            <w:pPr>
              <w:spacing w:after="0"/>
              <w:rPr>
                <w:sz w:val="10"/>
                <w:szCs w:val="10"/>
                <w:color w:val="auto"/>
              </w:rPr>
            </w:pPr>
          </w:p>
        </w:tc>
        <w:tc>
          <w:tcPr>
            <w:tcW w:w="18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from treatment trials</w:t>
            </w:r>
          </w:p>
        </w:tc>
        <w:tc>
          <w:tcPr>
            <w:tcW w:w="0" w:type="dxa"/>
            <w:vAlign w:val="bottom"/>
          </w:tcPr>
          <w:p>
            <w:pPr>
              <w:spacing w:after="0"/>
              <w:rPr>
                <w:sz w:val="1"/>
                <w:szCs w:val="1"/>
                <w:color w:val="auto"/>
              </w:rPr>
            </w:pPr>
          </w:p>
        </w:tc>
      </w:tr>
      <w:tr>
        <w:trPr>
          <w:trHeight w:val="149"/>
        </w:trPr>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to SARS-CoV-2 virus</w:t>
            </w:r>
          </w:p>
        </w:tc>
        <w:tc>
          <w:tcPr>
            <w:tcW w:w="12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(September 2020)</w:t>
            </w:r>
          </w:p>
        </w:tc>
        <w:tc>
          <w:tcPr>
            <w:tcW w:w="0" w:type="dxa"/>
            <w:vAlign w:val="bottom"/>
          </w:tcPr>
          <w:p>
            <w:pPr>
              <w:spacing w:after="0"/>
              <w:rPr>
                <w:sz w:val="1"/>
                <w:szCs w:val="1"/>
                <w:color w:val="auto"/>
              </w:rPr>
            </w:pPr>
          </w:p>
        </w:tc>
      </w:tr>
      <w:tr>
        <w:trPr>
          <w:trHeight w:val="81"/>
        </w:trPr>
        <w:tc>
          <w:tcPr>
            <w:tcW w:w="17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220" w:right="620"/>
        <w:spacing w:after="0" w:line="290"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recruiting for the corresponding study or studies has commenced</w:t>
      </w:r>
    </w:p>
    <w:p>
      <w:pPr>
        <w:spacing w:after="0" w:line="1" w:lineRule="exact"/>
        <w:rPr>
          <w:sz w:val="20"/>
          <w:szCs w:val="20"/>
          <w:color w:val="auto"/>
        </w:rPr>
      </w:pPr>
    </w:p>
    <w:p>
      <w:pPr>
        <w:ind w:left="380" w:hanging="145"/>
        <w:spacing w:after="0"/>
        <w:tabs>
          <w:tab w:leader="none" w:pos="38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 collaboration with Sanofi</w:t>
      </w:r>
    </w:p>
    <w:p>
      <w:pPr>
        <w:spacing w:after="0" w:line="34" w:lineRule="exact"/>
        <w:rPr>
          <w:rFonts w:ascii="Arial" w:cs="Arial" w:eastAsia="Arial" w:hAnsi="Arial"/>
          <w:sz w:val="17"/>
          <w:szCs w:val="17"/>
          <w:color w:val="auto"/>
          <w:vertAlign w:val="superscript"/>
        </w:rPr>
      </w:pPr>
    </w:p>
    <w:p>
      <w:pPr>
        <w:ind w:left="380" w:hanging="145"/>
        <w:spacing w:after="0" w:line="236" w:lineRule="auto"/>
        <w:tabs>
          <w:tab w:leader="none" w:pos="38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 collaboration with Bayer outside of the United States</w:t>
      </w:r>
    </w:p>
    <w:p>
      <w:pPr>
        <w:spacing w:after="0" w:line="23" w:lineRule="exact"/>
        <w:rPr>
          <w:rFonts w:ascii="Arial" w:cs="Arial" w:eastAsia="Arial" w:hAnsi="Arial"/>
          <w:sz w:val="17"/>
          <w:szCs w:val="17"/>
          <w:color w:val="auto"/>
          <w:vertAlign w:val="superscript"/>
        </w:rPr>
      </w:pPr>
    </w:p>
    <w:p>
      <w:pPr>
        <w:ind w:left="400" w:hanging="165"/>
        <w:spacing w:after="0" w:line="191" w:lineRule="auto"/>
        <w:tabs>
          <w:tab w:leader="none" w:pos="40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FDA granted orphan drug designation</w:t>
      </w:r>
    </w:p>
    <w:p>
      <w:pPr>
        <w:spacing w:after="0" w:line="23" w:lineRule="exact"/>
        <w:rPr>
          <w:rFonts w:ascii="Arial" w:cs="Arial" w:eastAsia="Arial" w:hAnsi="Arial"/>
          <w:sz w:val="21"/>
          <w:szCs w:val="21"/>
          <w:color w:val="auto"/>
          <w:vertAlign w:val="superscript"/>
        </w:rPr>
      </w:pPr>
    </w:p>
    <w:p>
      <w:pPr>
        <w:ind w:left="380" w:hanging="145"/>
        <w:spacing w:after="0" w:line="236" w:lineRule="auto"/>
        <w:tabs>
          <w:tab w:leader="none" w:pos="38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FDA granted Breakthrough Therapy designation</w:t>
      </w:r>
    </w:p>
    <w:p>
      <w:pPr>
        <w:spacing w:after="0" w:line="23" w:lineRule="exact"/>
        <w:rPr>
          <w:rFonts w:ascii="Arial" w:cs="Arial" w:eastAsia="Arial" w:hAnsi="Arial"/>
          <w:sz w:val="17"/>
          <w:szCs w:val="17"/>
          <w:color w:val="auto"/>
          <w:vertAlign w:val="superscript"/>
        </w:rPr>
      </w:pPr>
    </w:p>
    <w:p>
      <w:pPr>
        <w:ind w:left="400" w:hanging="165"/>
        <w:spacing w:after="0" w:line="200" w:lineRule="auto"/>
        <w:tabs>
          <w:tab w:leader="none" w:pos="40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FDA granted Fast Track designation</w:t>
      </w:r>
    </w:p>
    <w:p>
      <w:pPr>
        <w:spacing w:after="0" w:line="24" w:lineRule="exact"/>
        <w:rPr>
          <w:rFonts w:ascii="Arial" w:cs="Arial" w:eastAsia="Arial" w:hAnsi="Arial"/>
          <w:sz w:val="20"/>
          <w:szCs w:val="20"/>
          <w:color w:val="auto"/>
          <w:vertAlign w:val="superscript"/>
        </w:rPr>
      </w:pPr>
    </w:p>
    <w:p>
      <w:pPr>
        <w:ind w:left="240" w:right="80" w:hanging="5"/>
        <w:spacing w:after="0" w:line="199" w:lineRule="auto"/>
        <w:tabs>
          <w:tab w:leader="none" w:pos="38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11" w:lineRule="exact"/>
        <w:rPr>
          <w:rFonts w:ascii="Arial" w:cs="Arial" w:eastAsia="Arial" w:hAnsi="Arial"/>
          <w:sz w:val="21"/>
          <w:szCs w:val="21"/>
          <w:color w:val="auto"/>
          <w:vertAlign w:val="superscript"/>
        </w:rPr>
      </w:pPr>
    </w:p>
    <w:p>
      <w:pPr>
        <w:ind w:left="240" w:right="500" w:hanging="5"/>
        <w:spacing w:after="0"/>
        <w:tabs>
          <w:tab w:leader="none" w:pos="389"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and development of these antibodies.</w:t>
      </w:r>
    </w:p>
    <w:p>
      <w:pPr>
        <w:ind w:left="400" w:hanging="165"/>
        <w:spacing w:after="0" w:line="225" w:lineRule="auto"/>
        <w:tabs>
          <w:tab w:leader="none" w:pos="40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Studied as monotherapy and in combination with other antibodies and treatments</w:t>
      </w:r>
    </w:p>
    <w:p>
      <w:pPr>
        <w:spacing w:after="0" w:line="24" w:lineRule="exact"/>
        <w:rPr>
          <w:rFonts w:ascii="Arial" w:cs="Arial" w:eastAsia="Arial" w:hAnsi="Arial"/>
          <w:sz w:val="20"/>
          <w:szCs w:val="20"/>
          <w:color w:val="auto"/>
          <w:vertAlign w:val="superscript"/>
        </w:rPr>
      </w:pPr>
    </w:p>
    <w:p>
      <w:pPr>
        <w:ind w:left="380" w:hanging="145"/>
        <w:spacing w:after="0" w:line="191" w:lineRule="auto"/>
        <w:tabs>
          <w:tab w:leader="none" w:pos="3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Information in this column relates to U.S., EU, and Japan regulatory submissions only</w:t>
      </w:r>
    </w:p>
    <w:p>
      <w:pPr>
        <w:spacing w:after="0" w:line="23" w:lineRule="exact"/>
        <w:rPr>
          <w:rFonts w:ascii="Arial" w:cs="Arial" w:eastAsia="Arial" w:hAnsi="Arial"/>
          <w:sz w:val="21"/>
          <w:szCs w:val="21"/>
          <w:color w:val="auto"/>
          <w:vertAlign w:val="superscript"/>
        </w:rPr>
      </w:pPr>
    </w:p>
    <w:p>
      <w:pPr>
        <w:ind w:left="240" w:hanging="5"/>
        <w:spacing w:after="0" w:line="203" w:lineRule="auto"/>
        <w:tabs>
          <w:tab w:leader="none" w:pos="3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Refer to "Collaboration and License Agreements" section below for further details.</w:t>
      </w:r>
    </w:p>
    <w:p>
      <w:pPr>
        <w:spacing w:after="0" w:line="10" w:lineRule="exact"/>
        <w:rPr>
          <w:rFonts w:ascii="Arial" w:cs="Arial" w:eastAsia="Arial" w:hAnsi="Arial"/>
          <w:sz w:val="21"/>
          <w:szCs w:val="21"/>
          <w:color w:val="auto"/>
          <w:vertAlign w:val="superscript"/>
        </w:rPr>
      </w:pPr>
    </w:p>
    <w:p>
      <w:pPr>
        <w:ind w:left="240" w:right="200" w:hanging="5"/>
        <w:spacing w:after="0" w:line="207" w:lineRule="auto"/>
        <w:tabs>
          <w:tab w:leader="none" w:pos="40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As described in the section preceding the table above and Part II, Item 1A. "Risk Factors," development timelines may be further subject to change as a result of the impact of the COVID-19 pandemic</w:t>
      </w:r>
    </w:p>
    <w:p>
      <w:pPr>
        <w:spacing w:after="0" w:line="1" w:lineRule="exact"/>
        <w:rPr>
          <w:rFonts w:ascii="Arial" w:cs="Arial" w:eastAsia="Arial" w:hAnsi="Arial"/>
          <w:sz w:val="21"/>
          <w:szCs w:val="21"/>
          <w:color w:val="auto"/>
          <w:vertAlign w:val="superscript"/>
        </w:rPr>
      </w:pPr>
    </w:p>
    <w:p>
      <w:pPr>
        <w:ind w:left="360" w:hanging="125"/>
        <w:spacing w:after="0" w:line="214" w:lineRule="auto"/>
        <w:tabs>
          <w:tab w:leader="none" w:pos="36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 collaboration with Teva and Mitsubishi Tanabe Pharma</w:t>
      </w:r>
    </w:p>
    <w:p>
      <w:pPr>
        <w:spacing w:after="0" w:line="24" w:lineRule="exact"/>
        <w:rPr>
          <w:rFonts w:ascii="Arial" w:cs="Arial" w:eastAsia="Arial" w:hAnsi="Arial"/>
          <w:sz w:val="21"/>
          <w:szCs w:val="21"/>
          <w:color w:val="auto"/>
          <w:vertAlign w:val="superscript"/>
        </w:rPr>
      </w:pPr>
    </w:p>
    <w:p>
      <w:pPr>
        <w:ind w:left="420" w:hanging="185"/>
        <w:spacing w:after="0" w:line="223" w:lineRule="auto"/>
        <w:tabs>
          <w:tab w:leader="none" w:pos="4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Conducted jointly with the National Institute of Allergy and Infectious Diseases ("NIAID"), part of the National Institutes of Health ("NIH")</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 Clinical Development Programs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REGN-COV2</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using our end-to-end antibody technologies to discover and develop brand new therapeutic antibodies for COVID-19. The Company is advancing REGN-COV2, a novel investigational antibody "cocktail" treatment designed to prevent and treat infection from the SARS-CoV-2 virus. The use of our two-antibody "cocktail" is intended to diminish the risk of viral escape by effectively binding to the virus's critical spike protein in two separate, non-overlapping locations. In April 2020, the Company moved its leading neutralizing antibodies into pre-clinical and clinical-scale cell production lines, and in June 2020, initiated its first clinical trial of REGN-COV2. Following a positive review from the IDMC of REGN-COV2 Phase 1 safety results in an initial cohort, the program advanced to late-stage clinical trials (see table above for further details). The REGN-COV2 clinical program consists of the following separate study populations: hospitalized COVID-19 patients, non-hospitalized symptomatic COVID-19 patients, and uninfected people with close exposure to a COVID-19 patient (such as the patient's housemate).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announced that two Phase 3 trials, FACT OA1 and FACT OA2, achieved the co-primary endpoints for fasinumab 1 mg monthly, demonstrating significant improvements in pain and physical function over placebo at week 16 and week 24, respectively. Fasinumab 1 mg monthly also showed nominally significant benefits in physical function in both trials and pain in one trial, when compared to the maximum FDA-approved prescription doses of non-steroidal anti-inflammatory drugs for osteoarthritis.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 OA1 trial included an additional treatment arm, fasinumab 1 mg every two months, which showed numerical benefit over placebo, but did not reach statistical significance.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initial safety analyses from the Phase 3 trials, there was an increase in arthropathies reported with fasinumab. In a sub-group of patients from one Phase 3 long-term safety trial, there was an increase in joint replacement with fasinumab 1 mg monthly treatment during the off-drug follow-up period, although this increase was not seen in the other trials to date. Additional longer-term safety data from the ongoing trials are being collected and are expected to be reported early next year.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BARDA</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the first quarter of 2020, the Company announced an expansion of its Other Transaction Agreement ("OTA") with BARDA, pursuant to which HHS is obligated to fund 80% of our costs incurred for certain research and development activities related to COVID-19 treatments. In July 2020, the Company also announced an agreement with entities acting at the direction of BARDA and the U.S. Department of Defense to manufacture and deliver filled and finished REGN-COV2 to the U.S. Government. This agreement could result in payments to the Company of up to $450.2 million in the aggregate for bulk manufacturing of the drug substance, beginning in the summer of 2020, as well as fill/finish and storage activities starting in the third quarter of 2020.</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2015, we and BARDA entered into an agreement pursuant to which HHS provides certain funding to develop, test, and manufacture a treatment for Ebola virus infection. In July 2020, HHS exercised its option under the existing agreement to provide up to $344.6 million of additional funding for the manufacture and supply of REGN-EB3. Contingent upon FDA approval of REGN-EB3, we expect to deliver an established number of treatment doses over the course of approximately six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a secondary offering of 13,014,646 shares of our Common Stock held by Sanofi was completed. We also purchased 9,806,805 shares directly from Sanofi for an aggregate purchase amount of $5 billion. Pursuant to the offering and purchase, Sanofi disposed of all of its shares of common stock in Regeneron, other than 400,000 shares that it retained as of the closing of these transactions (which Sanofi has used, and may continue to use, for the funding of certain development costs as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2020, we were collaborating with Sanofi on the global development and commercialization of Dupixent, Kevzara, and REGN3500 (the "Antibody Collaboration"). See discussion below for updates related to the development and commercialization of Praluent effective April 1, 2020. Under the terms of the Antibody License and Collaboration Agreement (the "LCA"), following receipt of the first positive Phase 3 trial results for a co-developed drug candidate, subsequent Phase 3 trial-related costs for that drug candidate are generally shared 80% by Sanofi and 20% by us. All other agreed-upon development costs incurred by both companies are funded 100% by Sanofi. We are obligated to reimburse Sanofi for 50% of worldwide development expenses that were fully funded by Sanofi and 30% of shared Phase 3 trial-related costs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and Sanofi entered into a letter agreement (the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certain shares of our Common Stock directly or indirectly owned by Sanofi.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this funding arrangement.</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have exercised our option to co-commercialize Dupixent in the United States and in certain countries outside the United States. We currently anticipate commencing co-commercialization of Dupixent in such countries outside the United States at the end of 2020 or early 2021.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an aggregate of $250.0 million in milestone payments upon achievement of specified aggregate annual sales of antibodies outside the United States (including Praluent) on a rolling twelve-month basis. The Company will be entitled to receive the first sales milestone payment from Sanofi, in the amount of $50.0 million, when such sales outside the United States exceed $1.0 billion.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will share profits and losses for Praluent under the LCA. The parties also entered into a Praluent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December 2019, the Company and Sanofi also announced their intent to restructure their antibody collaboration for Kevzara. The companies continue to assess potential terms of this restructuring in light of the clinical program evaluating Kevzara in patients hospitalized with COVID-19 infection.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w:t>
      </w:r>
    </w:p>
    <w:p>
      <w:pPr>
        <w:spacing w:after="0" w:line="2" w:lineRule="exact"/>
        <w:rPr>
          <w:sz w:val="20"/>
          <w:szCs w:val="20"/>
          <w:color w:val="auto"/>
        </w:rPr>
      </w:pPr>
    </w:p>
    <w:p>
      <w:pPr>
        <w:ind w:firstLine="8"/>
        <w:spacing w:after="0" w:line="260" w:lineRule="auto"/>
        <w:tabs>
          <w:tab w:leader="none" w:pos="2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prepayment for certain IO Development Activities regarding the BCMAxCD3 Program and the MUC16xCD3 Program, and (z) the reimbursement of costs incurred by the Company under the 2015 IO Discovery Agreement during the fourth quarter of 2018.</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IO License and Collaboration Agreement, the parties are also co-developing and co-commercializing Libtayo (cemiplimab), an antibody targeting PD-1. We have principal control over the development of Libtayo, and the parties share equally, on an ongoing basis, development and commercialization expenses for Libtayo. Under the Letter Agreement, we have agreed to allow Sanofi to satisfy in whole or in part its funding obligation with respect to Libtayo development costs for the quarterly periods commencing on October 1, 2017 and ending on September 30, 2020 by selling certain shares of our Common Stock directly or indirectly owned by Sanofi. As of June 30, 2020, 279,766 shares of our Common Stock remained eligible for sale by Sanofi in order to satisfy its funding obligations with respect to Libtayo development costs and/or, as noted above, Dupilumab/REGN3500 Eligible Investments.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Refer to the </w:t>
      </w:r>
      <w:r>
        <w:rPr>
          <w:rFonts w:ascii="Arial" w:cs="Arial" w:eastAsia="Arial" w:hAnsi="Arial"/>
          <w:sz w:val="18"/>
          <w:szCs w:val="18"/>
          <w:i w:val="1"/>
          <w:iCs w:val="1"/>
          <w:color w:val="auto"/>
        </w:rPr>
        <w:t>"Antibody"</w:t>
      </w:r>
      <w:r>
        <w:rPr>
          <w:rFonts w:ascii="Arial" w:cs="Arial" w:eastAsia="Arial" w:hAnsi="Arial"/>
          <w:sz w:val="18"/>
          <w:szCs w:val="18"/>
          <w:color w:val="auto"/>
        </w:rPr>
        <w:t xml:space="preserve"> section above for a description of share transactions related to Dupilumab/REGN3500 Eligible Investments.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and Bayer have been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2016, we entered into a collaboration agreement with Teva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June 30, 2020,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REGN1979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entered into an agreement with Zai Lab Limited to develop and commercialize REGN1979 in mainland China, Hong Kong, Taiwan, and Macau (the "Zai Territories"). In connection with the agreement, Zai made a $30.0 million non-refundable up-front payment to the Company. We will continue to lead global development activities for REGN1979, and Zai will be responsible for funding a portion of the global development costs for certain clinical trials.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responsible for the manufacture and supply of clinical and commercial product of REGN1979 to Zai. If REGN1979 is commercialized in the Zai Territories, we will supply the product to Zai at a tiered purchase price, which is calculated as a percentage of net sales of the product (subject to adjustment in certain circumstances), and are eligible to receive up to $160.0 million in additional regulatory and sales milestone payments.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In May 2020, we expanded our existing collaboration with Intellia Therapeutics, Inc. to provide us with rights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companies to jointly develop potential products for the treatment of hemophilia A and B.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agreement, we made a $70.0 million up-front payment and purchased 925,218 shares of Intellia common stock for an aggregate purchase price of $30.0 million. The amount paid in excess of the fair market value of the shares purchased, or $15.0 million, was recorded to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Six Months Ended June 30, 2020 and 2019</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revisions have been made to the previously reported June 30, 2019 amounts below in connection with changing the presentation of certain amounts earned from collaborators; see Note 1 to our Condensed Consolidated Financial Statements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8"/>
          </w:tcPr>
          <w:p>
            <w:pPr>
              <w:ind w:left="14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152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52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15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15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2,950.4</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1,262.2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9"/>
              </w:rPr>
              <w:t>2,154.8</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15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w w:val="99"/>
              </w:rPr>
              <w:t>Other income (expense), net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15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1,587.5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770.8</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3"/>
        </w:trPr>
        <w:tc>
          <w:tcPr>
            <w:tcW w:w="1520" w:type="dxa"/>
            <w:vAlign w:val="bottom"/>
          </w:tcPr>
          <w:p>
            <w:pPr>
              <w:spacing w:after="0"/>
              <w:rPr>
                <w:sz w:val="24"/>
                <w:szCs w:val="2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4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1,521.9</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5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7"/>
        </w:trPr>
        <w:tc>
          <w:tcPr>
            <w:tcW w:w="1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15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income per share - diluted</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46"/>
        </w:trPr>
        <w:tc>
          <w:tcPr>
            <w:tcW w:w="3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0"/>
        </w:trPr>
        <w:tc>
          <w:tcPr>
            <w:tcW w:w="1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8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2"/>
                <w:szCs w:val="22"/>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Change</w:t>
            </w:r>
            <w:r>
              <w:rPr>
                <w:rFonts w:ascii="Arial" w:cs="Arial" w:eastAsia="Arial" w:hAnsi="Arial"/>
                <w:sz w:val="23"/>
                <w:szCs w:val="23"/>
                <w:b w:val="1"/>
                <w:bCs w:val="1"/>
                <w:color w:val="auto"/>
                <w:w w:val="88"/>
                <w:vertAlign w:val="superscript"/>
              </w:rPr>
              <w:t>*</w:t>
            </w:r>
          </w:p>
        </w:tc>
      </w:tr>
      <w:tr>
        <w:trPr>
          <w:trHeight w:val="230"/>
        </w:trPr>
        <w:tc>
          <w:tcPr>
            <w:tcW w:w="3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EYLEA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1,113.7</w:t>
            </w:r>
          </w:p>
        </w:tc>
        <w:tc>
          <w:tcPr>
            <w:tcW w:w="12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1,160.3</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2,234.4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51.3</w:t>
            </w:r>
          </w:p>
        </w:tc>
      </w:tr>
      <w:tr>
        <w:trPr>
          <w:trHeight w:val="27"/>
        </w:trPr>
        <w:tc>
          <w:tcPr>
            <w:tcW w:w="3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w:t>
            </w:r>
          </w:p>
        </w:tc>
      </w:tr>
      <w:tr>
        <w:trPr>
          <w:trHeight w:val="270"/>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Praluent</w:t>
            </w:r>
          </w:p>
        </w:tc>
        <w:tc>
          <w:tcPr>
            <w:tcW w:w="30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Sanofi and Bayer collaboration revenue:</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458.2</w:t>
            </w:r>
          </w:p>
        </w:tc>
      </w:tr>
      <w:tr>
        <w:trPr>
          <w:trHeight w:val="243"/>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Bayer</w:t>
            </w:r>
          </w:p>
        </w:tc>
        <w:tc>
          <w:tcPr>
            <w:tcW w:w="3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3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233.3</w:t>
            </w:r>
          </w:p>
        </w:tc>
      </w:tr>
      <w:tr>
        <w:trPr>
          <w:trHeight w:val="26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1,952.0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1,577.8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374.2</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3,780.2</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2,950.4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829.8</w:t>
            </w:r>
          </w:p>
        </w:tc>
      </w:tr>
      <w:tr>
        <w:trPr>
          <w:trHeight w:val="21"/>
        </w:trPr>
        <w:tc>
          <w:tcPr>
            <w:tcW w:w="1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40" w:hanging="90"/>
        <w:spacing w:after="0"/>
        <w:tabs>
          <w:tab w:leader="none" w:pos="4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Net product sales of Praluent in the United States were recorded by Sanofi prior to April 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product sales of EYLEA in the United States decreased for the three months ended June 30, 2020, compared to the same period in 2019, due to lower sales volume primarily attributable to the COVID-19 pandemic and an increase in sales-related deductions primarily due to higher discounts. Net product sales of EYLEA in the United States increased for the six months ended June 30, 2020, compared to the same period in 2019, due to higher sales volume partly offset by an increase in sales-related deductions, primarily due to higher rebates and discounts, as well as the impact of the COVID-19 pandemic. Overall U.S. EYLEA demand was lower in April 2020 compared to the same period of 2019. While we observed an increase in U.S. EYLEA demand during the remainder of the second quarter of 2020 relative to April 2020, we are unable to predict whether there will be additional adverse impact on net product sales if shelter-in-place and social distancing orders are reintroduced or imposed in additional geographies.</w:t>
      </w:r>
    </w:p>
    <w:p>
      <w:pPr>
        <w:spacing w:after="0" w:line="9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Effective April 1, 2020, the Company is solely responsible for the development and commercialization of Praluent in the United States and records net product sales of Praluent in the United States. Refer to "Collaboration and License Agreements - </w:t>
      </w:r>
      <w:r>
        <w:rPr>
          <w:rFonts w:ascii="Arial" w:cs="Arial" w:eastAsia="Arial" w:hAnsi="Arial"/>
          <w:sz w:val="16"/>
          <w:szCs w:val="16"/>
          <w:i w:val="1"/>
          <w:iCs w:val="1"/>
          <w:color w:val="auto"/>
        </w:rPr>
        <w:t>Sanofi</w:t>
      </w:r>
      <w:r>
        <w:rPr>
          <w:rFonts w:ascii="Arial" w:cs="Arial" w:eastAsia="Arial" w:hAnsi="Arial"/>
          <w:sz w:val="16"/>
          <w:szCs w:val="16"/>
          <w:color w:val="auto"/>
        </w:rPr>
        <w:t xml:space="preserve"> - </w:t>
      </w:r>
      <w:r>
        <w:rPr>
          <w:rFonts w:ascii="Arial" w:cs="Arial" w:eastAsia="Arial" w:hAnsi="Arial"/>
          <w:sz w:val="16"/>
          <w:szCs w:val="16"/>
          <w:i w:val="1"/>
          <w:iCs w:val="1"/>
          <w:color w:val="auto"/>
        </w:rPr>
        <w:t>Antibody</w:t>
      </w:r>
      <w:r>
        <w:rPr>
          <w:rFonts w:ascii="Arial" w:cs="Arial" w:eastAsia="Arial" w:hAnsi="Arial"/>
          <w:sz w:val="16"/>
          <w:szCs w:val="16"/>
          <w:color w:val="auto"/>
        </w:rPr>
        <w:t>" section above for further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58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8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Antibody</w:t>
            </w: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58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losses in connection with</w:t>
            </w:r>
          </w:p>
        </w:tc>
        <w:tc>
          <w:tcPr>
            <w:tcW w:w="2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w w:val="96"/>
              </w:rPr>
              <w:t>commercialization of Libtayo outside the United States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8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Immuno-oncology</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40" w:type="dxa"/>
            <w:vAlign w:val="bottom"/>
          </w:tcPr>
          <w:p>
            <w:pPr>
              <w:spacing w:after="0"/>
              <w:rPr>
                <w:sz w:val="24"/>
                <w:szCs w:val="24"/>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280" w:right="1460" w:hanging="5"/>
        <w:spacing w:after="0" w:line="219" w:lineRule="auto"/>
        <w:tabs>
          <w:tab w:leader="none" w:pos="1443"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The corresponding costs incurred by us in connection with such production is recorded within Cost of collaboration and contract manufacturing.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Antibody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During the three and six months ended June 30, 2020, the change in our share of profits in connection with commercialization of antibodies, compared to the same period in 2019, was primarily driven by higher Dupixent profits as well as our new agreement with Sanofi under which, effective April 1, 2020, we are no longer sharing in losses with Sanofi in connection with the commercialization of Praluent (see further information below). The increase in reimbursements for manufacturing of commercial supplies is primarily driven by higher Dupixent sales, as revenue recognition for such cost reimbursements is deferred until the product is sold by Sanofi to third-party customers.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31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2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1,160.8</w:t>
            </w:r>
          </w:p>
        </w:tc>
        <w:tc>
          <w:tcPr>
            <w:tcW w:w="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Pr>
          <w:p>
            <w:pPr>
              <w:spacing w:after="0"/>
              <w:rPr>
                <w:sz w:val="20"/>
                <w:szCs w:val="20"/>
                <w:color w:val="auto"/>
              </w:rPr>
            </w:pPr>
            <w:r>
              <w:rPr>
                <w:rFonts w:ascii="Arial" w:cs="Arial" w:eastAsia="Arial" w:hAnsi="Arial"/>
                <w:sz w:val="18"/>
                <w:szCs w:val="18"/>
                <w:color w:val="auto"/>
              </w:rPr>
              <w:t>Regeneron's share of collaboration profits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191.4</w:t>
            </w:r>
          </w:p>
        </w:tc>
        <w:tc>
          <w:tcPr>
            <w:tcW w:w="6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384.4</w:t>
            </w:r>
          </w:p>
        </w:tc>
        <w:tc>
          <w:tcPr>
            <w:tcW w:w="6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Reimbursement of development expenses incurred by</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Sanofi in accordance with Regeneron's payment</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line="156" w:lineRule="exact"/>
              <w:rPr>
                <w:sz w:val="20"/>
                <w:szCs w:val="20"/>
                <w:color w:val="auto"/>
              </w:rPr>
            </w:pPr>
            <w:r>
              <w:rPr>
                <w:rFonts w:ascii="Arial" w:cs="Arial" w:eastAsia="Arial" w:hAnsi="Arial"/>
                <w:sz w:val="18"/>
                <w:szCs w:val="18"/>
                <w:color w:val="auto"/>
              </w:rPr>
              <w:t>Regeneron's share of profits in connection with</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171.9</w:t>
            </w:r>
          </w:p>
        </w:tc>
        <w:tc>
          <w:tcPr>
            <w:tcW w:w="64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56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342.8</w:t>
            </w:r>
          </w:p>
        </w:tc>
        <w:tc>
          <w:tcPr>
            <w:tcW w:w="66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commercialization of antibodies</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Regeneron's share of collaboration profits as a percentage</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w w:val="96"/>
              </w:rPr>
              <w:t>of Dupixent, Praluent, and Kevzara net product sales</w:t>
            </w:r>
            <w:r>
              <w:rPr>
                <w:rFonts w:ascii="Arial" w:cs="Arial" w:eastAsia="Arial" w:hAnsi="Arial"/>
                <w:sz w:val="23"/>
                <w:szCs w:val="23"/>
                <w:color w:val="auto"/>
                <w:w w:val="96"/>
                <w:vertAlign w:val="superscript"/>
              </w:rPr>
              <w:t>(1)</w:t>
            </w: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180" w:right="860" w:hanging="7"/>
        <w:spacing w:after="0" w:line="222" w:lineRule="auto"/>
        <w:tabs>
          <w:tab w:leader="none" w:pos="1343"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above under "Collaboration and License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effective April 1, 2020, the Company is solely responsible for the development and commercialization of Praluent in the United States. Under the new agreement, Sanofi is solely responsible for the development and commercialization of Praluent outside of the United States, and will pay the Company a 5% royalty on Sanofi’s net product sales of Praluent outside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Regeneron's net profit in connection with commercialization of EYLEA</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484.7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000" w:hanging="164"/>
        <w:spacing w:after="0"/>
        <w:tabs>
          <w:tab w:leader="none" w:pos="100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The corresponding costs incurred by us in connection with such production is recorded within Cost of collaboration and contract manufacturing.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8"/>
              </w:rPr>
              <w:t>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1,384.7</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Regeneron's share of collaboration profit from sales outside the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245.3</w:t>
            </w:r>
          </w:p>
        </w:tc>
        <w:tc>
          <w:tcPr>
            <w:tcW w:w="6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282.9</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513.5</w:t>
            </w:r>
          </w:p>
        </w:tc>
        <w:tc>
          <w:tcPr>
            <w:tcW w:w="6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40" w:type="dxa"/>
            <w:vAlign w:val="bottom"/>
            <w:gridSpan w:val="3"/>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Arial" w:cs="Arial" w:eastAsia="Arial" w:hAnsi="Arial"/>
                <w:sz w:val="18"/>
                <w:szCs w:val="18"/>
                <w:color w:val="auto"/>
              </w:rPr>
              <w:t>Regeneron's net profit in connection with commercialization of</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230.9</w:t>
            </w:r>
          </w:p>
        </w:tc>
        <w:tc>
          <w:tcPr>
            <w:tcW w:w="6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269.0</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484.7</w:t>
            </w:r>
          </w:p>
        </w:tc>
        <w:tc>
          <w:tcPr>
            <w:tcW w:w="6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518.3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EYLEA outside the United States</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Regeneron's net profit as a percentage of EYLEA net product sales</w:t>
            </w: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during the three and six months ended June 30, 2020, compared to the same periods of 2019, primarily due to:</w:t>
      </w:r>
    </w:p>
    <w:p>
      <w:pPr>
        <w:spacing w:after="0" w:line="144" w:lineRule="exact"/>
        <w:rPr>
          <w:sz w:val="20"/>
          <w:szCs w:val="20"/>
          <w:color w:val="auto"/>
        </w:rPr>
      </w:pPr>
    </w:p>
    <w:p>
      <w:pPr>
        <w:ind w:left="660" w:right="2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agreements with BARDA related to funding of certain development activities for REGN-EB3 for the treatment of Ebola and antibodies for the treatment of COVID-19;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$30.0 million up-front payment received from Zai Lab in connection with our collaboration agreement;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April 1, 2020, Sanofi's reimbursement for manufacturing commercial supplies of Praluent and royalties of 5% on Sanofi’s net product sales of Praluent outside the United States.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87"/>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1,371.6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715.6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585.7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129.9</w:t>
            </w: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181.3</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43.4</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3"/>
                <w:szCs w:val="23"/>
                <w:color w:val="auto"/>
                <w:vertAlign w:val="superscript"/>
              </w:rPr>
              <w:t>(3)</w:t>
            </w:r>
          </w:p>
        </w:tc>
        <w:tc>
          <w:tcPr>
            <w:tcW w:w="22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131.5</w:t>
            </w: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1,262.2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2,423.7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2,154.8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268.9</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9"/>
        </w:trPr>
        <w:tc>
          <w:tcPr>
            <w:tcW w:w="4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22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8,254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8,142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7,549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593</w:t>
            </w:r>
          </w:p>
        </w:tc>
      </w:tr>
    </w:tbl>
    <w:p>
      <w:pPr>
        <w:spacing w:after="0" w:line="63" w:lineRule="exact"/>
        <w:rPr>
          <w:sz w:val="20"/>
          <w:szCs w:val="20"/>
          <w:color w:val="auto"/>
        </w:rPr>
      </w:pPr>
    </w:p>
    <w:p>
      <w:pPr>
        <w:ind w:left="360" w:hanging="172"/>
        <w:spacing w:after="0"/>
        <w:tabs>
          <w:tab w:leader="none" w:pos="36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costs incurred as well as cost reimbursements from collaborators who are not deemed to be our customers</w:t>
      </w:r>
    </w:p>
    <w:p>
      <w:pPr>
        <w:spacing w:after="0" w:line="23" w:lineRule="exact"/>
        <w:rPr>
          <w:rFonts w:ascii="Arial" w:cs="Arial" w:eastAsia="Arial" w:hAnsi="Arial"/>
          <w:sz w:val="21"/>
          <w:szCs w:val="21"/>
          <w:color w:val="auto"/>
          <w:vertAlign w:val="superscript"/>
        </w:rPr>
      </w:pPr>
    </w:p>
    <w:p>
      <w:pPr>
        <w:jc w:val="both"/>
        <w:ind w:left="180" w:right="220" w:firstLine="8"/>
        <w:spacing w:after="0" w:line="219" w:lineRule="auto"/>
        <w:tabs>
          <w:tab w:leader="none" w:pos="343"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Cost of goods sold includes costs in connection with producing commercial supplies for products that are sold by Regeneron in the United States (</w:t>
      </w:r>
      <w:r>
        <w:rPr>
          <w:rFonts w:ascii="Arial" w:cs="Arial" w:eastAsia="Arial" w:hAnsi="Arial"/>
          <w:sz w:val="15"/>
          <w:szCs w:val="15"/>
          <w:i w:val="1"/>
          <w:iCs w:val="1"/>
          <w:color w:val="auto"/>
        </w:rPr>
        <w:t>i.e.,</w:t>
      </w:r>
      <w:r>
        <w:rPr>
          <w:rFonts w:ascii="Arial" w:cs="Arial" w:eastAsia="Arial" w:hAnsi="Arial"/>
          <w:sz w:val="15"/>
          <w:szCs w:val="15"/>
          <w:color w:val="auto"/>
        </w:rPr>
        <w:t xml:space="preserve"> for which we record net product sales) and any royalties we are obligated to pay on such sales, period costs for our Limerick manufacturing facility, and amounts we are obligated to pay to Sanofi for its share of Libtayo U.S. gross profits</w:t>
      </w:r>
    </w:p>
    <w:p>
      <w:pPr>
        <w:spacing w:after="0" w:line="2" w:lineRule="exact"/>
        <w:rPr>
          <w:rFonts w:ascii="Arial" w:cs="Arial" w:eastAsia="Arial" w:hAnsi="Arial"/>
          <w:sz w:val="19"/>
          <w:szCs w:val="19"/>
          <w:color w:val="auto"/>
          <w:vertAlign w:val="superscript"/>
        </w:rPr>
      </w:pPr>
    </w:p>
    <w:p>
      <w:pPr>
        <w:ind w:left="360" w:hanging="172"/>
        <w:spacing w:after="0" w:line="225" w:lineRule="auto"/>
        <w:tabs>
          <w:tab w:leader="none" w:pos="360"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included a total of $103.5 million and $105.8 million for the three months ended June 30, 2020 and 2019, respectively, and $209.3 million and $213.7 million for the six months ended June 30, 2020 and 2019, respectively, of non-cash compensation expense related to equity awards granted under our long-term incentive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2"/>
                <w:szCs w:val="22"/>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2"/>
                <w:szCs w:val="22"/>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2019</w:t>
            </w:r>
            <w:r>
              <w:rPr>
                <w:rFonts w:ascii="Arial" w:cs="Arial" w:eastAsia="Arial" w:hAnsi="Arial"/>
                <w:sz w:val="23"/>
                <w:szCs w:val="23"/>
                <w:b w:val="1"/>
                <w:bCs w:val="1"/>
                <w:color w:val="auto"/>
                <w:w w:val="91"/>
                <w:vertAlign w:val="superscript"/>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Fasinumab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Libtayo (cemiplimab)</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Dupixent (dupilumab)</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REGN-COV2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EYLEA</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Evinacumab</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4360" w:type="dxa"/>
            <w:vAlign w:val="bottom"/>
          </w:tcPr>
          <w:p>
            <w:pPr>
              <w:ind w:left="220"/>
              <w:spacing w:after="0" w:line="176" w:lineRule="exact"/>
              <w:rPr>
                <w:sz w:val="20"/>
                <w:szCs w:val="20"/>
                <w:color w:val="auto"/>
              </w:rPr>
            </w:pPr>
            <w:r>
              <w:rPr>
                <w:rFonts w:ascii="Arial" w:cs="Arial" w:eastAsia="Arial" w:hAnsi="Arial"/>
                <w:sz w:val="18"/>
                <w:szCs w:val="18"/>
                <w:color w:val="auto"/>
                <w:w w:val="95"/>
              </w:rPr>
              <w:t>Up-front payments related to license and collaboration</w:t>
            </w:r>
          </w:p>
        </w:tc>
        <w:tc>
          <w:tcPr>
            <w:tcW w:w="18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(315.0)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30"/>
        </w:trPr>
        <w:tc>
          <w:tcPr>
            <w:tcW w:w="4360" w:type="dxa"/>
            <w:vAlign w:val="bottom"/>
          </w:tcPr>
          <w:p>
            <w:pPr>
              <w:ind w:left="400"/>
              <w:spacing w:after="0"/>
              <w:rPr>
                <w:sz w:val="20"/>
                <w:szCs w:val="20"/>
                <w:color w:val="auto"/>
              </w:rPr>
            </w:pPr>
            <w:r>
              <w:rPr>
                <w:rFonts w:ascii="Arial" w:cs="Arial" w:eastAsia="Arial" w:hAnsi="Arial"/>
                <w:sz w:val="18"/>
                <w:szCs w:val="18"/>
                <w:color w:val="auto"/>
              </w:rPr>
              <w:t>agreements</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Other product candidates in clinical development and</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253.6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research programs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(237.8)</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621.6</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841.2</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Payroll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0"/>
        </w:trPr>
        <w:tc>
          <w:tcPr>
            <w:tcW w:w="4360" w:type="dxa"/>
            <w:vAlign w:val="bottom"/>
          </w:tcPr>
          <w:p>
            <w:pPr>
              <w:ind w:left="220"/>
              <w:spacing w:after="0"/>
              <w:rPr>
                <w:sz w:val="20"/>
                <w:szCs w:val="20"/>
                <w:color w:val="auto"/>
              </w:rPr>
            </w:pPr>
            <w:r>
              <w:rPr>
                <w:rFonts w:ascii="Arial" w:cs="Arial" w:eastAsia="Arial" w:hAnsi="Arial"/>
                <w:sz w:val="18"/>
                <w:szCs w:val="18"/>
                <w:color w:val="auto"/>
                <w:w w:val="92"/>
              </w:rPr>
              <w:t>Lab supplies and other research and development costs</w:t>
            </w:r>
          </w:p>
        </w:tc>
        <w:tc>
          <w:tcPr>
            <w:tcW w:w="18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Occupancy and other operating costs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619.6</w:t>
            </w: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547.3</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0"/>
              <w:spacing w:after="0"/>
              <w:rPr>
                <w:sz w:val="20"/>
                <w:szCs w:val="20"/>
                <w:color w:val="auto"/>
              </w:rPr>
            </w:pPr>
            <w:r>
              <w:rPr>
                <w:rFonts w:ascii="Arial" w:cs="Arial" w:eastAsia="Arial" w:hAnsi="Arial"/>
                <w:sz w:val="18"/>
                <w:szCs w:val="18"/>
                <w:color w:val="auto"/>
              </w:rPr>
              <w:t>Clinical manufacturing costs</w:t>
            </w:r>
          </w:p>
        </w:tc>
        <w:tc>
          <w:tcPr>
            <w:tcW w:w="18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line="176" w:lineRule="exact"/>
              <w:rPr>
                <w:sz w:val="20"/>
                <w:szCs w:val="20"/>
                <w:color w:val="auto"/>
              </w:rPr>
            </w:pPr>
            <w:r>
              <w:rPr>
                <w:rFonts w:ascii="Arial" w:cs="Arial" w:eastAsia="Arial" w:hAnsi="Arial"/>
                <w:sz w:val="18"/>
                <w:szCs w:val="18"/>
                <w:color w:val="auto"/>
                <w:w w:val="91"/>
              </w:rPr>
              <w:t>Reimbursement of research and development expenses by</w:t>
            </w:r>
          </w:p>
        </w:tc>
        <w:tc>
          <w:tcPr>
            <w:tcW w:w="18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(296.8)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(318.5)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collaborators</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1,305.9</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1,371.6</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hanging="72"/>
        <w:spacing w:after="0"/>
        <w:tabs>
          <w:tab w:leader="none" w:pos="26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for the three and six months ended June 30, 2020 included $85.0 million in aggregate up-front payments made in connection with our collaboration agreement with Intellia (see "Collaboration and License Agreements - Intellia" above). Direct research and development expenses in 2020 also include costs incurred in connection with Kevzara for the treatment of COVID-19 patients (included within "Other product candidates in clinical development and other research programs" in the table above). Research and development expenses for the three and six months ended June 30, 2019 included a $400.0 million up-front payment to Alnylam.</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expenses included non-cash compensation expense of $56.9 million and $59.3 million for the three months ended June 30, 2020 and 2019, respectively, and $113.6 million and $118.0 million for the six months ended June 30, 2020 and 2019, respectively.</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increased for the three and six months ended June 30, 2020, compared to the same periods in 2019, primarily due to higher headcount-related costs, additional accruals for loss contingencies associated with ongoing litigation, higher contributions to independent not-for-profit patient assistance organizations, and, effective April 1, 2020, no longer receiving Praluent-related cost reimbursements from Sanofi for Regeneron-incurred expenses. Selling, general, and administrative expenses also increased for the six months ended June 30, 2020, compared to the same period in 2019, due to an increase in commercialization-related expenses for EYLEA. Selling, general, and administrative expenses also included non-cash compensation expense of $38.2 million and $37.7 million for the three months ended June 30, 2020 and 2019, respectively, and $78.5 million and $81.5 million for the six months ended June 30, 2020 and 2019,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Cost of collaboration and contract manufacturing increased for the three and six months ended June 30, 2020, compared to the same periods in 2019, primarily due to the recognition of manufacturing costs associated with higher sales of Dupixent, process validation costs in connection with manufacturing REGN-EB3 under our BARDA agreement, and recognition of costs in connection with manufacturing ex-U.S. commercial supplies of Praluent for Sanofi under our new agreement (see "Collaboration and License Agreements - </w:t>
      </w:r>
      <w:r>
        <w:rPr>
          <w:rFonts w:ascii="Arial" w:cs="Arial" w:eastAsia="Arial" w:hAnsi="Arial"/>
          <w:sz w:val="17"/>
          <w:szCs w:val="17"/>
          <w:i w:val="1"/>
          <w:iCs w:val="1"/>
          <w:color w:val="auto"/>
        </w:rPr>
        <w:t>Sanofi</w:t>
      </w:r>
      <w:r>
        <w:rPr>
          <w:rFonts w:ascii="Arial" w:cs="Arial" w:eastAsia="Arial" w:hAnsi="Arial"/>
          <w:sz w:val="17"/>
          <w:szCs w:val="17"/>
          <w:color w:val="auto"/>
        </w:rPr>
        <w:t xml:space="preserve"> - </w:t>
      </w:r>
      <w:r>
        <w:rPr>
          <w:rFonts w:ascii="Arial" w:cs="Arial" w:eastAsia="Arial" w:hAnsi="Arial"/>
          <w:sz w:val="17"/>
          <w:szCs w:val="17"/>
          <w:i w:val="1"/>
          <w:iCs w:val="1"/>
          <w:color w:val="auto"/>
        </w:rPr>
        <w:t>Antibody</w:t>
      </w:r>
      <w:r>
        <w:rPr>
          <w:rFonts w:ascii="Arial" w:cs="Arial" w:eastAsia="Arial" w:hAnsi="Arial"/>
          <w:sz w:val="17"/>
          <w:szCs w:val="17"/>
          <w:color w:val="auto"/>
        </w:rPr>
        <w:t>" above for further details).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three and six months ended June 30, 2020, compared to the same periods in 2019, was positively impacted by the recognition of unrealized gains on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4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0" w:type="dxa"/>
            <w:vAlign w:val="bottom"/>
            <w:shd w:val="clear" w:color="auto" w:fill="CCEEFF"/>
          </w:tcPr>
          <w:p>
            <w:pPr>
              <w:spacing w:after="0"/>
              <w:rPr>
                <w:sz w:val="22"/>
                <w:szCs w:val="22"/>
                <w:color w:val="auto"/>
              </w:rPr>
            </w:pP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 for the three and six months ended June 30, 2020 was positively impacted, compared to the U.S. federal statutory rate, primarily by stock-based compensation, and, to a lesser extent, income earned in foreign jurisdictions with tax rates lower than the U.S. federal statutory rate and federal tax credits for research activities. Our effective tax rate for the three and six months ended June 30, 2019 was positively impacted, compared to the U.S. federal statutory rate, primarily by income earned in foreign jurisdictions with tax rates lower than the U.S. federal statutory rate, stock-based compensation, federal tax credits for research activities, and, to a lesser extent, the foreign-derived intangible income deduction, partly offset by the taxation of certain global intangible low-taxed income and the non-deductible Branded Prescription Drug Fee.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30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1,992.2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1,617.8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374.4</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(669.2)</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37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5,731.8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7,860.2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7,689.1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171.1</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1,605.8</w:t>
            </w:r>
          </w:p>
        </w:tc>
      </w:tr>
      <w:tr>
        <w:trPr>
          <w:trHeight w:val="237"/>
        </w:trPr>
        <w:tc>
          <w:tcPr>
            <w:tcW w:w="37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5,592.5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(1,434.7)</w:t>
            </w: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also had borrowing availability of $750.0 million under a revolving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Six Months Ended June 30, 2020 and 2019</w:t>
      </w:r>
    </w:p>
    <w:p>
      <w:pPr>
        <w:spacing w:after="0" w:line="289"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1,641.4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556.1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89"/>
              </w:rPr>
              <w:t>1,010.2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2,622.3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(2,277.2)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(2,381.8)</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net income for the six months ended June 30, 2020 included up-front payments of $85.0 million made to Intellia and a $30.0 million up-front payment received from Zai Lab pursuant to our collaboration agreements. Our net income for the six months ended June 30, 2020 also included $171.3 million related to unrealized gains (net) on equity securities (included in other non-cash items). Deferred taxes as of June 30, 2020 decreased by $118.0 million, compared to December 31, 2019, primarily due to non-cash compensation expense and unrealized gains (net) on equity securities as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marketable securities during the six months ended June 30, 2020 included proceeds in connection with funding our stock repurchase from Sanofi (as described below). Capital expenditures during the six months ended June 30, 2020 included costs associated with (i) the expansion of our manufacturing facilities in Rensselaer, New York and Limerick, Ireland, including construction of a fill/finish facility and related equipment, and (ii) laboratory expansion and renovations at our Tarrytown, New York facilities. We expect to incur capital expenditures of $540 million to $590 million for the full year of 2020 primarily in connection with these projects.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2020, we paid an aggregate of $5.4 billion to purchase shares of our Common Stock, a portion of which was funded with the proceeds from a $1.5 billion senior unsecured 364-day bridge loan facility. See further descriptions under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w:t>
      </w:r>
      <w:r>
        <w:rPr>
          <w:rFonts w:ascii="Arial" w:cs="Arial" w:eastAsia="Arial" w:hAnsi="Arial"/>
          <w:sz w:val="17"/>
          <w:szCs w:val="17"/>
          <w:i w:val="1"/>
          <w:iCs w:val="1"/>
          <w:color w:val="auto"/>
        </w:rPr>
        <w:t>Sanofi</w:t>
      </w:r>
      <w:r>
        <w:rPr>
          <w:rFonts w:ascii="Arial" w:cs="Arial" w:eastAsia="Arial" w:hAnsi="Arial"/>
          <w:sz w:val="17"/>
          <w:szCs w:val="17"/>
          <w:color w:val="auto"/>
        </w:rPr>
        <w:t xml:space="preserve"> </w:t>
      </w:r>
      <w:r>
        <w:rPr>
          <w:rFonts w:ascii="Arial" w:cs="Arial" w:eastAsia="Arial" w:hAnsi="Arial"/>
          <w:sz w:val="17"/>
          <w:szCs w:val="17"/>
          <w:i w:val="1"/>
          <w:iCs w:val="1"/>
          <w:color w:val="auto"/>
        </w:rPr>
        <w:t>Funding of Certain Development Costs,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Dispositions of Regeneron Common Stock Held by Sanofi</w:t>
      </w:r>
      <w:r>
        <w:rPr>
          <w:rFonts w:ascii="Arial" w:cs="Arial" w:eastAsia="Arial" w:hAnsi="Arial"/>
          <w:sz w:val="17"/>
          <w:szCs w:val="17"/>
          <w:color w:val="auto"/>
        </w:rPr>
        <w:t>" below.</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$2.2 billion during the six months ended June 30, 2020 compared to $155.1 million during the six months ended June 30,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we repurchased 719,167 shares of our Common Stock under the program and recorded the cost of the shares received, or $272.8 million, as Treasury Stock. As of June 30, 2020, the Company had $473.1 million which remained available for share repurchases under the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in "Collaboration and License Agreements - Sanofi," effective January 7, 2018, we have agreed to allow Sanofi to satisfy in whole or in part its funding obligations with respect to Libtayo development and/or Dupilumab/REGN3500 Eligible Investments by selling shares (of which 279,766 shares remain available to be sold as of June 30, 2020) of our Common Stock directly or indirectly owned by Sanofi. During the six months ended June 30, 2020, Sanofi elected to sell, and we elected to purchase (by issuing a credit towards the amount owed by Sanofi), 77,677 shares of the Company's Common Stock to satisfy Sanofi's funding obligation related to Libtayo development costs. Consequently, we recorded $41.7 million related to the shares received as Treasury Stock during the six months ended June 30, 2020. In addition, during the six months ended June 30, 2020, Sanofi elected to sell, and we elected to purchase (in cash), 171,471 shares of the Company's Common Stock in connection with Sanofi's funding obligation for Dupilumab/REGN3500 Eligible Investments. Consequently, we recorded the cost of the shares received, or $93.3 million, as Treasury Stock during the six months ended June 30, 2020.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above in "Collaboration and License Agreements - Sanofi," in May 2020, a secondary offering of 13,014,646 shares of our Common Stock (the "Secondary Offering") held by Sanofi was completed. In connection with the Secondary Offering, we also purchased 9,806,805 shares of our Common Stock directly from Sanofi for an aggregate purchase amount of $5 billion (the "Stock Purchase"). As a result of the Secondary Offering and the Stock Purchase, Sanofi disposed of all of its shares of our Common Stock, other than 400,000 shares that it retained as of the closing of the Secondary Offering and the Stock Purchase (which Sanofi has used, and may continue to use, for the funding of certain Libtayo development costs and/or Dupilumab/REGN3500 Eligible Investments as described above).</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funded the Stock Purchase with a combination of cash on hand, proceeds from the sale of marketable securities, and proceeds from loans under a $1.5 billion senior unsecured 364-day bridge loan facility (the "Bridge Facility") which was entered into in May 2020. The loans under the Bridge Facility bear interest at a variable interest rate based on either the London Interbank Offered Rate or the alternate base rate, plus an applicable margin that varies with our debt rating and total leverage ratio. The Bridge Facility will mature, and all amounts outstanding thereunder will become due and payable, in May 2021. We intend to refinance the Bridge Facility prior to its maturity by entering into new debt financing arrangements. Amounts borrowed under the Bridge Facility may be prepaid at any time without premium or penalty. As of June 30, 2020, $1.5 billion remained outstanding under the Bridge Facility.</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governing the Bridge Facility (the “Bridge Credit Agreement”) contains financial and operating covenants, which are substantially similar to the covenants set forth in our existing $750.0 million senior unsecured five-year revolving credit facility. Financial covenants include a maximum total leverage ratio and a minimum interest expense coverage ratio. We were in compliance with all covenants of the Bridge Credit Agreement as of June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2019 (filed February 7, 2020). Except as described in Note 1 to our Condensed Consolidated Financial Statements included in this report, there were no material changes to our critical accounting policies and use of estimates during the six months ended June 30, 2020.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 future adoption of recently issued accounting standards is not expected to have a material impact on the Company's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2019 (filed February 7, 2020). There have been no material changes to our market risks or to our management of such risks as of June 30,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June 30, 2020 that has materially affected, or is reasonably likely to materially affect, our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12 to our Condensed Consolidated Financial Statements included in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references to our products encompass products marketed by us and/or our collaborators under our collaboration agreements with them, unless otherwise stated or required by the context.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developments, we have implemented work-from-home policies for a significant part of our employees (except those deemed critical, including those working in our laboratories and manufacturing facilities). The effects of shelter-in-place and social distancing orders, government-imposed quarantines, and work-from-home policies may further negatively impact productivity, disrupt our business, and delay our clinical programs and development timelines beyond the delays we have already experienced and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disclosed, the magnitude of which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have been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are also impacting the availability or cost of materials produced by or purchased from such parties, resulting in supply chain strains or disruptions that may become material. While some materials may be obtained from more than one supplier, port closures and other restrictions resulting from the COVID-19 pandemic could materially disrupt our supply chain or limit our ability to obtain sufficient materials for the production, including fill/finish, of our products and development of our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contractors or suppliers, the affected facilities may need to be closed or may otherwise be affected for an extended period of time, or the contamination may result in other delays or disruptions in our direct or indirect supply chain.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infections and deaths related to COVID-19 have disrupted and may continue to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some of our clinical trials have been and may continue to be affected by the COVID-19 pandemic. This impact includes delays in site initiation and patient enrollment due to prioritization of hospital resources toward the COVID-19 pandemic and patients' inability to comply with clinical trial protocols if quarantines impede patient movement or interrupt healthcare services. Similarly, our ability to recruit and retain patients and principal investigators and site staff who, as healthcare providers, may have heightened exposure to COVID-19, has been and may continue to be delayed or disrupted. For example, as noted above in Part I, Item 2. "Management's Discussion and Analysis of Financial Condition and Results of Operations - Overview - Programs in Clinical Development," we experienced an initial adverse impact on enrollment into new clinical studies and recruitment of new patients into open studies. While enrollment in both new and ongoing clinical studies started to resume as regions relaxed their restrictions and healthcare resources started to become more available for non-COVID-19 activities, there has been a resurgence of COVID-19 cases in many regions across the world, and any resurgence in the regions in which we or our collaborators conduct clinical trials may require our expectations relating to the impacted studies to adjust. We will continue to evaluate the adverse impact of the COVID-19 pandemic on an individual trial basis. The disruptions caused by the COVID-19 pandemic may further negatively impact the progress of our clinical trials, including the readouts of trial results. Further, while we are focused on developing novel therapies to address the COVID-19 pandemic, our research programs and the development of our other product candidates may need to be further de-prioritized. Any elongation or de-prioritization of our research and development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in July 2020, we entered into an agreement to manufacture and deliver REGN-COV2 to the U.S. Government over the remainder of 2020.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Among other rights, this agreement gives the U.S. Government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REGN-COV2), it may adversely impact our business and results of operations. Foreign governments (including the government of Ireland, where we have manufacturing facilities) may have similar rights or attempt to assert any such rights.</w:t>
      </w:r>
    </w:p>
    <w:p>
      <w:pPr>
        <w:spacing w:after="0" w:line="10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recently caused significant disruption of global financial markets and could cause more economic disruption in the future.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85" w:lineRule="exact"/>
        <w:rPr>
          <w:sz w:val="20"/>
          <w:szCs w:val="20"/>
          <w:color w:val="auto"/>
        </w:rPr>
      </w:pPr>
    </w:p>
    <w:p>
      <w:pPr>
        <w:ind w:right="900"/>
        <w:spacing w:after="0" w:line="424"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six months ended June 30, 2020 and 2019, EYLEA net sales in the United States represented 60% and 76%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been increasingly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103" w:lineRule="exact"/>
        <w:rPr>
          <w:sz w:val="20"/>
          <w:szCs w:val="20"/>
          <w:color w:val="auto"/>
        </w:rPr>
      </w:pPr>
    </w:p>
    <w:p>
      <w:pPr>
        <w:jc w:val="both"/>
        <w:ind w:left="660" w:hanging="328"/>
        <w:spacing w:after="0" w:line="269"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and Praluent (described further in Note 12 to our Condensed Consolidated Financial Statements included in this report), as well as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described in Note 12 to our Condensed Consolidated Financial Statements included in this report (including the civil complaint filed against us on June 24, 2020 in the U.S. District Court for the District of Massachusetts by the U.S. Attorney's Office for the District of Massachusetts);</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for drug products is costly, time-consuming, and highly uncertain</w:t>
      </w:r>
      <w:r>
        <w:rPr>
          <w:rFonts w:ascii="Arial" w:cs="Arial" w:eastAsia="Arial" w:hAnsi="Arial"/>
          <w:sz w:val="17"/>
          <w:szCs w:val="17"/>
          <w:color w:val="auto"/>
        </w:rPr>
        <w:t>"), the applicable marketing approval may be withdrawn,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pharmacy benefits managers,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manufacturer patient programs, reduce the out-of-pocket cost of prescription drugs, and reform government program reimbursement methodologies for drugs. At the federal level, some of the Trump administration's prior budget proposals contained drug price control measures that may be included in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pending review by the Office of Management and Budget. In addition, in July 2019, President Trump indicated that his administration was considering an executive order to establish a "most favored nation" pricing plan; and, in July 2020, President Trump announced that an executive order (the text of which is not yet available) utilizing a "most favored nation" pricing mechanism and/or potentially other drug-pricing measures could go into effect in late August 2020 unless an alternative proposal that substantially reduces drug prices is advanced by the pharmaceutical industry. While the scope and details of these contemplated executive actions (including whether and how their mechanism may differ from that of the proposed IPI drug pricing program discussed above) are not clear, this continues to signal that the U.S. administration intends to pursue new measures to constrain drug costs and Medicare payments for drugs. Similarly, various members of the current U.S. Congress and 2020 presidential candidates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EYLEA faces significant competition in the marketplace. For example, EYLEA competes in one or more of its approved indications with other VEGF inhibitors, including Novartis and Genentech/Roche's Lucentis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(ranibizumab) and Novartis' Beovu</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(brolucizumab).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competitive. In atopic dermatitis, there are several topical ointments or agents either approved or in development. In addition, a number of companies are developing antibodies against IL-13, IL-13Ra1, OX40, IL-31R, and/or IL-1alpha. Several companies are also studying JAK inhibitors for atopic dermatitis. In asthma, competitors to Dupixent include antibodies against the IL-5 ligand or the IL-5 receptor or immunoglobulin E; and some of these antibodies, if approved in this indication, may also compete with Dupixent in CRSwNP. Dupixent also faces competition from orally administered small molecule agents and inhaled products in asthma and potential future indications. There are several other potentially competitive products in development that may compete with Dupixent in either or both of the atopic dermatitis and asthma indications, as well as potential future indications, including antibodies against thymic stromal lymphopoietin ("TSLP"), the IL-33 ligand, or the IL-33 receptor (ST2).</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including Merck's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Bristol-Myers Squibb's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 Roche's 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 and AstraZeneca's 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is also significant actual and potential future competition for other products marketed by us and/or our collaborators under our collaboration agreements with them. For example, there are several companies that are marketing and/or developing antibodies or other molecules (such as siRNAs) against PCSK9 and IL-6 and/or IL-6R, which currently (or, for product candidates in development, may in the future if approved) compete with Praluent and Kevzara,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Our other late-stage and earlier-stage clinical candidates in development are all fully human antibodies. Our </w:t>
      </w:r>
      <w:r>
        <w:rPr>
          <w:rFonts w:ascii="Arial" w:cs="Arial" w:eastAsia="Arial" w:hAnsi="Arial"/>
          <w:sz w:val="16"/>
          <w:szCs w:val="16"/>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6"/>
          <w:szCs w:val="16"/>
          <w:color w:val="auto"/>
        </w:rPr>
        <w:t xml:space="preserve"> technology, other antibody generation technologies, and other late-stage and earlier-stage clinical candidates face competition from many pharmaceutical and biotechnology companies using various technologies.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Effective April 1, 2020, we and Sanofi amended the Antibody Collaboration to remove Praluent from the LCA such that, among other things, the LCA no longer governs the development, manufacture, or commercialization of Praluent. Effective as of the same date,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and Sanofi pays us a 5% royalty on Sanofi's net product sales of Praluent outside the United States until March 31, 2032.</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Parties - </w:t>
      </w:r>
      <w:r>
        <w:rPr>
          <w:rFonts w:ascii="Arial" w:cs="Arial" w:eastAsia="Arial" w:hAnsi="Arial"/>
          <w:sz w:val="17"/>
          <w:szCs w:val="17"/>
          <w:i w:val="1"/>
          <w:iCs w:val="1"/>
          <w:color w:val="auto"/>
        </w:rPr>
        <w:t>If our Antibody Collaboration or our IO Collaboration with Sanofi is terminated, our business, prospects, operating results,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sell EYLEA, Libtayo, Praluent, and ARCALYST in the United States to several distributors and specialty pharmacies, as applicable. Under this distribution model, the distributors and specialty pharmacies generally take physical delivery of product and generally sell the product directly to healthcare providers or other pharmacies (as applicable). For the six months ended June 30, 2020, our gross product sales of such products to two customers accounted on a combined basis for 87%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as a result of any exercise of our option to co-commercialize a product outside the United States. For example, we recently exercised our option under the Antibody Collaboration to co-commercialize Dupixent in certain jurisdictions outside the United States.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or the co-commercialization of a product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noncompliance with the requirements and regulations described in this paragraph.</w:t>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and may ask for additional data in order to begin a clinical study.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a sufficient number of patients to achieve a statistically significant result or the desired level of statistical significance,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it did not include and/or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osteoarthritis trials were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profile to support continued development for some or all of the indications that are being, or are planned to be, studied, which would diminish our clinical "pipeline" and could negatively affect our future prospects and the value of our Company.</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Dupixent and Libtayo are being studied in additional indications, as shown in the table under Part I, Item 2. "Management's Discussion and </w:t>
      </w:r>
      <w:r>
        <w:rPr>
          <w:rFonts w:ascii="Arial" w:cs="Arial" w:eastAsia="Arial" w:hAnsi="Arial"/>
          <w:sz w:val="18"/>
          <w:szCs w:val="18"/>
          <w:color w:val="212529"/>
        </w:rPr>
        <w:t>Analysis of</w:t>
      </w:r>
      <w:r>
        <w:rPr>
          <w:rFonts w:ascii="Arial" w:cs="Arial" w:eastAsia="Arial" w:hAnsi="Arial"/>
          <w:sz w:val="18"/>
          <w:szCs w:val="18"/>
          <w:color w:val="auto"/>
        </w:rPr>
        <w:t xml:space="preserve"> </w:t>
      </w:r>
      <w:r>
        <w:rPr>
          <w:rFonts w:ascii="Arial" w:cs="Arial" w:eastAsia="Arial" w:hAnsi="Arial"/>
          <w:sz w:val="18"/>
          <w:szCs w:val="18"/>
          <w:color w:val="212529"/>
        </w:rPr>
        <w:t xml:space="preserve">Financial Condition and Results of Operations </w:t>
      </w:r>
      <w:r>
        <w:rPr>
          <w:rFonts w:ascii="Arial" w:cs="Arial" w:eastAsia="Arial" w:hAnsi="Arial"/>
          <w:sz w:val="18"/>
          <w:szCs w:val="18"/>
          <w:color w:val="000000"/>
        </w:rPr>
        <w:t>- Overview - Programs in Clinical Development." There is no guarantee that marketing approval of</w:t>
      </w:r>
      <w:r>
        <w:rPr>
          <w:rFonts w:ascii="Arial" w:cs="Arial" w:eastAsia="Arial" w:hAnsi="Arial"/>
          <w:sz w:val="18"/>
          <w:szCs w:val="18"/>
          <w:color w:val="212529"/>
        </w:rPr>
        <w:t xml:space="preserve"> </w:t>
      </w:r>
      <w:r>
        <w:rPr>
          <w:rFonts w:ascii="Arial" w:cs="Arial" w:eastAsia="Arial" w:hAnsi="Arial"/>
          <w:sz w:val="18"/>
          <w:szCs w:val="18"/>
          <w:color w:val="000000"/>
        </w:rPr>
        <w:t>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(the "EPO") (currently pending before its Boards of Appeal), as described in Note 12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example, on February 11, 2020, anonymous parties filed two requests for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of two of our patents - U.S. Patent Nos. 10,406,226 (the "'226 Patent") and 10,464,992 (the "'992 Patent"). The '226 Patent concerns</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for manufacturing VEGF antagonist fusion proteins, including aflibercept, and the '992 Patent concerns formulations and vials containing VEGF antagonist fusion proteins, including aflibercept. The USPTO has granted both requests to initiate reexamination proceedings.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12 to our Condensed Consolidated Financial Statements. In addition, we are currently party to patent infringement and other proceedings relating to the EYLEA pre-filled syringe, as described in Note 12 to our Condensed Consolidated Financial Statements.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fasinumab, an antibody to NGF; evinacumab, an antibody to ANGPTL3; REGN-EB3, a multi-antibody therapy for Ebola; garetosmab, an antibody to Activin A; pozelimab, an antibody to C5; and REGN1979, a bispecific antibody targeting CD20 and CD3.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federal Patient Protection and Affordable Care Act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In the United States, the regulatory exclusivity period for EYLEA (</w:t>
      </w:r>
      <w:r>
        <w:rPr>
          <w:rFonts w:ascii="Arial" w:cs="Arial" w:eastAsia="Arial" w:hAnsi="Arial"/>
          <w:sz w:val="16"/>
          <w:szCs w:val="16"/>
          <w:i w:val="1"/>
          <w:iCs w:val="1"/>
          <w:color w:val="auto"/>
        </w:rPr>
        <w:t>i.e.</w:t>
      </w:r>
      <w:r>
        <w:rPr>
          <w:rFonts w:ascii="Arial" w:cs="Arial" w:eastAsia="Arial" w:hAnsi="Arial"/>
          <w:sz w:val="16"/>
          <w:szCs w:val="16"/>
          <w:color w:val="auto"/>
        </w:rPr>
        <w:t>, the period during which no biosimilar product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can be approved by the FDA) expires on November 18, 2023, with the possibility of an additional six months of regulatory exclusivity (</w:t>
      </w:r>
      <w:r>
        <w:rPr>
          <w:rFonts w:ascii="Arial" w:cs="Arial" w:eastAsia="Arial" w:hAnsi="Arial"/>
          <w:sz w:val="18"/>
          <w:szCs w:val="18"/>
          <w:i w:val="1"/>
          <w:iCs w:val="1"/>
          <w:color w:val="auto"/>
        </w:rPr>
        <w:t>i.e.</w:t>
      </w:r>
      <w:r>
        <w:rPr>
          <w:rFonts w:ascii="Arial" w:cs="Arial" w:eastAsia="Arial" w:hAnsi="Arial"/>
          <w:sz w:val="18"/>
          <w:szCs w:val="18"/>
          <w:color w:val="auto"/>
        </w:rPr>
        <w:t>, until May 18, 2024) if the FDA grants pediatric exclusivity based on our completion of certain studies evaluating EYLEA in pediatric patients with retinopathy of prematurity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manufacturing capacity will likely not be sufficient to cover the demand for REGN-COV2, our novel investigational antibody "cocktail" treatment designed to prevent and treat infection from the SARS-CoV-2 virus, if clinical trials evaluating this treatment are successful and we receive regulatory approval.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93"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marketed products, and could also delay or require us to discontinue one or more of our clinical development programs. As a result, our business, prospects, operating results, and financial condition could be materially harmed.</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12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a civil complaint filed in June 2020 by the U.S. Attorney's Office for the District of Massachusetts concerning our support of 501(c)(3) organizations that provide financial assistance to patients; and we are cooperating with a pending government investigation concerning certain other business activities. Any adverse decision, finding, allegation, or exercise of enforcement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or regulatory discretion in any such proceedings or investigations could harm our business, prospects, operating results, and financial condition.</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Trump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 - </w:t>
      </w:r>
      <w:r>
        <w:rPr>
          <w:rFonts w:ascii="Arial" w:cs="Arial" w:eastAsia="Arial" w:hAnsi="Arial"/>
          <w:sz w:val="17"/>
          <w:szCs w:val="17"/>
          <w:i w:val="1"/>
          <w:iCs w:val="1"/>
          <w:color w:val="auto"/>
        </w:rPr>
        <w:t>Sales of our marketed products are dependent on the availability and extent of reimbursement from third-party payors, and changes to such</w:t>
      </w:r>
      <w:r>
        <w:rPr>
          <w:rFonts w:ascii="Arial" w:cs="Arial" w:eastAsia="Arial" w:hAnsi="Arial"/>
          <w:sz w:val="17"/>
          <w:szCs w:val="17"/>
          <w:color w:val="auto"/>
        </w:rPr>
        <w:t xml:space="preserve"> </w:t>
      </w:r>
      <w:r>
        <w:rPr>
          <w:rFonts w:ascii="Arial" w:cs="Arial" w:eastAsia="Arial" w:hAnsi="Arial"/>
          <w:sz w:val="17"/>
          <w:szCs w:val="17"/>
          <w:i w:val="1"/>
          <w:iCs w:val="1"/>
          <w:color w:val="auto"/>
        </w:rPr>
        <w:t>reimbursement may materially harm our business, prospects, operating results, and financial condition</w:t>
      </w:r>
      <w:r>
        <w:rPr>
          <w:rFonts w:ascii="Arial" w:cs="Arial" w:eastAsia="Arial" w:hAnsi="Arial"/>
          <w:sz w:val="17"/>
          <w:szCs w:val="17"/>
          <w:color w:val="auto"/>
        </w:rPr>
        <w:t>"). While it is not possible to predict whether and</w:t>
      </w:r>
      <w:r>
        <w:rPr>
          <w:rFonts w:ascii="Arial" w:cs="Arial" w:eastAsia="Arial" w:hAnsi="Arial"/>
          <w:sz w:val="17"/>
          <w:szCs w:val="17"/>
          <w:i w:val="1"/>
          <w:iCs w:val="1"/>
          <w:color w:val="auto"/>
        </w:rPr>
        <w:t xml:space="preserve"> </w:t>
      </w:r>
      <w:r>
        <w:rPr>
          <w:rFonts w:ascii="Arial" w:cs="Arial" w:eastAsia="Arial" w:hAnsi="Arial"/>
          <w:sz w:val="17"/>
          <w:szCs w:val="17"/>
          <w:color w:val="auto"/>
        </w:rPr>
        <w:t>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effective January 31, 2020, the United Kingdom commenced an exit from the EU, commonly referred to as "Brexit." During a transition period (set to expire on December 31, 2020), the British government will continue to negotiate the terms of the United Kingdom's future relationship with the EU. The outcome of these negotiations is uncertain, and we do not know to what extent Brexit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Recommendations by the Organization for Economic Co-operation and Development and the European Union Anti-Tax Avoidance Directive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patient assistance programs and product marketing activities as part of which we collect California resident personal data are subject to the California Consumer Privacy Act of 2018 (the "CCPA"). The CCPA is a consumer protection law that provides California residents with personal data privacy rights and became effective on January 1, 2020. The CCPA requires us, among other things, to update our notices and develop new processes internally and with our partners. There are fines, penalties, and a private right of action resulting from non-compliance with the CCPA. Several other U.S. states have introduced similar consumer protection laws that may go into effect in the near future.</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European Union's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REGN3500),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amendment and restatement of our IO Discovery and Development Agreement with Sanofi (which forms part of our IO Collaboration), we have all rights to, and we fund and conduct on our own all research, development, manufacturing, and commercialization activities to support, all of our immuno-oncology product candidates other than MUC16xCD3 Program antibodies (such as REGN4018) and BCMAxCD3 Program antibodies (such as REGN5458 and REGN5459).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91"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we intend to refinance the Bridge Facility (which we entered into in May 2020, as described in Part I, Item 2. "Management's Discussion and Analysis of Financial Condition and Results of Operations") prior to its maturity in May 2021 by entering into new debt financing arrangements.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June 30, 2020, we had an aggregate of $2.216 billion of outstanding indebtedness under the Bridge Facility and the lease financing facility. We may also incur additional debt in the future. Any such indebtedness could:</w:t>
      </w:r>
    </w:p>
    <w:p>
      <w:pPr>
        <w:spacing w:after="0" w:line="11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4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we had $1.992 billion in cash and cash equivalents and $3.740 billion in marketable securities (including $805.1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2017, the United Kingdom regulator that regulates the London Interbank Offered Rate ("LIBOR") announced its intention to phase out LIBOR rates by the end of 2021. No consensus exists as to what rate or rates may become accepted alternatives to LIBOR or whether LIBOR rates will cease to be published or supported before or after 2021. A transition away from LIBOR as a benchmark for establishing the applicable interest rate may adversely affect our outstanding variable-rate indebtedness and interest rate swaps, as well as floating-rate debt securities we hold. For example, if a published U.S. dollar LIBOR rate is unavailable after 2021, the rent payments for the leased facilities in Tarrytown, New York and the interest payments under the Bridge Facility,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66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8"/>
          <w:szCs w:val="18"/>
          <w:i w:val="1"/>
          <w:iCs w:val="1"/>
          <w:color w:val="auto"/>
        </w:rPr>
        <w:t>Future sales of our Common Stock</w:t>
      </w:r>
      <w:r>
        <w:rPr>
          <w:rFonts w:ascii="Arial" w:cs="Arial" w:eastAsia="Arial" w:hAnsi="Arial"/>
          <w:sz w:val="18"/>
          <w:szCs w:val="18"/>
          <w:color w:val="auto"/>
        </w:rPr>
        <w:t xml:space="preserve"> </w:t>
      </w:r>
      <w:r>
        <w:rPr>
          <w:rFonts w:ascii="Arial" w:cs="Arial" w:eastAsia="Arial" w:hAnsi="Arial"/>
          <w:sz w:val="18"/>
          <w:szCs w:val="18"/>
          <w:i w:val="1"/>
          <w:iCs w:val="1"/>
          <w:color w:val="auto"/>
        </w:rPr>
        <w:t>by our significant shareholders or us may depress our stock price and impair our ability to raise funds in new share offerings</w:t>
      </w:r>
      <w:r>
        <w:rPr>
          <w:rFonts w:ascii="Arial" w:cs="Arial" w:eastAsia="Arial" w:hAnsi="Arial"/>
          <w:sz w:val="18"/>
          <w:szCs w:val="18"/>
          <w:color w:val="auto"/>
        </w:rPr>
        <w:t>" below, a large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is owned by a small number of our principal shareholders. As a result, the public float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and could also require us to make substantial payments to satisfy judgments or to settle litigation, which may harm our business, prospects, operating results, and financial condition.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June 30, 2020, our five largest shareholders plus Dr. Schleifer, our Chief Executive Officer, beneficially owned approximately 35.2% of our outstanding shares of Common Stock, assuming, in the case of our Chief Executive Officer, the conversion of his Class A Stock into Common Stock and the exercise of all options held by him which are exercisable within 60 days of June 30, 2020.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we will continue to repurchase shares of our Common Stock or that we will repurchase shares at favorable prices.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previously authorized a share repurchase program to repurchase up to $1.0 billion of our Common Stock (of which $473.1 million remained available as of June 30, 2020).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2020, holders of Class A Stock held 15.1%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2020:</w:t>
      </w:r>
    </w:p>
    <w:p>
      <w:pPr>
        <w:spacing w:after="0" w:line="110" w:lineRule="exact"/>
        <w:rPr>
          <w:sz w:val="20"/>
          <w:szCs w:val="20"/>
          <w:color w:val="auto"/>
        </w:rPr>
      </w:pPr>
    </w:p>
    <w:p>
      <w:pPr>
        <w:jc w:val="both"/>
        <w:ind w:left="660" w:hanging="328"/>
        <w:spacing w:after="0" w:line="25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8.9% of our outstanding shares of Common Stock, assuming conversion of their Class A Stock into Common Stock and the exercise of all options held by such persons which are exercisable within 60 days of June 30, 2020, and 20.1% of the combined voting power of our outstanding shares of Common Stock and Class A Stock, assuming the exercise of all options held by such persons which are exercisable within 60 days of June 30, 2020;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35.2% of our outstanding shares of Common Stock, assuming, in the case of our Chief Executive Officer, the conversion of his Class A Stock into Common Stock and the exercise of all options held by him which are exercisable within 60 days of June 30, 2020. In addition, these five shareholders plus our Chief Executive Officer held approximately 43.0% of the combined voting power of our outstanding shares of Common Stock and Class A Stock, assuming the exercise of all options held by our Chief Executive Officer which are exercisable within 60 days of June 30, 2020.</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January 2014 amended and restated investor agreement between us and Sanofi, as amended,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 providing for a change of control involving us; (iv) 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 A similar "standstill" prohibition applies to Bayer pursuant to our 2014 PDGFR-beta license and collaboration agreement with Bayer (which agreement was terminated on July 31, 2017 by agreement of the parties but whose "standstill" provisions continue to be in effect until July 31, 2022 unless they expire earlier upon the occurrence of certain specified events).</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86" w:lineRule="exact"/>
        <w:rPr>
          <w:sz w:val="20"/>
          <w:szCs w:val="20"/>
          <w:color w:val="auto"/>
        </w:rPr>
      </w:pPr>
    </w:p>
    <w:p>
      <w:pPr>
        <w:ind w:right="4140"/>
        <w:spacing w:after="0" w:line="42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Issuer Purchases of Equity Securities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table below reflects shares of Common Stock purchased directly from Sanofi, Common Stock withheld by us for employees to satisfy their tax withholding obligations arising upon the vesting of restricted equity awards granted under one of our long-term incentive plans, and Common Stock we elected to purchase from Sanofi pursuant to the terms of the Letter Agreement relating to Sanofi's funding obligation in connection with (i) Libtayo development costs incurred under the IO License and Collaboration Agreement and (ii) certain activities relating to dupilumab and REGN3500 incurred under the LCA, during the three months ended June 30, 2020. Refer to Part I, Item 2. "Liquidity and Capital Resources" for further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34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c>
          <w:tcPr>
            <w:tcW w:w="0" w:type="dxa"/>
            <w:vAlign w:val="bottom"/>
          </w:tcPr>
          <w:p>
            <w:pPr>
              <w:spacing w:after="0"/>
              <w:rPr>
                <w:sz w:val="1"/>
                <w:szCs w:val="1"/>
                <w:color w:val="auto"/>
              </w:rPr>
            </w:pPr>
          </w:p>
        </w:tc>
      </w:tr>
      <w:tr>
        <w:trPr>
          <w:trHeight w:val="113"/>
        </w:trPr>
        <w:tc>
          <w:tcPr>
            <w:tcW w:w="1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Purchased as Part of a</w:t>
            </w:r>
          </w:p>
        </w:tc>
        <w:tc>
          <w:tcPr>
            <w:tcW w:w="34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16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72"/>
        </w:trPr>
        <w:tc>
          <w:tcPr>
            <w:tcW w:w="1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Total Number of Shares</w:t>
            </w:r>
          </w:p>
        </w:tc>
        <w:tc>
          <w:tcPr>
            <w:tcW w:w="320" w:type="dxa"/>
            <w:vAlign w:val="bottom"/>
          </w:tcPr>
          <w:p>
            <w:pPr>
              <w:spacing w:after="0"/>
              <w:rPr>
                <w:sz w:val="6"/>
                <w:szCs w:val="6"/>
                <w:color w:val="auto"/>
              </w:rPr>
            </w:pPr>
          </w:p>
        </w:tc>
        <w:tc>
          <w:tcPr>
            <w:tcW w:w="23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Average Price Paid per</w:t>
            </w: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34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Period</w:t>
            </w:r>
          </w:p>
        </w:tc>
        <w:tc>
          <w:tcPr>
            <w:tcW w:w="320" w:type="dxa"/>
            <w:vAlign w:val="bottom"/>
            <w:vMerge w:val="restart"/>
          </w:tcPr>
          <w:p>
            <w:pPr>
              <w:spacing w:after="0"/>
              <w:rPr>
                <w:sz w:val="15"/>
                <w:szCs w:val="15"/>
                <w:color w:val="auto"/>
              </w:rPr>
            </w:pP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Purchased</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Share</w:t>
            </w:r>
          </w:p>
        </w:tc>
        <w:tc>
          <w:tcPr>
            <w:tcW w:w="3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4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0"/>
              </w:rPr>
              <w:t>Program</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4/1/2020–4/30/2020</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1,122</w:t>
            </w:r>
          </w:p>
        </w:tc>
        <w:tc>
          <w:tcPr>
            <w:tcW w:w="7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510.37</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473,117,435</w:t>
            </w:r>
          </w:p>
        </w:tc>
        <w:tc>
          <w:tcPr>
            <w:tcW w:w="0" w:type="dxa"/>
            <w:vAlign w:val="bottom"/>
          </w:tcPr>
          <w:p>
            <w:pPr>
              <w:spacing w:after="0"/>
              <w:rPr>
                <w:sz w:val="1"/>
                <w:szCs w:val="1"/>
                <w:color w:val="auto"/>
              </w:rPr>
            </w:pPr>
          </w:p>
        </w:tc>
      </w:tr>
      <w:tr>
        <w:trPr>
          <w:trHeight w:val="243"/>
        </w:trPr>
        <w:tc>
          <w:tcPr>
            <w:tcW w:w="2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5/1/2020–5/31/2020</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9,806,805</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509.85</w:t>
            </w:r>
          </w:p>
        </w:tc>
        <w:tc>
          <w:tcPr>
            <w:tcW w:w="340" w:type="dxa"/>
            <w:vAlign w:val="bottom"/>
          </w:tcPr>
          <w:p>
            <w:pPr>
              <w:spacing w:after="0"/>
              <w:rPr>
                <w:sz w:val="21"/>
                <w:szCs w:val="21"/>
                <w:color w:val="auto"/>
              </w:rPr>
            </w:pPr>
          </w:p>
        </w:tc>
        <w:tc>
          <w:tcPr>
            <w:tcW w:w="1960" w:type="dxa"/>
            <w:vAlign w:val="bottom"/>
          </w:tcPr>
          <w:p>
            <w:pPr>
              <w:ind w:left="162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70"/>
              <w:spacing w:after="0"/>
              <w:rPr>
                <w:sz w:val="20"/>
                <w:szCs w:val="20"/>
                <w:color w:val="auto"/>
              </w:rPr>
            </w:pPr>
            <w:r>
              <w:rPr>
                <w:rFonts w:ascii="Arial" w:cs="Arial" w:eastAsia="Arial" w:hAnsi="Arial"/>
                <w:sz w:val="18"/>
                <w:szCs w:val="18"/>
                <w:color w:val="auto"/>
              </w:rPr>
              <w:t>473,117,435</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6/1/2020–6/30/2020</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120,234</w:t>
            </w:r>
          </w:p>
        </w:tc>
        <w:tc>
          <w:tcPr>
            <w:tcW w:w="7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597.48</w:t>
            </w:r>
          </w:p>
        </w:tc>
        <w:tc>
          <w:tcPr>
            <w:tcW w:w="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473,117,435</w:t>
            </w: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9,928,161</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Borders>
              <w:top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0" w:hanging="158"/>
        <w:spacing w:after="0"/>
        <w:tabs>
          <w:tab w:leader="none" w:pos="40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 xml:space="preserve">Relates to our share repurchase program. Refer to Part I, Item 2. "Liquidity and Capital Resources - </w:t>
      </w:r>
      <w:r>
        <w:rPr>
          <w:rFonts w:ascii="Arial" w:cs="Arial" w:eastAsia="Arial" w:hAnsi="Arial"/>
          <w:sz w:val="15"/>
          <w:szCs w:val="15"/>
          <w:i w:val="1"/>
          <w:iCs w:val="1"/>
          <w:color w:val="auto"/>
        </w:rPr>
        <w:t>Share Repurchase Program"</w:t>
      </w:r>
      <w:r>
        <w:rPr>
          <w:rFonts w:ascii="Arial" w:cs="Arial" w:eastAsia="Arial" w:hAnsi="Arial"/>
          <w:sz w:val="15"/>
          <w:szCs w:val="15"/>
          <w:color w:val="auto"/>
        </w:rPr>
        <w:t xml:space="preserve"> for further details.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0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560" w:type="dxa"/>
            <w:vAlign w:val="bottom"/>
            <w:gridSpan w:val="16"/>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8"/>
        </w:trPr>
        <w:tc>
          <w:tcPr>
            <w:tcW w:w="840" w:type="dxa"/>
            <w:vAlign w:val="bottom"/>
            <w:vMerge w:val="restart"/>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10.1</w:t>
            </w:r>
            <w:r>
              <w:rPr>
                <w:rFonts w:ascii="Arial" w:cs="Arial" w:eastAsia="Arial" w:hAnsi="Arial"/>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60" w:type="dxa"/>
            <w:vAlign w:val="bottom"/>
            <w:gridSpan w:val="16"/>
            <w:shd w:val="clear" w:color="auto" w:fill="CCEEFF"/>
          </w:tcPr>
          <w:p>
            <w:pPr>
              <w:spacing w:after="0" w:line="189"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Second Amended and Restated Regeneron Pharmaceuticals, Inc. 2014 Long-Term Incentive Plan. (Incorporated by</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reference from the Registration Statement on Form S-8 for the Registrant, filed June 16,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580" w:type="dxa"/>
            <w:vAlign w:val="bottom"/>
          </w:tcPr>
          <w:p>
            <w:pPr>
              <w:spacing w:after="0" w:line="202"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60" w:type="dxa"/>
            <w:vAlign w:val="bottom"/>
            <w:gridSpan w:val="16"/>
          </w:tcPr>
          <w:p>
            <w:pPr>
              <w:spacing w:after="0" w:line="202"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Credit Agreement, dated as of May 25, 2020, by and among the Registrant, as borrower; Goldman Sachs Bank USA,</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20" w:type="dxa"/>
            <w:vAlign w:val="bottom"/>
            <w:tcBorders>
              <w:top w:val="single" w:sz="8" w:color="0000FF"/>
            </w:tcBorders>
            <w:gridSpan w:val="9"/>
          </w:tcPr>
          <w:p>
            <w:pPr>
              <w:spacing w:after="0" w:line="182"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as administrative agent, sole bookrunner, sole lead arranger, and a lender; and the other lenders party thereto from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time to time. (Incorporated by reference from the Form 8-K for the Registrant, filed May 29, 2020.)</w:t>
              </w:r>
            </w:hyperlink>
          </w:p>
        </w:tc>
        <w:tc>
          <w:tcPr>
            <w:tcW w:w="1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560" w:type="dxa"/>
            <w:vAlign w:val="bottom"/>
            <w:gridSpan w:val="16"/>
            <w:shd w:val="clear" w:color="auto" w:fill="CCEEFF"/>
          </w:tcPr>
          <w:p>
            <w:pPr>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Amendment No. 1 to Credit Agreement, dated as of June 11, 2020, by and between the Registrant, as borrower, and</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320" w:type="dxa"/>
            <w:vAlign w:val="bottom"/>
            <w:tcBorders>
              <w:top w:val="single" w:sz="8" w:color="0000FF"/>
            </w:tcBorders>
            <w:gridSpan w:val="8"/>
            <w:shd w:val="clear" w:color="auto" w:fill="CCEEFF"/>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Goldman Sachs Bank USA, as administrative agent.</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40" w:type="dxa"/>
            <w:vAlign w:val="bottom"/>
            <w:vMerge w:val="restart"/>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7"/>
                <w:szCs w:val="17"/>
                <w:color w:val="auto"/>
              </w:rPr>
              <w:t>10.3</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60" w:type="dxa"/>
            <w:vAlign w:val="bottom"/>
            <w:gridSpan w:val="16"/>
          </w:tcPr>
          <w:p>
            <w:pPr>
              <w:spacing w:after="0" w:line="189"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Third Amendment to Amended and Restated License and Collaboration Agreement, dated as of April 5, 2020, and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40" w:type="dxa"/>
            <w:vAlign w:val="bottom"/>
            <w:tcBorders>
              <w:top w:val="single" w:sz="8" w:color="0000FF"/>
            </w:tcBorders>
            <w:gridSpan w:val="15"/>
          </w:tcPr>
          <w:p>
            <w:pPr>
              <w:spacing w:after="0" w:line="196" w:lineRule="exact"/>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effective as of April 1, 2020, by and between the Registrant, Sanofi Biotechnology SAS, and Sanofi.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10.4</w:t>
            </w:r>
            <w:r>
              <w:rPr>
                <w:rFonts w:ascii="Arial" w:cs="Arial" w:eastAsia="Arial" w:hAnsi="Arial"/>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60" w:type="dxa"/>
            <w:vAlign w:val="bottom"/>
            <w:gridSpan w:val="16"/>
            <w:shd w:val="clear" w:color="auto" w:fill="CCEEFF"/>
          </w:tcPr>
          <w:p>
            <w:pPr>
              <w:spacing w:after="0" w:line="189" w:lineRule="exact"/>
              <w:rPr>
                <w:rFonts w:ascii="Arial" w:cs="Arial" w:eastAsia="Arial" w:hAnsi="Arial"/>
                <w:sz w:val="18"/>
                <w:szCs w:val="18"/>
                <w:color w:val="0000FF"/>
                <w:w w:val="92"/>
              </w:rPr>
            </w:pPr>
            <w:hyperlink w:anchor="page101">
              <w:r>
                <w:rPr>
                  <w:rFonts w:ascii="Arial" w:cs="Arial" w:eastAsia="Arial" w:hAnsi="Arial"/>
                  <w:sz w:val="18"/>
                  <w:szCs w:val="18"/>
                  <w:color w:val="0000FF"/>
                  <w:w w:val="92"/>
                </w:rPr>
                <w:t>Praluent Cross License &amp; Commercialization Agreement, dated as of April 5, 2020, and effective as of April 1, 2020,</w:t>
              </w:r>
            </w:hyperlink>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52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by and between the Registrant and Sanofi Biotechnology SAS.</w:t>
              </w:r>
            </w:hyperlink>
          </w:p>
        </w:tc>
        <w:tc>
          <w:tcPr>
            <w:tcW w:w="394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ind w:left="840"/>
              <w:spacing w:after="0" w:line="169"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60" w:type="dxa"/>
            <w:vAlign w:val="bottom"/>
            <w:gridSpan w:val="16"/>
          </w:tcPr>
          <w:p>
            <w:pPr>
              <w:spacing w:after="0" w:line="169"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Stock Repurchase Agreement, dated as of May 25, 2020, by and between the Registrant and Sanofi. (Incorporated by</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reference from the Form 8-K for the Registrant, filed May 29,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60" w:type="dxa"/>
            <w:vAlign w:val="bottom"/>
            <w:gridSpan w:val="16"/>
            <w:shd w:val="clear" w:color="auto" w:fill="CCEEFF"/>
          </w:tcPr>
          <w:p>
            <w:pPr>
              <w:spacing w:after="0" w:line="169"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Amendment to the Amended and Restated Investor Agreement, dated as of May 25, 2020, by and among the</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50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Registrant, Sanofi, Sanofi-Aventis US LLC, and Aventisub LLC. (Incorporated by reference from the Form 8-K for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580" w:type="dxa"/>
            <w:vAlign w:val="bottom"/>
            <w:tcBorders>
              <w:bottom w:val="single" w:sz="8" w:color="0000FF"/>
            </w:tcBorders>
            <w:gridSpan w:val="2"/>
            <w:shd w:val="clear" w:color="auto" w:fill="CCEEFF"/>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the Registrant, filed May 29, 2020.)</w:t>
              </w:r>
            </w:hyperlink>
          </w:p>
        </w:tc>
        <w:tc>
          <w:tcPr>
            <w:tcW w:w="5940" w:type="dxa"/>
            <w:vAlign w:val="bottom"/>
            <w:tcBorders>
              <w:bottom w:val="single" w:sz="8" w:color="CCEEFF"/>
            </w:tcBorders>
            <w:gridSpan w:val="1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ind w:left="84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60" w:type="dxa"/>
            <w:vAlign w:val="bottom"/>
            <w:gridSpan w:val="16"/>
          </w:tcPr>
          <w:p>
            <w:pPr>
              <w:spacing w:after="0"/>
              <w:rPr>
                <w:rFonts w:ascii="Arial" w:cs="Arial" w:eastAsia="Arial" w:hAnsi="Arial"/>
                <w:sz w:val="18"/>
                <w:szCs w:val="18"/>
                <w:u w:val="single" w:color="auto"/>
                <w:color w:val="0000FF"/>
                <w:w w:val="94"/>
              </w:rPr>
            </w:pPr>
            <w:hyperlink w:anchor="page201">
              <w:r>
                <w:rPr>
                  <w:rFonts w:ascii="Arial" w:cs="Arial" w:eastAsia="Arial" w:hAnsi="Arial"/>
                  <w:sz w:val="18"/>
                  <w:szCs w:val="18"/>
                  <w:u w:val="single" w:color="auto"/>
                  <w:color w:val="0000FF"/>
                  <w:w w:val="94"/>
                </w:rPr>
                <w:t>Certification of Principal Executive Officer pursuant to Rule 13a-14(a) under the Securities Exchange Act of 1934.</w:t>
              </w:r>
            </w:hyperlink>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31.2</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w:anchor="page203">
        <w:r>
          <w:rPr>
            <w:rFonts w:ascii="Arial" w:cs="Arial" w:eastAsia="Arial" w:hAnsi="Arial"/>
            <w:sz w:val="16"/>
            <w:szCs w:val="16"/>
            <w:u w:val="single" w:color="auto"/>
            <w:color w:val="0000FF"/>
          </w:rPr>
          <w:t>Certification of Principal Financial Officer pursuant to Rule 13a-14(a) 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-115570</wp:posOffset>
            </wp:positionV>
            <wp:extent cx="608647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66" w:lineRule="exact"/>
        <w:rPr>
          <w:sz w:val="20"/>
          <w:szCs w:val="20"/>
          <w:color w:val="auto"/>
        </w:rPr>
      </w:pPr>
    </w:p>
    <w:p>
      <w:pPr>
        <w:spacing w:after="0"/>
        <w:rPr>
          <w:rFonts w:ascii="Arial" w:cs="Arial" w:eastAsia="Arial" w:hAnsi="Arial"/>
          <w:sz w:val="17"/>
          <w:szCs w:val="17"/>
          <w:u w:val="single" w:color="auto"/>
          <w:color w:val="0000FF"/>
        </w:rPr>
      </w:pPr>
      <w:hyperlink w:anchor="page205">
        <w:r>
          <w:rPr>
            <w:rFonts w:ascii="Arial" w:cs="Arial" w:eastAsia="Arial" w:hAnsi="Arial"/>
            <w:sz w:val="17"/>
            <w:szCs w:val="17"/>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47625</wp:posOffset>
            </wp:positionV>
            <wp:extent cx="6086475" cy="9944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086475" cy="994410"/>
                    </a:xfrm>
                    <a:prstGeom prst="rect">
                      <a:avLst/>
                    </a:prstGeom>
                    <a:noFill/>
                  </pic:spPr>
                </pic:pic>
              </a:graphicData>
            </a:graphic>
          </wp:anchor>
        </w:drawing>
      </w:r>
    </w:p>
    <w:p>
      <w:pPr>
        <w:spacing w:after="0" w:line="68" w:lineRule="exact"/>
        <w:rPr>
          <w:sz w:val="20"/>
          <w:szCs w:val="20"/>
          <w:color w:val="auto"/>
        </w:rPr>
      </w:pPr>
    </w:p>
    <w:p>
      <w:pPr>
        <w:ind w:right="980"/>
        <w:spacing w:after="0" w:line="291" w:lineRule="auto"/>
        <w:rPr>
          <w:sz w:val="20"/>
          <w:szCs w:val="20"/>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Condensed Consolidated Balance Sheets as of June 30, 2020 and December 31, 2019; (ii) the Registrant's Condensed Consolidated Statements of Operations and Comprehensive Income for the three and six months ended June 30, 2020 and 2019; (iii) the Registrant's Condensed Consolidated Statements of Stockholders’ Equity for the three and six months ended June 30, 2020 and 2019; (iv) the Registrant's Condensed Consolidated Statements of Cash Flows for the six months ended June 30, 2020 and 2019; and (v) the notes to the Registrant's Condensed Consolidated Financial Statements.</w:t>
      </w:r>
    </w:p>
    <w:p>
      <w:pPr>
        <w:spacing w:after="0" w:line="4" w:lineRule="exact"/>
        <w:rPr>
          <w:sz w:val="20"/>
          <w:szCs w:val="20"/>
          <w:color w:val="auto"/>
        </w:rPr>
      </w:pPr>
    </w:p>
    <w:p>
      <w:pPr>
        <w:sectPr>
          <w:pgSz w:w="11900" w:h="16838" w:orient="portrait"/>
          <w:cols w:equalWidth="0" w:num="2">
            <w:col w:w="1200" w:space="720"/>
            <w:col w:w="9320"/>
          </w:cols>
          <w:pgMar w:left="320" w:top="130" w:right="339" w:bottom="1440" w:gutter="0" w:footer="0" w:header="0"/>
          <w:type w:val="continuous"/>
        </w:sectPr>
      </w:pPr>
    </w:p>
    <w:p>
      <w:pPr>
        <w:ind w:left="840"/>
        <w:spacing w:after="0"/>
        <w:tabs>
          <w:tab w:leader="none" w:pos="1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Indicates a management contract or compensatory plan or arrangement.</w:t>
      </w:r>
    </w:p>
    <w:p>
      <w:pPr>
        <w:spacing w:after="0" w:line="35" w:lineRule="exact"/>
        <w:rPr>
          <w:sz w:val="20"/>
          <w:szCs w:val="20"/>
          <w:color w:val="auto"/>
        </w:rPr>
      </w:pPr>
    </w:p>
    <w:p>
      <w:pPr>
        <w:ind w:left="1260" w:hanging="87"/>
        <w:spacing w:after="0"/>
        <w:tabs>
          <w:tab w:leader="none" w:pos="1260"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Certain confidential portions of this exhibit were omitted in accordance with Item 601(b)(10) of Regulation S-K.</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66"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REGENERON PHARMACEUTICALS, INC.</w:t>
      </w:r>
    </w:p>
    <w:p>
      <w:pPr>
        <w:spacing w:after="0" w:line="333" w:lineRule="exact"/>
        <w:rPr>
          <w:sz w:val="20"/>
          <w:szCs w:val="20"/>
          <w:color w:val="auto"/>
        </w:rPr>
      </w:pPr>
    </w:p>
    <w:p>
      <w:pPr>
        <w:ind w:left="20"/>
        <w:spacing w:after="0"/>
        <w:tabs>
          <w:tab w:leader="none" w:pos="800" w:val="left"/>
          <w:tab w:leader="none" w:pos="43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Executive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0" w:right="339" w:bottom="1440" w:gutter="0" w:footer="0" w:header="0"/>
        </w:sectPr>
      </w:pPr>
    </w:p>
    <w:bookmarkStart w:id="83" w:name="page84"/>
    <w:bookmarkEnd w:id="83"/>
    <w:p>
      <w:pPr>
        <w:ind w:left="10220"/>
        <w:spacing w:after="0"/>
        <w:rPr>
          <w:sz w:val="20"/>
          <w:szCs w:val="20"/>
          <w:color w:val="auto"/>
        </w:rPr>
      </w:pPr>
      <w:r>
        <w:rPr>
          <w:rFonts w:ascii="Arial" w:cs="Arial" w:eastAsia="Arial" w:hAnsi="Arial"/>
          <w:sz w:val="16"/>
          <w:szCs w:val="16"/>
          <w:color w:val="auto"/>
        </w:rPr>
        <w:t>Exhibit 10.2.1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THE</w:t>
      </w:r>
    </w:p>
    <w:p>
      <w:pPr>
        <w:jc w:val="center"/>
        <w:spacing w:after="0" w:line="225" w:lineRule="auto"/>
        <w:rPr>
          <w:sz w:val="20"/>
          <w:szCs w:val="20"/>
          <w:color w:val="auto"/>
        </w:rPr>
      </w:pPr>
      <w:r>
        <w:rPr>
          <w:rFonts w:ascii="Arial" w:cs="Arial" w:eastAsia="Arial" w:hAnsi="Arial"/>
          <w:sz w:val="20"/>
          <w:szCs w:val="20"/>
          <w:b w:val="1"/>
          <w:bCs w:val="1"/>
          <w:color w:val="auto"/>
        </w:rPr>
        <w:t>CREDIT AGREEMENT</w:t>
      </w:r>
    </w:p>
    <w:p>
      <w:pPr>
        <w:ind w:left="9200"/>
        <w:spacing w:after="0"/>
        <w:rPr>
          <w:sz w:val="20"/>
          <w:szCs w:val="20"/>
          <w:color w:val="auto"/>
        </w:rPr>
      </w:pPr>
      <w:r>
        <w:rPr>
          <w:rFonts w:ascii="Arial" w:cs="Arial" w:eastAsia="Arial" w:hAnsi="Arial"/>
          <w:sz w:val="16"/>
          <w:szCs w:val="16"/>
          <w:color w:val="auto"/>
        </w:rPr>
        <w:t>Dated as of June 11, 2020</w:t>
      </w:r>
    </w:p>
    <w:p>
      <w:pPr>
        <w:spacing w:after="0" w:line="25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b w:val="1"/>
          <w:bCs w:val="1"/>
          <w:color w:val="auto"/>
        </w:rPr>
        <w:t xml:space="preserve">AMENDMENT NO. 1 TO THE CREDIT AGREEMENT </w:t>
      </w:r>
      <w:r>
        <w:rPr>
          <w:rFonts w:ascii="Arial" w:cs="Arial" w:eastAsia="Arial" w:hAnsi="Arial"/>
          <w:sz w:val="20"/>
          <w:szCs w:val="20"/>
          <w:color w:val="auto"/>
        </w:rPr>
        <w:t>(this “</w:t>
      </w:r>
      <w:r>
        <w:rPr>
          <w:rFonts w:ascii="Arial" w:cs="Arial" w:eastAsia="Arial" w:hAnsi="Arial"/>
          <w:sz w:val="21"/>
          <w:szCs w:val="21"/>
          <w:u w:val="single" w:color="auto"/>
          <w:color w:val="auto"/>
        </w:rPr>
        <w:t>Amendment</w:t>
      </w:r>
      <w:r>
        <w:rPr>
          <w:rFonts w:ascii="Arial" w:cs="Arial" w:eastAsia="Arial" w:hAnsi="Arial"/>
          <w:sz w:val="20"/>
          <w:szCs w:val="20"/>
          <w:color w:val="auto"/>
        </w:rPr>
        <w:t>”; and such Credit Agreement, as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0"/>
          <w:szCs w:val="20"/>
          <w:color w:val="auto"/>
        </w:rPr>
        <w:t>”) dated as of May 25, 2020, among REGENERON PHARMACEUTICALS, INC., a New York corporation (the “</w:t>
      </w:r>
      <w:r>
        <w:rPr>
          <w:rFonts w:ascii="Arial" w:cs="Arial" w:eastAsia="Arial" w:hAnsi="Arial"/>
          <w:sz w:val="21"/>
          <w:szCs w:val="21"/>
          <w:u w:val="single" w:color="auto"/>
          <w:color w:val="auto"/>
        </w:rPr>
        <w:t>Borrower</w:t>
      </w:r>
      <w:r>
        <w:rPr>
          <w:rFonts w:ascii="Arial" w:cs="Arial" w:eastAsia="Arial" w:hAnsi="Arial"/>
          <w:sz w:val="20"/>
          <w:szCs w:val="20"/>
          <w:color w:val="auto"/>
        </w:rPr>
        <w:t>”), the Lenders party thereto, and GOLDMAN SACHS BANK USA, as administrative agent thereunder (the “</w:t>
      </w:r>
      <w:r>
        <w:rPr>
          <w:rFonts w:ascii="Arial" w:cs="Arial" w:eastAsia="Arial" w:hAnsi="Arial"/>
          <w:sz w:val="21"/>
          <w:szCs w:val="21"/>
          <w:u w:val="single" w:color="auto"/>
          <w:color w:val="auto"/>
        </w:rPr>
        <w:t>Administrative Agent</w:t>
      </w:r>
      <w:r>
        <w:rPr>
          <w:rFonts w:ascii="Arial" w:cs="Arial" w:eastAsia="Arial" w:hAnsi="Arial"/>
          <w:sz w:val="20"/>
          <w:szCs w:val="20"/>
          <w:color w:val="auto"/>
        </w:rPr>
        <w:t>”).</w:t>
      </w:r>
    </w:p>
    <w:p>
      <w:pPr>
        <w:spacing w:after="0" w:line="17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the Borrower and the Lenders parties hereto are parties to the Credit Agreement. Capitalized terms not otherwise defined in this Amendment have the same meanings as specified in the Credit Agreement.</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the Borrower and the Lenders parties hereto have agreed to amend the Credit Agreement pursuant to Section 9.02 of the Credit Agreement as hereinafter set forth.</w:t>
      </w:r>
    </w:p>
    <w:p>
      <w:pPr>
        <w:spacing w:after="0" w:line="177"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NOW, THEREFORE, in consideration of the premises and agreements, provisions and covenants herein contained and for other good and valuable consideration, the receipt and sufficiency of which are hereby acknowledged, the parties hereto agree as follows:</w:t>
      </w:r>
    </w:p>
    <w:p>
      <w:pPr>
        <w:spacing w:after="0" w:line="14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SECTION 1. Amendment to Credit Agreement. The Credit Agreement is, effective as of the date hereof and subject to the satisfaction of the conditions precedent set forth in Section 2, hereby amended as follows:</w:t>
      </w:r>
    </w:p>
    <w:p>
      <w:pPr>
        <w:spacing w:after="0" w:line="163" w:lineRule="exact"/>
        <w:rPr>
          <w:sz w:val="20"/>
          <w:szCs w:val="20"/>
          <w:color w:val="auto"/>
        </w:rPr>
      </w:pPr>
    </w:p>
    <w:p>
      <w:pPr>
        <w:ind w:left="1620" w:hanging="316"/>
        <w:spacing w:after="0"/>
        <w:tabs>
          <w:tab w:leader="none" w:pos="16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Section 1.01 of the Credit Agreement is amended to insert the following defined terms therein in the appropriate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alphabetical order: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Margin Stock</w:t>
      </w:r>
      <w:r>
        <w:rPr>
          <w:rFonts w:ascii="Arial" w:cs="Arial" w:eastAsia="Arial" w:hAnsi="Arial"/>
          <w:sz w:val="20"/>
          <w:szCs w:val="20"/>
          <w:color w:val="auto"/>
        </w:rPr>
        <w:t>” has the meaning assigned to such term in Regulation U.”</w:t>
      </w:r>
    </w:p>
    <w:p>
      <w:pPr>
        <w:spacing w:after="0" w:line="218" w:lineRule="exact"/>
        <w:rPr>
          <w:sz w:val="20"/>
          <w:szCs w:val="20"/>
          <w:color w:val="auto"/>
        </w:rPr>
      </w:pPr>
    </w:p>
    <w:p>
      <w:pPr>
        <w:ind w:right="2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Regulation U</w:t>
      </w:r>
      <w:r>
        <w:rPr>
          <w:rFonts w:ascii="Arial" w:cs="Arial" w:eastAsia="Arial" w:hAnsi="Arial"/>
          <w:sz w:val="20"/>
          <w:szCs w:val="20"/>
          <w:color w:val="auto"/>
        </w:rPr>
        <w:t>” means Regulation U of the Board as from time to time in effect and all official rulings and interpretations thereunder or thereof.”</w:t>
      </w:r>
    </w:p>
    <w:p>
      <w:pPr>
        <w:spacing w:after="0" w:line="155" w:lineRule="exact"/>
        <w:rPr>
          <w:sz w:val="20"/>
          <w:szCs w:val="20"/>
          <w:color w:val="auto"/>
        </w:rPr>
      </w:pPr>
    </w:p>
    <w:p>
      <w:pPr>
        <w:ind w:left="1960" w:right="3700" w:hanging="656"/>
        <w:spacing w:after="0" w:line="464" w:lineRule="auto"/>
        <w:tabs>
          <w:tab w:leader="none" w:pos="1592" w:val="left"/>
        </w:tabs>
        <w:numPr>
          <w:ilvl w:val="0"/>
          <w:numId w:val="34"/>
        </w:numPr>
        <w:rPr>
          <w:rFonts w:ascii="Arial" w:cs="Arial" w:eastAsia="Arial" w:hAnsi="Arial"/>
          <w:sz w:val="20"/>
          <w:szCs w:val="20"/>
          <w:color w:val="auto"/>
        </w:rPr>
      </w:pPr>
      <w:r>
        <w:rPr>
          <w:rFonts w:ascii="Arial" w:cs="Arial" w:eastAsia="Arial" w:hAnsi="Arial"/>
          <w:sz w:val="20"/>
          <w:szCs w:val="20"/>
          <w:color w:val="auto"/>
        </w:rPr>
        <w:t>Section 2.14(a) of the Credit Agreement is deleted and replaced as follows: “(a) [Reserved].”</w:t>
      </w:r>
    </w:p>
    <w:p>
      <w:pPr>
        <w:spacing w:after="0" w:line="1" w:lineRule="exact"/>
        <w:rPr>
          <w:rFonts w:ascii="Arial" w:cs="Arial" w:eastAsia="Arial" w:hAnsi="Arial"/>
          <w:sz w:val="20"/>
          <w:szCs w:val="20"/>
          <w:color w:val="auto"/>
        </w:rPr>
      </w:pPr>
    </w:p>
    <w:p>
      <w:pPr>
        <w:ind w:left="1580" w:hanging="276"/>
        <w:spacing w:after="0"/>
        <w:tabs>
          <w:tab w:leader="none" w:pos="15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Section 9.19 of the Credit Agreement is added with the following language:</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9.19. </w:t>
      </w:r>
      <w:r>
        <w:rPr>
          <w:rFonts w:ascii="Arial" w:cs="Arial" w:eastAsia="Arial" w:hAnsi="Arial"/>
          <w:sz w:val="21"/>
          <w:szCs w:val="21"/>
          <w:u w:val="single" w:color="auto"/>
          <w:color w:val="auto"/>
        </w:rPr>
        <w:t>Acknowledgement Regarding Any Supported QFCs.</w:t>
      </w:r>
      <w:r>
        <w:rPr>
          <w:rFonts w:ascii="Arial" w:cs="Arial" w:eastAsia="Arial" w:hAnsi="Arial"/>
          <w:sz w:val="20"/>
          <w:szCs w:val="20"/>
          <w:color w:val="auto"/>
        </w:rPr>
        <w:t xml:space="preserve"> To the extent that the Loan Documents provide support, through a guarantee or otherwise, for any Swap Agreement or any other agreement or instrument that is a QFC (such support, “</w:t>
      </w:r>
      <w:r>
        <w:rPr>
          <w:rFonts w:ascii="Arial" w:cs="Arial" w:eastAsia="Arial" w:hAnsi="Arial"/>
          <w:sz w:val="21"/>
          <w:szCs w:val="21"/>
          <w:u w:val="single" w:color="auto"/>
          <w:color w:val="auto"/>
        </w:rPr>
        <w:t>QFC Credit</w:t>
      </w:r>
      <w:r>
        <w:rPr>
          <w:rFonts w:ascii="Arial" w:cs="Arial" w:eastAsia="Arial" w:hAnsi="Arial"/>
          <w:sz w:val="20"/>
          <w:szCs w:val="20"/>
          <w:color w:val="auto"/>
        </w:rPr>
        <w:t xml:space="preserve"> </w:t>
      </w:r>
      <w:r>
        <w:rPr>
          <w:rFonts w:ascii="Arial" w:cs="Arial" w:eastAsia="Arial" w:hAnsi="Arial"/>
          <w:sz w:val="21"/>
          <w:szCs w:val="21"/>
          <w:u w:val="single" w:color="auto"/>
          <w:color w:val="auto"/>
        </w:rPr>
        <w:t>Support</w:t>
      </w:r>
      <w:r>
        <w:rPr>
          <w:rFonts w:ascii="Arial" w:cs="Arial" w:eastAsia="Arial" w:hAnsi="Arial"/>
          <w:sz w:val="19"/>
          <w:szCs w:val="19"/>
          <w:color w:val="auto"/>
        </w:rPr>
        <w:t>”, and each such QFC, a “</w:t>
      </w:r>
      <w:r>
        <w:rPr>
          <w:rFonts w:ascii="Arial" w:cs="Arial" w:eastAsia="Arial" w:hAnsi="Arial"/>
          <w:sz w:val="21"/>
          <w:szCs w:val="21"/>
          <w:u w:val="single" w:color="auto"/>
          <w:color w:val="auto"/>
        </w:rPr>
        <w:t>Supported QFC</w:t>
      </w:r>
      <w:r>
        <w:rPr>
          <w:rFonts w:ascii="Arial" w:cs="Arial" w:eastAsia="Arial" w:hAnsi="Arial"/>
          <w:sz w:val="19"/>
          <w:szCs w:val="19"/>
          <w:color w:val="auto"/>
        </w:rPr>
        <w:t>”), the parties acknowledge and agree as follows with respect to the resolution power of</w:t>
      </w:r>
      <w:r>
        <w:rPr>
          <w:rFonts w:ascii="Arial" w:cs="Arial" w:eastAsia="Arial" w:hAnsi="Arial"/>
          <w:sz w:val="21"/>
          <w:szCs w:val="21"/>
          <w:color w:val="auto"/>
        </w:rPr>
        <w:t xml:space="preserve"> </w:t>
      </w:r>
      <w:r>
        <w:rPr>
          <w:rFonts w:ascii="Arial" w:cs="Arial" w:eastAsia="Arial" w:hAnsi="Arial"/>
          <w:sz w:val="19"/>
          <w:szCs w:val="19"/>
          <w:color w:val="auto"/>
        </w:rPr>
        <w:t>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ectPr>
          <w:pgSz w:w="11900" w:h="16838" w:orient="portrait"/>
          <w:cols w:equalWidth="0" w:num="1">
            <w:col w:w="11240"/>
          </w:cols>
          <w:pgMar w:left="320" w:top="800" w:right="339" w:bottom="1440" w:gutter="0" w:footer="0" w:header="0"/>
        </w:sectPr>
      </w:pPr>
    </w:p>
    <w:bookmarkStart w:id="84" w:name="page85"/>
    <w:bookmarkEnd w:id="84"/>
    <w:p>
      <w:pPr>
        <w:jc w:val="both"/>
        <w:ind w:firstLine="644"/>
        <w:spacing w:after="0" w:line="256" w:lineRule="auto"/>
        <w:tabs>
          <w:tab w:leader="none" w:pos="9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8" w:lineRule="exact"/>
        <w:rPr>
          <w:rFonts w:ascii="Arial" w:cs="Arial" w:eastAsia="Arial" w:hAnsi="Arial"/>
          <w:sz w:val="18"/>
          <w:szCs w:val="18"/>
          <w:color w:val="auto"/>
        </w:rPr>
      </w:pPr>
    </w:p>
    <w:p>
      <w:pPr>
        <w:ind w:left="920" w:hanging="276"/>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1"/>
          <w:szCs w:val="21"/>
          <w:u w:val="single" w:color="auto"/>
          <w:color w:val="auto"/>
        </w:rPr>
        <w:t>Section 9.19</w:t>
      </w:r>
      <w:r>
        <w:rPr>
          <w:rFonts w:ascii="Arial" w:cs="Arial" w:eastAsia="Arial" w:hAnsi="Arial"/>
          <w:sz w:val="20"/>
          <w:szCs w:val="20"/>
          <w:color w:val="auto"/>
        </w:rPr>
        <w:t>, the following terms have the following meanings:</w:t>
      </w:r>
    </w:p>
    <w:p>
      <w:pPr>
        <w:spacing w:after="0" w:line="218" w:lineRule="exact"/>
        <w:rPr>
          <w:sz w:val="20"/>
          <w:szCs w:val="20"/>
          <w:color w:val="auto"/>
        </w:rPr>
      </w:pPr>
    </w:p>
    <w:p>
      <w:pPr>
        <w:jc w:val="both"/>
        <w:ind w:left="6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51" w:lineRule="exact"/>
        <w:rPr>
          <w:sz w:val="20"/>
          <w:szCs w:val="20"/>
          <w:color w:val="auto"/>
        </w:rPr>
      </w:pPr>
    </w:p>
    <w:p>
      <w:pPr>
        <w:jc w:val="both"/>
        <w:ind w:left="640"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9" w:lineRule="exact"/>
        <w:rPr>
          <w:sz w:val="20"/>
          <w:szCs w:val="20"/>
          <w:color w:val="auto"/>
        </w:rPr>
      </w:pPr>
    </w:p>
    <w:p>
      <w:pPr>
        <w:jc w:val="both"/>
        <w:ind w:left="64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3" w:lineRule="exact"/>
        <w:rPr>
          <w:sz w:val="20"/>
          <w:szCs w:val="20"/>
          <w:color w:val="auto"/>
        </w:rPr>
      </w:pPr>
    </w:p>
    <w:p>
      <w:pPr>
        <w:jc w:val="both"/>
        <w:ind w:left="640" w:firstLine="648"/>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12 U.S.C. 5390(c)(8)(D).”</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 Section 8.01(f) of the Credit Agreement is deleted and replaced as follows: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 The Administrative Agent may at any time give its notice of resignation to the Lenders and the Borrower. Upon delivery of any such notice of resignation, the Required Lenders shall have the right (with the consent of the Borrower (such consent not to be unreasonably withheld or delayed); provided that no consent of the Borrower shall be required if an Event of Default has occurred and is continuing); to appoint a successor. If no successor shall have been so appointed by the Required Lenders and shall have accepted such appointment within thirty (30) days after the retiring Administrative Agent gives notice of its resignation (the “Resignation Effective Date”), then the retiring Administrative Agent may (but shall not be obligated to), on behalf of the Lenders, appoint a successor Administrative Agent which shall be a bank with an office in New York, New York, or an Affiliate of any such bank. Whether or not such successor has been appointed, such resignation shall become effective in accordance with such notice on the Resignation Effective Date. With effect from the Resignation Effective Date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w:t>
      </w:r>
    </w:p>
    <w:p>
      <w:pPr>
        <w:sectPr>
          <w:pgSz w:w="11900" w:h="16838" w:orient="portrait"/>
          <w:cols w:equalWidth="0" w:num="1">
            <w:col w:w="10580"/>
          </w:cols>
          <w:pgMar w:left="980" w:top="766" w:right="339" w:bottom="1440" w:gutter="0" w:footer="0" w:header="0"/>
        </w:sectPr>
      </w:pPr>
    </w:p>
    <w:bookmarkStart w:id="85" w:name="page86"/>
    <w:bookmarkEnd w:id="85"/>
    <w:p>
      <w:pPr>
        <w:jc w:val="both"/>
        <w:ind w:left="660"/>
        <w:spacing w:after="0" w:line="237" w:lineRule="auto"/>
        <w:rPr>
          <w:sz w:val="20"/>
          <w:szCs w:val="20"/>
          <w:color w:val="auto"/>
        </w:rPr>
      </w:pPr>
      <w:r>
        <w:rPr>
          <w:rFonts w:ascii="Arial" w:cs="Arial" w:eastAsia="Arial" w:hAnsi="Arial"/>
          <w:sz w:val="20"/>
          <w:szCs w:val="20"/>
          <w:color w:val="auto"/>
        </w:rPr>
        <w:t>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as of the date first above written when, and only when, the Administrative Agent shall have received counterparts of this Amendment executed by the Borrower and the Required Lenders and all reasonable and documented out-of-pocket costs and expenses in connection with the preparation, execution, and delivery of this Amendment (to the extent invoiced at least one (1) Business Day prior to the date hereof). This Amendment is subject to the provisions of Section 9.02 of the Credit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Representations and Warranties of the Borrower. The Borrower represents and warrants as follows as of the date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186" w:lineRule="exact"/>
        <w:rPr>
          <w:sz w:val="20"/>
          <w:szCs w:val="20"/>
          <w:color w:val="auto"/>
        </w:rPr>
      </w:pPr>
    </w:p>
    <w:p>
      <w:pPr>
        <w:jc w:val="both"/>
        <w:ind w:firstLine="656"/>
        <w:spacing w:after="0" w:line="246" w:lineRule="auto"/>
        <w:tabs>
          <w:tab w:leader="none" w:pos="93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execution, delivery and performance by the Borrower of this Amendment are within the Borrower’s corporate power, and this Amendment has been duly executed and delivered by the Borrower and constitutes a legal, valid and binding obligation of the Borrower, enforceable against the Borrower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76" w:lineRule="exact"/>
        <w:rPr>
          <w:rFonts w:ascii="Arial" w:cs="Arial" w:eastAsia="Arial" w:hAnsi="Arial"/>
          <w:sz w:val="19"/>
          <w:szCs w:val="19"/>
          <w:color w:val="auto"/>
        </w:rPr>
      </w:pPr>
    </w:p>
    <w:p>
      <w:pPr>
        <w:jc w:val="both"/>
        <w:ind w:firstLine="656"/>
        <w:spacing w:after="0" w:line="255" w:lineRule="auto"/>
        <w:tabs>
          <w:tab w:leader="none" w:pos="9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the Borrower or any material order of any Governmental Authority binding upon the Borrower or any of the Material Subsidiaries or its assets, (iii) will not violate in any material respect or result in a default under any indenture, material agreement or other material instrument binding upon the Borrower or any of its Material Subsidiaries or its assets, or give rise to a right thereunder to require any payment to be made by the Borrower or any of its Material Subsidiaries, except, in the case of this clause (iii), for any such violations, defaults or rights that could not reasonably be expected to result in a Material Adverse Effect, (iv) will not violate or result in a default under the Existing Credit Agreement or any Corporate Campus Facility Financing Document, or give rise to a right thereunder to require any payment to be made by the Borrower or any of its Material Subsidiaries and (v) will not result in the creation or imposition of any Lien on any asset of the Borrower or any of its Material Subsidiaries, other than Liens (if any) permitted by Section 6.02(a) of the Credit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02" w:lineRule="exact"/>
        <w:rPr>
          <w:sz w:val="20"/>
          <w:szCs w:val="20"/>
          <w:color w:val="auto"/>
        </w:rPr>
      </w:pPr>
    </w:p>
    <w:p>
      <w:pPr>
        <w:jc w:val="both"/>
        <w:ind w:firstLine="656"/>
        <w:spacing w:after="0" w:line="238" w:lineRule="auto"/>
        <w:tabs>
          <w:tab w:leader="none" w:pos="9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On and after the effectiveness of this Amendment, each reference in the Credit Agreement to “this Agreement”, “hereunder”, “hereof” or words of like import referring to the Credit Agreement, and each reference in each Loan Document to “the Credit Agreement”, “thereunder”, “thereof” or words of like import referring to the Credit Agreement, shall mean and be a reference to the Credit Agreement, as amended by this Amendment. On and after the effectiveness of this Amendment, this Amendment shall for all purposes constitute a Loan Document.</w:t>
      </w:r>
    </w:p>
    <w:p>
      <w:pPr>
        <w:spacing w:after="0" w:line="182" w:lineRule="exact"/>
        <w:rPr>
          <w:rFonts w:ascii="Arial" w:cs="Arial" w:eastAsia="Arial" w:hAnsi="Arial"/>
          <w:sz w:val="20"/>
          <w:szCs w:val="20"/>
          <w:color w:val="auto"/>
        </w:rPr>
      </w:pPr>
    </w:p>
    <w:p>
      <w:pPr>
        <w:ind w:firstLine="656"/>
        <w:spacing w:after="0" w:line="246" w:lineRule="auto"/>
        <w:tabs>
          <w:tab w:leader="none" w:pos="92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Credit Agreement, as specifically amended by this Amendment, and the other Loan Documents are and shall continue to be in full force and effect and are hereby in all respects ratified and confirmed.</w:t>
      </w:r>
    </w:p>
    <w:p>
      <w:pPr>
        <w:spacing w:after="0" w:line="176" w:lineRule="exact"/>
        <w:rPr>
          <w:rFonts w:ascii="Arial" w:cs="Arial" w:eastAsia="Arial" w:hAnsi="Arial"/>
          <w:sz w:val="20"/>
          <w:szCs w:val="20"/>
          <w:color w:val="auto"/>
        </w:rPr>
      </w:pPr>
    </w:p>
    <w:p>
      <w:pPr>
        <w:jc w:val="both"/>
        <w:ind w:firstLine="656"/>
        <w:spacing w:after="0" w:line="237" w:lineRule="auto"/>
        <w:tabs>
          <w:tab w:leader="none" w:pos="9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Administrative Agent under the Credit Agreement or any other Loan Document, nor constitute a waiver of any provision of the Credit Agreement or any other Loan Document.</w:t>
      </w:r>
    </w:p>
    <w:p>
      <w:pPr>
        <w:spacing w:after="0" w:line="19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 agrees to pay on demand all reasonable and documented out-of-pocket expenses of the Administrative Agent in connection with the preparation, execution,</w:t>
      </w:r>
    </w:p>
    <w:p>
      <w:pPr>
        <w:sectPr>
          <w:pgSz w:w="11900" w:h="16838" w:orient="portrait"/>
          <w:cols w:equalWidth="0" w:num="1">
            <w:col w:w="11240"/>
          </w:cols>
          <w:pgMar w:left="320" w:top="771" w:right="339" w:bottom="1440" w:gutter="0" w:footer="0" w:header="0"/>
        </w:sectPr>
      </w:pPr>
    </w:p>
    <w:bookmarkStart w:id="86" w:name="page87"/>
    <w:bookmarkEnd w:id="86"/>
    <w:p>
      <w:pPr>
        <w:jc w:val="both"/>
        <w:spacing w:after="0" w:line="234" w:lineRule="auto"/>
        <w:rPr>
          <w:sz w:val="20"/>
          <w:szCs w:val="20"/>
          <w:color w:val="auto"/>
        </w:rPr>
      </w:pPr>
      <w:r>
        <w:rPr>
          <w:rFonts w:ascii="Arial" w:cs="Arial" w:eastAsia="Arial" w:hAnsi="Arial"/>
          <w:sz w:val="20"/>
          <w:szCs w:val="20"/>
          <w:color w:val="auto"/>
        </w:rPr>
        <w:t>delivery and administration of this Amendment (including, without limitation, the reasonable and documented fees and expenses of a single firm as primary counsel, along with such specialist counsel as may reasonably be required by the Administrative Agent, and, to the extent reasonably necessary, a single firm of local counsel in each applicable jurisdiction, for the Administrative Agent) in accordance with the terms of Section 9.03 of the Credit Agreement.</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telecopy, e-mailed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.pdf or any other electronic means that reproduces an image of the actual executed signature page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without limiting the foregoing, upon the request of the Administrative Agent, any electronic signature shall be promptly followed by such manually executed counterpart.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b w:val="1"/>
          <w:bCs w:val="1"/>
          <w:u w:val="single" w:color="auto"/>
          <w:color w:val="auto"/>
        </w:rPr>
        <w:t>GOVERNING LAW; WAIVER OF JURY TRIAL; JURISDICTION</w:t>
      </w:r>
      <w:r>
        <w:rPr>
          <w:rFonts w:ascii="Arial" w:cs="Arial" w:eastAsia="Arial" w:hAnsi="Arial"/>
          <w:sz w:val="20"/>
          <w:szCs w:val="20"/>
          <w:b w:val="1"/>
          <w:bCs w:val="1"/>
          <w:color w:val="auto"/>
        </w:rPr>
        <w:t>. THIS AMENDMENT SHALL BE</w:t>
      </w:r>
    </w:p>
    <w:p>
      <w:pPr>
        <w:spacing w:after="0" w:line="2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GOVERNED BY, AND CONSTRUED IN ACCORDANCE WITH, THE LAWS OF THE STATE OF NEW YORK. THE PROVISIONS OF SECTIONS 9.09 AND 9.10 OF THE CREDIT AGREEMENT ARE INCORPORATED HEREIN BY REFERENCE,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are included for convenience of reference only and shall not affect the interpretation of this Amendment.</w:t>
      </w:r>
    </w:p>
    <w:p>
      <w:pPr>
        <w:sectPr>
          <w:pgSz w:w="11900" w:h="16838" w:orient="portrait"/>
          <w:cols w:equalWidth="0" w:num="1">
            <w:col w:w="11240"/>
          </w:cols>
          <w:pgMar w:left="320" w:top="771" w:right="339" w:bottom="1440" w:gutter="0" w:footer="0" w:header="0"/>
        </w:sectPr>
      </w:pPr>
    </w:p>
    <w:bookmarkStart w:id="87" w:name="page88"/>
    <w:bookmarkEnd w:id="87"/>
    <w:p>
      <w:pPr>
        <w:ind w:firstLine="648"/>
        <w:spacing w:after="0" w:line="246"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REGENERON PHARMACEUTICALS, INC.</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1"/>
          <w:szCs w:val="21"/>
          <w:u w:val="single" w:color="auto"/>
          <w:color w:val="auto"/>
        </w:rPr>
        <w:t>/s/ Robert E. Landry__</w:t>
      </w:r>
      <w:r>
        <w:rPr>
          <w:rFonts w:ascii="Arial" w:cs="Arial" w:eastAsia="Arial" w:hAnsi="Arial"/>
          <w:sz w:val="20"/>
          <w:szCs w:val="20"/>
          <w:color w:val="auto"/>
        </w:rPr>
        <w:t>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Robert E. Landry</w:t>
      </w:r>
    </w:p>
    <w:p>
      <w:pPr>
        <w:ind w:left="4540"/>
        <w:spacing w:after="0"/>
        <w:rPr>
          <w:sz w:val="20"/>
          <w:szCs w:val="20"/>
          <w:color w:val="auto"/>
        </w:rPr>
      </w:pPr>
      <w:r>
        <w:rPr>
          <w:rFonts w:ascii="Arial" w:cs="Arial" w:eastAsia="Arial" w:hAnsi="Arial"/>
          <w:sz w:val="20"/>
          <w:szCs w:val="20"/>
          <w:color w:val="auto"/>
        </w:rPr>
        <w:t>Title: Executive Vice President, Finance and</w:t>
      </w:r>
    </w:p>
    <w:p>
      <w:pPr>
        <w:ind w:left="45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220"/>
          </w:cols>
          <w:pgMar w:left="320" w:top="771" w:right="359" w:bottom="1440" w:gutter="0" w:footer="0" w:header="0"/>
        </w:sectPr>
      </w:pPr>
    </w:p>
    <w:bookmarkStart w:id="88" w:name="page89"/>
    <w:bookmarkEnd w:id="88"/>
    <w:p>
      <w:pPr>
        <w:ind w:left="2780"/>
        <w:spacing w:after="0"/>
        <w:rPr>
          <w:sz w:val="20"/>
          <w:szCs w:val="20"/>
          <w:color w:val="auto"/>
        </w:rPr>
      </w:pPr>
      <w:r>
        <w:rPr>
          <w:rFonts w:ascii="Arial" w:cs="Arial" w:eastAsia="Arial" w:hAnsi="Arial"/>
          <w:sz w:val="20"/>
          <w:szCs w:val="20"/>
          <w:color w:val="auto"/>
        </w:rPr>
        <w:t>GOLDMAN SACHS BANK USA, as Lender and</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Administrative Agent</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_/s/ Robert Ehudin ________</w:t>
      </w:r>
      <w:r>
        <w:rPr>
          <w:rFonts w:ascii="Arial" w:cs="Arial" w:eastAsia="Arial" w:hAnsi="Arial"/>
          <w:sz w:val="18"/>
          <w:szCs w:val="18"/>
          <w:color w:val="auto"/>
        </w:rPr>
        <w:t>______________</w:t>
      </w:r>
    </w:p>
    <w:p>
      <w:pPr>
        <w:spacing w:after="0" w:line="56"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 Robert Ehudin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771" w:right="1440" w:bottom="1440" w:gutter="0" w:footer="0" w:header="0"/>
        </w:sectPr>
      </w:pPr>
    </w:p>
    <w:bookmarkStart w:id="89" w:name="page90"/>
    <w:bookmarkEnd w:id="89"/>
    <w:p>
      <w:pPr>
        <w:ind w:left="10360"/>
        <w:spacing w:after="0"/>
        <w:rPr>
          <w:sz w:val="20"/>
          <w:szCs w:val="20"/>
          <w:color w:val="auto"/>
        </w:rPr>
      </w:pPr>
      <w:r>
        <w:rPr>
          <w:rFonts w:ascii="Arial" w:cs="Arial" w:eastAsia="Arial" w:hAnsi="Arial"/>
          <w:sz w:val="16"/>
          <w:szCs w:val="16"/>
          <w:color w:val="auto"/>
        </w:rPr>
        <w:t>Exhibit 10.3</w:t>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CERTAIN CONFIDENTIAL PORTIONS OF THIS EXHIBIT, MARKED BY BRACKETS, WERE OMITTED BECAUSE THOSE PORTIONS ARE NOT MATERIAL AND WOULD BE COMPETITIVELY HARMFUL TO THE COMPANY IF PUBLICLY DISCLOSED.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AMENDED AND RESTATED LICENSE AND COLLABORATION AGREEMENT</w:t>
      </w:r>
    </w:p>
    <w:p>
      <w:pPr>
        <w:spacing w:after="0" w:line="239" w:lineRule="exact"/>
        <w:rPr>
          <w:sz w:val="20"/>
          <w:szCs w:val="20"/>
          <w:color w:val="auto"/>
        </w:rPr>
      </w:pPr>
    </w:p>
    <w:p>
      <w:pPr>
        <w:ind w:right="100" w:firstLine="1296"/>
        <w:spacing w:after="0" w:line="245" w:lineRule="auto"/>
        <w:rPr>
          <w:sz w:val="20"/>
          <w:szCs w:val="20"/>
          <w:color w:val="auto"/>
        </w:rPr>
      </w:pPr>
      <w:r>
        <w:rPr>
          <w:rFonts w:ascii="Arial" w:cs="Arial" w:eastAsia="Arial" w:hAnsi="Arial"/>
          <w:sz w:val="21"/>
          <w:szCs w:val="21"/>
          <w:color w:val="auto"/>
        </w:rPr>
        <w:t>THIS THIRD AMENDMENT TO AMENDED AND RESTATED LICENSE AND COLLABORATION AGREEMENT (this “</w:t>
      </w:r>
      <w:r>
        <w:rPr>
          <w:rFonts w:ascii="Arial" w:cs="Arial" w:eastAsia="Arial" w:hAnsi="Arial"/>
          <w:sz w:val="21"/>
          <w:szCs w:val="21"/>
          <w:u w:val="single" w:color="auto"/>
          <w:color w:val="auto"/>
        </w:rPr>
        <w:t>Third Amendment</w:t>
      </w:r>
      <w:r>
        <w:rPr>
          <w:rFonts w:ascii="Arial" w:cs="Arial" w:eastAsia="Arial" w:hAnsi="Arial"/>
          <w:sz w:val="21"/>
          <w:szCs w:val="21"/>
          <w:color w:val="auto"/>
        </w:rPr>
        <w:t>”), dated as of April 5, 2020 (the “</w:t>
      </w:r>
      <w:r>
        <w:rPr>
          <w:rFonts w:ascii="Arial" w:cs="Arial" w:eastAsia="Arial" w:hAnsi="Arial"/>
          <w:sz w:val="21"/>
          <w:szCs w:val="21"/>
          <w:u w:val="single" w:color="auto"/>
          <w:color w:val="auto"/>
        </w:rPr>
        <w:t>Execution Date</w:t>
      </w:r>
      <w:r>
        <w:rPr>
          <w:rFonts w:ascii="Arial" w:cs="Arial" w:eastAsia="Arial" w:hAnsi="Arial"/>
          <w:sz w:val="21"/>
          <w:szCs w:val="21"/>
          <w:color w:val="auto"/>
        </w:rPr>
        <w:t>”), and effective as of April 1, 2020 (the “</w:t>
      </w:r>
      <w:r>
        <w:rPr>
          <w:rFonts w:ascii="Arial" w:cs="Arial" w:eastAsia="Arial" w:hAnsi="Arial"/>
          <w:sz w:val="21"/>
          <w:szCs w:val="21"/>
          <w:u w:val="single" w:color="auto"/>
          <w:color w:val="auto"/>
        </w:rPr>
        <w:t>Transition Date</w:t>
      </w:r>
      <w:r>
        <w:rPr>
          <w:rFonts w:ascii="Arial" w:cs="Arial" w:eastAsia="Arial" w:hAnsi="Arial"/>
          <w:sz w:val="21"/>
          <w:szCs w:val="21"/>
          <w:color w:val="auto"/>
        </w:rPr>
        <w:t>”), is by and between Sanofi Biotechnology SAS, a sociéte par actions simplifiée, organized under the laws of France, as successor in interest to Aventis Pharmaceuticals Inc., having a principal place of business at 54, rue La Boétie, 75008 Paris, France (“</w:t>
      </w:r>
      <w:r>
        <w:rPr>
          <w:rFonts w:ascii="Arial" w:cs="Arial" w:eastAsia="Arial" w:hAnsi="Arial"/>
          <w:sz w:val="21"/>
          <w:szCs w:val="21"/>
          <w:u w:val="single" w:color="auto"/>
          <w:color w:val="auto"/>
        </w:rPr>
        <w:t>Sanofi</w:t>
      </w:r>
      <w:r>
        <w:rPr>
          <w:rFonts w:ascii="Arial" w:cs="Arial" w:eastAsia="Arial" w:hAnsi="Arial"/>
          <w:sz w:val="21"/>
          <w:szCs w:val="21"/>
          <w:color w:val="auto"/>
        </w:rPr>
        <w:t>”), Sanofi, a société anonyme organized under the laws of the French Republic with its principal headquarters at 54, rue La Boétie, 75008 Paris, France (“</w:t>
      </w:r>
      <w:r>
        <w:rPr>
          <w:rFonts w:ascii="Arial" w:cs="Arial" w:eastAsia="Arial" w:hAnsi="Arial"/>
          <w:sz w:val="21"/>
          <w:szCs w:val="21"/>
          <w:u w:val="single" w:color="auto"/>
          <w:color w:val="auto"/>
        </w:rPr>
        <w:t>Sanofi Parent</w:t>
      </w:r>
      <w:r>
        <w:rPr>
          <w:rFonts w:ascii="Arial" w:cs="Arial" w:eastAsia="Arial" w:hAnsi="Arial"/>
          <w:sz w:val="21"/>
          <w:szCs w:val="21"/>
          <w:color w:val="auto"/>
        </w:rPr>
        <w:t>”), and Regeneron Pharmaceuticals, Inc., a corporation organized under the laws of the state of New York and having a principal place of business at 777 Old Saw Mill River Road, Tarrytown, New York 10591 (“</w:t>
      </w:r>
      <w:r>
        <w:rPr>
          <w:rFonts w:ascii="Arial" w:cs="Arial" w:eastAsia="Arial" w:hAnsi="Arial"/>
          <w:sz w:val="21"/>
          <w:szCs w:val="21"/>
          <w:u w:val="single" w:color="auto"/>
          <w:color w:val="auto"/>
        </w:rPr>
        <w:t>Regeneron</w:t>
      </w:r>
      <w:r>
        <w:rPr>
          <w:rFonts w:ascii="Arial" w:cs="Arial" w:eastAsia="Arial" w:hAnsi="Arial"/>
          <w:sz w:val="21"/>
          <w:szCs w:val="21"/>
          <w:color w:val="auto"/>
        </w:rPr>
        <w:t>”) (with each of Sanofi and Regeneron being sometimes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right="240" w:firstLine="1296"/>
        <w:spacing w:after="0" w:line="297" w:lineRule="auto"/>
        <w:rPr>
          <w:sz w:val="20"/>
          <w:szCs w:val="20"/>
          <w:color w:val="auto"/>
        </w:rPr>
      </w:pPr>
      <w:r>
        <w:rPr>
          <w:rFonts w:ascii="Arial" w:cs="Arial" w:eastAsia="Arial" w:hAnsi="Arial"/>
          <w:sz w:val="19"/>
          <w:szCs w:val="19"/>
          <w:color w:val="auto"/>
        </w:rPr>
        <w:t>WHEREAS, Regeneron, Sanofi and Sanofi Parent are parties to that certain Amended and Restated License and Collaboration Agreement dated as of November 10, 2009, as amended as of May 1, 2013 and July 1, 2015 (the “</w:t>
      </w:r>
      <w:r>
        <w:rPr>
          <w:rFonts w:ascii="Arial" w:cs="Arial" w:eastAsia="Arial" w:hAnsi="Arial"/>
          <w:sz w:val="19"/>
          <w:szCs w:val="19"/>
          <w:u w:val="single" w:color="auto"/>
          <w:color w:val="auto"/>
        </w:rPr>
        <w:t>LCA</w:t>
      </w:r>
      <w:r>
        <w:rPr>
          <w:rFonts w:ascii="Arial" w:cs="Arial" w:eastAsia="Arial" w:hAnsi="Arial"/>
          <w:sz w:val="19"/>
          <w:szCs w:val="19"/>
          <w:color w:val="auto"/>
        </w:rPr>
        <w:t>”) for the Development, Manufacture and Commercialization of Licensed Products (as such terms are defined therein);</w:t>
      </w:r>
    </w:p>
    <w:p>
      <w:pPr>
        <w:spacing w:after="0" w:line="161"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WHEREAS, simultaneously herewith, the Parties are entering into the Praluent Agreement (as defined below), pursuant to which the Parties set forth their rights and obligations with respect to the development, manufacture and commercialization of the Praluent License Agreement Products (as defined below) from and after the Transition Date (as defined below); and</w:t>
      </w:r>
    </w:p>
    <w:p>
      <w:pPr>
        <w:spacing w:after="0" w:line="212"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WHEREAS, in connection with entering into the Praluent Agreement, the Parties desire to amend the LCA to, except as expressly set forth in this Third Amendment, remove the Praluent LCA Products from the LCA effective from and after the Transition Date.</w:t>
      </w:r>
    </w:p>
    <w:p>
      <w:pPr>
        <w:spacing w:after="0" w:line="213"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NOW, THEREFORE, in consideration of the following mutual covenants contained herein, and for other good and valuable consideration the adequacy and sufficiency of which are hereby acknowledged, the Parties agree as follows:</w:t>
      </w:r>
    </w:p>
    <w:p>
      <w:pPr>
        <w:sectPr>
          <w:pgSz w:w="11900" w:h="16838" w:orient="portrait"/>
          <w:cols w:equalWidth="0" w:num="1">
            <w:col w:w="11240"/>
          </w:cols>
          <w:pgMar w:left="320" w:top="142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ind w:left="660" w:right="320" w:hanging="328"/>
        <w:spacing w:after="0" w:line="256" w:lineRule="auto"/>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Effectiveness. </w:t>
      </w:r>
      <w:r>
        <w:rPr>
          <w:rFonts w:ascii="Arial" w:cs="Arial" w:eastAsia="Arial" w:hAnsi="Arial"/>
          <w:sz w:val="22"/>
          <w:szCs w:val="22"/>
          <w:color w:val="auto"/>
        </w:rPr>
        <w:t>This Third Amendment is entered into as of the Execution Date but shall be effective as of and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Transition Date.</w:t>
      </w:r>
    </w:p>
    <w:p>
      <w:pPr>
        <w:spacing w:after="0" w:line="189" w:lineRule="exact"/>
        <w:rPr>
          <w:rFonts w:ascii="Arial" w:cs="Arial" w:eastAsia="Arial" w:hAnsi="Arial"/>
          <w:sz w:val="22"/>
          <w:szCs w:val="22"/>
          <w:b w:val="1"/>
          <w:bCs w:val="1"/>
          <w:color w:val="auto"/>
        </w:rPr>
      </w:pPr>
    </w:p>
    <w:p>
      <w:pPr>
        <w:ind w:left="660" w:hanging="328"/>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3"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Unless otherwise specifically provided herein, capitalized terms used, but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ascribed thereto in the LCA.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2.2. Additional Definitions</w:t>
      </w:r>
      <w:r>
        <w:rPr>
          <w:rFonts w:ascii="Arial" w:cs="Arial" w:eastAsia="Arial" w:hAnsi="Arial"/>
          <w:sz w:val="22"/>
          <w:szCs w:val="22"/>
          <w:color w:val="auto"/>
        </w:rPr>
        <w:t>. Article I of the LCA is hereby amended by adding the following definitions:</w:t>
      </w:r>
    </w:p>
    <w:p>
      <w:pPr>
        <w:spacing w:after="0" w:line="239" w:lineRule="exact"/>
        <w:rPr>
          <w:sz w:val="20"/>
          <w:szCs w:val="20"/>
          <w:color w:val="auto"/>
        </w:rPr>
      </w:pPr>
    </w:p>
    <w:p>
      <w:pPr>
        <w:ind w:firstLine="1304"/>
        <w:spacing w:after="0"/>
        <w:tabs>
          <w:tab w:leader="none" w:pos="15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Praluent Agreement</w:t>
      </w:r>
      <w:r>
        <w:rPr>
          <w:rFonts w:ascii="Arial" w:cs="Arial" w:eastAsia="Arial" w:hAnsi="Arial"/>
          <w:sz w:val="22"/>
          <w:szCs w:val="22"/>
          <w:color w:val="auto"/>
        </w:rPr>
        <w:t xml:space="preserve">” shall mean that certain Praluent Cross License &amp; Commercialization Agreement between Sanofi and Regeneron, dated as of the </w:t>
      </w:r>
      <w:r>
        <w:rPr>
          <w:rFonts w:ascii="Arial" w:cs="Arial" w:eastAsia="Arial" w:hAnsi="Arial"/>
          <w:sz w:val="22"/>
          <w:szCs w:val="22"/>
          <w:u w:val="single" w:color="auto"/>
          <w:color w:val="auto"/>
        </w:rPr>
        <w:t>Execution Date</w:t>
      </w:r>
      <w:r>
        <w:rPr>
          <w:rFonts w:ascii="Arial" w:cs="Arial" w:eastAsia="Arial" w:hAnsi="Arial"/>
          <w:sz w:val="22"/>
          <w:szCs w:val="22"/>
          <w:color w:val="auto"/>
        </w:rPr>
        <w:t xml:space="preserve">, and effective as of the </w:t>
      </w:r>
      <w:r>
        <w:rPr>
          <w:rFonts w:ascii="Arial" w:cs="Arial" w:eastAsia="Arial" w:hAnsi="Arial"/>
          <w:sz w:val="22"/>
          <w:szCs w:val="22"/>
          <w:u w:val="single" w:color="auto"/>
          <w:color w:val="auto"/>
        </w:rPr>
        <w:t>Transition Date</w:t>
      </w:r>
      <w:r>
        <w:rPr>
          <w:rFonts w:ascii="Arial" w:cs="Arial" w:eastAsia="Arial" w:hAnsi="Arial"/>
          <w:sz w:val="22"/>
          <w:szCs w:val="22"/>
          <w:color w:val="auto"/>
        </w:rPr>
        <w:t>, as such agreement may be amended from time to time pursuant to its terms.</w:t>
      </w:r>
    </w:p>
    <w:p>
      <w:pPr>
        <w:spacing w:after="0" w:line="213" w:lineRule="exact"/>
        <w:rPr>
          <w:rFonts w:ascii="Arial" w:cs="Arial" w:eastAsia="Arial" w:hAnsi="Arial"/>
          <w:sz w:val="22"/>
          <w:szCs w:val="22"/>
          <w:color w:val="auto"/>
        </w:rPr>
      </w:pPr>
    </w:p>
    <w:p>
      <w:pPr>
        <w:ind w:left="1600" w:hanging="296"/>
        <w:spacing w:after="0"/>
        <w:tabs>
          <w:tab w:leader="none" w:pos="16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Praluent LCA Product</w:t>
      </w:r>
      <w:r>
        <w:rPr>
          <w:rFonts w:ascii="Arial" w:cs="Arial" w:eastAsia="Arial" w:hAnsi="Arial"/>
          <w:sz w:val="22"/>
          <w:szCs w:val="22"/>
          <w:color w:val="auto"/>
        </w:rPr>
        <w:t>” shall mean any Licensed Product that contains alirocumab.</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Praluent License Agreement Product</w:t>
      </w:r>
      <w:r>
        <w:rPr>
          <w:rFonts w:ascii="Arial" w:cs="Arial" w:eastAsia="Arial" w:hAnsi="Arial"/>
          <w:sz w:val="21"/>
          <w:szCs w:val="21"/>
          <w:color w:val="auto"/>
        </w:rPr>
        <w:t>” shall mean any “Praluent Product” as defined in the Praluent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15" w:lineRule="exact"/>
        <w:rPr>
          <w:rFonts w:ascii="Arial" w:cs="Arial" w:eastAsia="Arial" w:hAnsi="Arial"/>
          <w:sz w:val="21"/>
          <w:szCs w:val="21"/>
          <w:color w:val="auto"/>
        </w:rPr>
      </w:pPr>
    </w:p>
    <w:p>
      <w:pPr>
        <w:ind w:right="60" w:firstLine="1304"/>
        <w:spacing w:after="0" w:line="246" w:lineRule="auto"/>
        <w:tabs>
          <w:tab w:leader="none" w:pos="1602"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ROW Profit Split Sales</w:t>
      </w:r>
      <w:r>
        <w:rPr>
          <w:rFonts w:ascii="Arial" w:cs="Arial" w:eastAsia="Arial" w:hAnsi="Arial"/>
          <w:sz w:val="21"/>
          <w:szCs w:val="21"/>
          <w:color w:val="auto"/>
        </w:rPr>
        <w:t>” shall mean the aggregate Net Sales of all Licensed Products and Praluent License Agreement Products in the ROW. For the purpose of this definition of “ROW Profit Split Sales”, from and after the Transition Date, “Licensed Product” as used in the definition of Net Sales and First Commercial Sale shall also include the Praluent License Agreement Products (without double counting); provided that with respect to any Praluent License Agreement Product that is a Combination Product (as defined in the Praluent Agreement), any adjustment to the Net Sales of such Praluent License Agreement Product due to the fact that such Praluent License Agreement Product is such a Combination Product shall be as set forth in the definition of “Net Sales” in the Praluent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2.3. Amended Definitions</w:t>
      </w:r>
      <w:r>
        <w:rPr>
          <w:rFonts w:ascii="Arial" w:cs="Arial" w:eastAsia="Arial" w:hAnsi="Arial"/>
          <w:sz w:val="22"/>
          <w:szCs w:val="22"/>
          <w:color w:val="auto"/>
        </w:rPr>
        <w:t>. The following definitions in the LCA are hereby amended as follows:</w:t>
      </w:r>
    </w:p>
    <w:p>
      <w:pPr>
        <w:spacing w:after="0" w:line="239" w:lineRule="exact"/>
        <w:rPr>
          <w:sz w:val="20"/>
          <w:szCs w:val="20"/>
          <w:color w:val="auto"/>
        </w:rPr>
      </w:pPr>
    </w:p>
    <w:p>
      <w:pPr>
        <w:ind w:left="1600" w:hanging="296"/>
        <w:spacing w:after="0"/>
        <w:tabs>
          <w:tab w:leader="none" w:pos="16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Licensed Products</w:t>
      </w:r>
      <w:r>
        <w:rPr>
          <w:rFonts w:ascii="Arial" w:cs="Arial" w:eastAsia="Arial" w:hAnsi="Arial"/>
          <w:sz w:val="19"/>
          <w:szCs w:val="19"/>
          <w:color w:val="auto"/>
        </w:rPr>
        <w:t>” is hereby amended by adding the following as a new sentence at the end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such definition:</w:t>
      </w:r>
    </w:p>
    <w:p>
      <w:pPr>
        <w:spacing w:after="0" w:line="215" w:lineRule="exact"/>
        <w:rPr>
          <w:sz w:val="20"/>
          <w:szCs w:val="20"/>
          <w:color w:val="auto"/>
        </w:rPr>
      </w:pPr>
    </w:p>
    <w:p>
      <w:pPr>
        <w:ind w:right="560" w:firstLine="1296"/>
        <w:spacing w:after="0" w:line="250" w:lineRule="auto"/>
        <w:rPr>
          <w:sz w:val="20"/>
          <w:szCs w:val="20"/>
          <w:color w:val="auto"/>
        </w:rPr>
      </w:pPr>
      <w:r>
        <w:rPr>
          <w:rFonts w:ascii="Arial" w:cs="Arial" w:eastAsia="Arial" w:hAnsi="Arial"/>
          <w:sz w:val="22"/>
          <w:szCs w:val="22"/>
          <w:color w:val="auto"/>
        </w:rPr>
        <w:t>“Notwithstanding the foregoing, the Licensed Products shall, from and after the Transition Date, exclude the Praluent LCA Products.”</w:t>
      </w:r>
    </w:p>
    <w:p>
      <w:pPr>
        <w:spacing w:after="0" w:line="202" w:lineRule="exact"/>
        <w:rPr>
          <w:sz w:val="20"/>
          <w:szCs w:val="20"/>
          <w:color w:val="auto"/>
        </w:rPr>
      </w:pPr>
    </w:p>
    <w:p>
      <w:pPr>
        <w:ind w:left="1600" w:hanging="296"/>
        <w:spacing w:after="0"/>
        <w:tabs>
          <w:tab w:leader="none" w:pos="16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New Information</w:t>
      </w:r>
      <w:r>
        <w:rPr>
          <w:rFonts w:ascii="Arial" w:cs="Arial" w:eastAsia="Arial" w:hAnsi="Arial"/>
          <w:sz w:val="19"/>
          <w:szCs w:val="19"/>
          <w:color w:val="auto"/>
        </w:rPr>
        <w:t>” is hereby amended by adding the following as a new sentence at the end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such definition:</w:t>
      </w:r>
    </w:p>
    <w:p>
      <w:pPr>
        <w:sectPr>
          <w:pgSz w:w="11900" w:h="16838" w:orient="portrait"/>
          <w:cols w:equalWidth="0" w:num="1">
            <w:col w:w="11240"/>
          </w:cols>
          <w:pgMar w:left="320" w:top="1408" w:right="339" w:bottom="1440" w:gutter="0" w:footer="0" w:header="0"/>
        </w:sectPr>
      </w:pPr>
    </w:p>
    <w:bookmarkStart w:id="91" w:name="page92"/>
    <w:bookmarkEnd w:id="91"/>
    <w:p>
      <w:pPr>
        <w:ind w:firstLine="1296"/>
        <w:spacing w:after="0" w:line="249" w:lineRule="auto"/>
        <w:rPr>
          <w:sz w:val="20"/>
          <w:szCs w:val="20"/>
          <w:color w:val="auto"/>
        </w:rPr>
      </w:pPr>
      <w:r>
        <w:rPr>
          <w:rFonts w:ascii="Arial" w:cs="Arial" w:eastAsia="Arial" w:hAnsi="Arial"/>
          <w:sz w:val="21"/>
          <w:szCs w:val="21"/>
          <w:color w:val="auto"/>
        </w:rPr>
        <w:t>“Any ideas, inventions, data, writings, protocols, discoveries, improvements, trade secrets, materials or other proprietary information not generally known to the public that arose or were conceived or developed by either Party or its Affiliates, or by the Parties or their Affiliates jointly, pursuant to this Agreement prior to the Transition Date shall, as from and after the Transition Date, be excluded from New Information and shall be governed by the terms of the Praluent Agreement to the extent specifically related to a Praluent License Agreement Product or a Praluent LCA Product.”</w:t>
      </w:r>
    </w:p>
    <w:p>
      <w:pPr>
        <w:spacing w:after="0" w:line="205" w:lineRule="exact"/>
        <w:rPr>
          <w:sz w:val="20"/>
          <w:szCs w:val="20"/>
          <w:color w:val="auto"/>
        </w:rPr>
      </w:pPr>
    </w:p>
    <w:p>
      <w:pPr>
        <w:ind w:left="1600" w:hanging="296"/>
        <w:spacing w:after="0"/>
        <w:tabs>
          <w:tab w:leader="none" w:pos="16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Party Information</w:t>
      </w:r>
      <w:r>
        <w:rPr>
          <w:rFonts w:ascii="Arial" w:cs="Arial" w:eastAsia="Arial" w:hAnsi="Arial"/>
          <w:sz w:val="19"/>
          <w:szCs w:val="19"/>
          <w:color w:val="auto"/>
        </w:rPr>
        <w:t>” is hereby amended by adding the following as a new sentence at the end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such definition:</w:t>
      </w:r>
    </w:p>
    <w:p>
      <w:pPr>
        <w:spacing w:after="0" w:line="215" w:lineRule="exact"/>
        <w:rPr>
          <w:sz w:val="20"/>
          <w:szCs w:val="20"/>
          <w:color w:val="auto"/>
        </w:rPr>
      </w:pPr>
    </w:p>
    <w:p>
      <w:pPr>
        <w:ind w:right="60" w:firstLine="1296"/>
        <w:spacing w:after="0" w:line="236" w:lineRule="auto"/>
        <w:rPr>
          <w:sz w:val="20"/>
          <w:szCs w:val="20"/>
          <w:color w:val="auto"/>
        </w:rPr>
      </w:pPr>
      <w:r>
        <w:rPr>
          <w:rFonts w:ascii="Arial" w:cs="Arial" w:eastAsia="Arial" w:hAnsi="Arial"/>
          <w:sz w:val="22"/>
          <w:szCs w:val="22"/>
          <w:color w:val="auto"/>
        </w:rPr>
        <w:t>“Any trade secrets or other proprietary information other than New Information that were disclosed or made available by a Party or such Party’s Affiliates to the other Party or the other Party’s Affiliates in connection with this Agreement prior to the Transition Date to the extent specifically related to a Praluent License Agreement Product or a Praluent LCA Product shall, from and after the Transition Date, be excluded from Party Information and shall be governed by the terms of the Praluent Agreement.”</w:t>
      </w:r>
    </w:p>
    <w:p>
      <w:pPr>
        <w:spacing w:after="0" w:line="214" w:lineRule="exact"/>
        <w:rPr>
          <w:sz w:val="20"/>
          <w:szCs w:val="20"/>
          <w:color w:val="auto"/>
        </w:rPr>
      </w:pPr>
    </w:p>
    <w:p>
      <w:pPr>
        <w:ind w:right="320" w:firstLine="1304"/>
        <w:spacing w:after="0" w:line="239" w:lineRule="auto"/>
        <w:tabs>
          <w:tab w:leader="none" w:pos="1598"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Product Trademark</w:t>
      </w:r>
      <w:r>
        <w:rPr>
          <w:rFonts w:ascii="Arial" w:cs="Arial" w:eastAsia="Arial" w:hAnsi="Arial"/>
          <w:sz w:val="22"/>
          <w:szCs w:val="22"/>
          <w:color w:val="auto"/>
        </w:rPr>
        <w:t>” is hereby amended by adding the following as a new sentence at the end of such definition:</w:t>
      </w:r>
    </w:p>
    <w:p>
      <w:pPr>
        <w:ind w:right="740" w:firstLine="1296"/>
        <w:spacing w:after="0" w:line="236" w:lineRule="auto"/>
        <w:rPr>
          <w:rFonts w:ascii="Arial" w:cs="Arial" w:eastAsia="Arial" w:hAnsi="Arial"/>
          <w:sz w:val="22"/>
          <w:szCs w:val="22"/>
          <w:color w:val="auto"/>
        </w:rPr>
      </w:pPr>
      <w:r>
        <w:rPr>
          <w:rFonts w:ascii="Arial" w:cs="Arial" w:eastAsia="Arial" w:hAnsi="Arial"/>
          <w:sz w:val="22"/>
          <w:szCs w:val="22"/>
          <w:color w:val="auto"/>
        </w:rPr>
        <w:t>“Notwithstanding the foregoing, Product Trademarks shall, from and after the Transition Date, exclude all Praluent Product Trademarks (as defined in the Praluent Agreement).”</w:t>
      </w:r>
    </w:p>
    <w:p>
      <w:pPr>
        <w:spacing w:after="0" w:line="207" w:lineRule="exact"/>
        <w:rPr>
          <w:rFonts w:ascii="Arial" w:cs="Arial" w:eastAsia="Arial" w:hAnsi="Arial"/>
          <w:sz w:val="22"/>
          <w:szCs w:val="22"/>
          <w:color w:val="auto"/>
        </w:rPr>
      </w:pPr>
    </w:p>
    <w:p>
      <w:pPr>
        <w:ind w:left="220" w:hanging="212"/>
        <w:spacing w:after="0"/>
        <w:tabs>
          <w:tab w:leader="none" w:pos="2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and Agreements. </w:t>
      </w:r>
      <w:r>
        <w:rPr>
          <w:rFonts w:ascii="Arial" w:cs="Arial" w:eastAsia="Arial" w:hAnsi="Arial"/>
          <w:sz w:val="22"/>
          <w:szCs w:val="22"/>
          <w:color w:val="auto"/>
        </w:rPr>
        <w:t>The Parties acknowledge and agree that:</w:t>
      </w:r>
    </w:p>
    <w:p>
      <w:pPr>
        <w:spacing w:after="0" w:line="233" w:lineRule="exact"/>
        <w:rPr>
          <w:sz w:val="20"/>
          <w:szCs w:val="20"/>
          <w:color w:val="auto"/>
        </w:rPr>
      </w:pPr>
    </w:p>
    <w:p>
      <w:pPr>
        <w:ind w:right="140" w:firstLine="648"/>
        <w:spacing w:after="0" w:line="280"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From and after the Transition Date, (i) each Party’s rights and obligations with respect to the Praluent LCA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as set forth in the Praluent Agreement (including, without limitation, the Tech Transfer Plans (as defined in the Praluent Agreement)), except to the extent expressly set forth in the LCA (including as amended by this Third Amendment); and (ii) the Praluent LCA Products shall not be Licensed Products. Notwithstanding anything herein or in the LCA to the contrary, the LCA shall continue to govern any existing or future disputes in respect of any payments made, owed or alleged to be owed, in each case, by either Party under the LCA with respect to the Praluent LCA Products.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From and after the Transition Date, [* * *] for purposes of the definition of “Competing Product.”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From and after the Transition Date, no Committee shall have jurisdiction with respect to the Praluent LCA Products.</w:t>
      </w:r>
    </w:p>
    <w:p>
      <w:pPr>
        <w:spacing w:after="0" w:line="268" w:lineRule="exact"/>
        <w:rPr>
          <w:sz w:val="20"/>
          <w:szCs w:val="20"/>
          <w:color w:val="auto"/>
        </w:rPr>
      </w:pPr>
    </w:p>
    <w:p>
      <w:pPr>
        <w:ind w:right="420" w:firstLine="648"/>
        <w:spacing w:after="0" w:line="243" w:lineRule="auto"/>
        <w:rPr>
          <w:sz w:val="20"/>
          <w:szCs w:val="20"/>
          <w:color w:val="auto"/>
        </w:rPr>
      </w:pPr>
      <w:r>
        <w:rPr>
          <w:rFonts w:ascii="Arial" w:cs="Arial" w:eastAsia="Arial" w:hAnsi="Arial"/>
          <w:sz w:val="22"/>
          <w:szCs w:val="22"/>
          <w:b w:val="1"/>
          <w:bCs w:val="1"/>
          <w:color w:val="auto"/>
        </w:rPr>
        <w:t xml:space="preserve">3.4. </w:t>
      </w:r>
      <w:r>
        <w:rPr>
          <w:rFonts w:ascii="Arial" w:cs="Arial" w:eastAsia="Arial" w:hAnsi="Arial"/>
          <w:sz w:val="22"/>
          <w:szCs w:val="22"/>
          <w:color w:val="auto"/>
        </w:rPr>
        <w:t>All licenses granted under Sections 4.1, 4.2, 11.5 and 11.6 of the LCA with respect to the Praluent LCA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shall terminate as of the Transition Date and from and after the Transition Date licenses with respect to the Praluent LCA Products shall be governed by the Praluent Agreement.</w:t>
      </w:r>
    </w:p>
    <w:p>
      <w:pPr>
        <w:sectPr>
          <w:pgSz w:w="11900" w:h="16838" w:orient="portrait"/>
          <w:cols w:equalWidth="0" w:num="1">
            <w:col w:w="11220"/>
          </w:cols>
          <w:pgMar w:left="320" w:top="1414" w:right="359" w:bottom="1440" w:gutter="0" w:footer="0" w:header="0"/>
        </w:sectPr>
      </w:pPr>
    </w:p>
    <w:bookmarkStart w:id="92" w:name="page93"/>
    <w:bookmarkEnd w:id="92"/>
    <w:p>
      <w:pPr>
        <w:ind w:right="80" w:firstLine="648"/>
        <w:spacing w:after="0" w:line="235"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color w:val="auto"/>
        </w:rPr>
        <w:t>No costs, expenses or taxes incurred by either Party from and after the Transition Date with respect to a Praluent</w:t>
      </w:r>
      <w:r>
        <w:rPr>
          <w:rFonts w:ascii="Arial" w:cs="Arial" w:eastAsia="Arial" w:hAnsi="Arial"/>
          <w:sz w:val="22"/>
          <w:szCs w:val="22"/>
          <w:b w:val="1"/>
          <w:bCs w:val="1"/>
          <w:color w:val="auto"/>
        </w:rPr>
        <w:t xml:space="preserve"> </w:t>
      </w:r>
      <w:r>
        <w:rPr>
          <w:rFonts w:ascii="Arial" w:cs="Arial" w:eastAsia="Arial" w:hAnsi="Arial"/>
          <w:sz w:val="22"/>
          <w:szCs w:val="22"/>
          <w:color w:val="auto"/>
        </w:rPr>
        <w:t>LCA Product will be included in, or otherwise taken into account in, the definitions of “Clinical Supply Cost”, “Commercial Overhead Charge”, “Commercial Supply Cost”, “Development Balance”, “Development Cost”, “Medical Post-Approval Costs”, “Other Shared Expenses”, “Regeneron Reimbursement Amount”, “Sales Force Costs”, “Shared Commercial Expenses” or “Shared Phase 3 Trial Costs” under the LCA. However, for avoidance of doubt, this provision shall not affect any portion of the Development Balance based on amounts incurred prior to the Transition Date, whether or not with respect to Praluent LCA Products.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color w:val="auto"/>
        </w:rPr>
        <w:t>From and after the Transition Date, there are no Country/Region Commercialization Budgets, Country/Region</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Plans, Development Plans, Initial Development Plans, Manufacturing Plans, Global Commercialization Budgets, Global Commercialization Plans, Global Development Budgets, Global Development Plans, interim budgets, budgets or Plans under the LCA for the Praluent LCA Products.</w:t>
      </w:r>
    </w:p>
    <w:p>
      <w:pPr>
        <w:spacing w:after="0" w:line="207" w:lineRule="exact"/>
        <w:rPr>
          <w:sz w:val="20"/>
          <w:szCs w:val="20"/>
          <w:color w:val="auto"/>
        </w:rPr>
      </w:pPr>
    </w:p>
    <w:p>
      <w:pPr>
        <w:jc w:val="both"/>
        <w:ind w:right="260" w:firstLine="648"/>
        <w:spacing w:after="0" w:line="334" w:lineRule="auto"/>
        <w:rPr>
          <w:sz w:val="20"/>
          <w:szCs w:val="20"/>
          <w:color w:val="auto"/>
        </w:rPr>
      </w:pPr>
      <w:r>
        <w:rPr>
          <w:rFonts w:ascii="Arial" w:cs="Arial" w:eastAsia="Arial" w:hAnsi="Arial"/>
          <w:sz w:val="19"/>
          <w:szCs w:val="19"/>
          <w:b w:val="1"/>
          <w:bCs w:val="1"/>
          <w:color w:val="auto"/>
        </w:rPr>
        <w:t xml:space="preserve">3.7. </w:t>
      </w:r>
      <w:r>
        <w:rPr>
          <w:rFonts w:ascii="Arial" w:cs="Arial" w:eastAsia="Arial" w:hAnsi="Arial"/>
          <w:sz w:val="19"/>
          <w:szCs w:val="19"/>
          <w:color w:val="auto"/>
        </w:rPr>
        <w:t>From and after the Transition Date, the Parties rights and obligations for manufacturing and supplying the Praluent</w:t>
      </w:r>
      <w:r>
        <w:rPr>
          <w:rFonts w:ascii="Arial" w:cs="Arial" w:eastAsia="Arial" w:hAnsi="Arial"/>
          <w:sz w:val="19"/>
          <w:szCs w:val="19"/>
          <w:b w:val="1"/>
          <w:bCs w:val="1"/>
          <w:color w:val="auto"/>
        </w:rPr>
        <w:t xml:space="preserve"> </w:t>
      </w:r>
      <w:r>
        <w:rPr>
          <w:rFonts w:ascii="Arial" w:cs="Arial" w:eastAsia="Arial" w:hAnsi="Arial"/>
          <w:sz w:val="19"/>
          <w:szCs w:val="19"/>
          <w:color w:val="auto"/>
        </w:rPr>
        <w:t>LCA Products shall be as set forth in the Praluent Agreement and any supply agreements entered into in connection therewith.</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3.8. </w:t>
      </w:r>
      <w:r>
        <w:rPr>
          <w:rFonts w:ascii="Arial" w:cs="Arial" w:eastAsia="Arial" w:hAnsi="Arial"/>
          <w:sz w:val="22"/>
          <w:szCs w:val="22"/>
          <w:color w:val="auto"/>
        </w:rPr>
        <w:t>From and after the Transition Date:</w:t>
      </w:r>
    </w:p>
    <w:p>
      <w:pPr>
        <w:spacing w:after="0" w:line="239" w:lineRule="exact"/>
        <w:rPr>
          <w:sz w:val="20"/>
          <w:szCs w:val="20"/>
          <w:color w:val="auto"/>
        </w:rPr>
      </w:pPr>
    </w:p>
    <w:p>
      <w:pPr>
        <w:ind w:right="20" w:firstLine="1304"/>
        <w:spacing w:after="0" w:line="297" w:lineRule="auto"/>
        <w:tabs>
          <w:tab w:leader="none" w:pos="1590"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Regeneron Know-How excludes any Know-How owned by, licensed to or otherwise held by Regeneron or any of its Affiliates with the right to sublicense the same that relates to a Praluent LCA Product and does not relate to a Licensed Product (taking into account the exclusion of Praluent LCA Products from the definition of Licensed Products) in the Field.</w:t>
      </w:r>
    </w:p>
    <w:p>
      <w:pPr>
        <w:spacing w:after="0" w:line="160" w:lineRule="exact"/>
        <w:rPr>
          <w:rFonts w:ascii="Arial" w:cs="Arial" w:eastAsia="Arial" w:hAnsi="Arial"/>
          <w:sz w:val="19"/>
          <w:szCs w:val="19"/>
          <w:color w:val="auto"/>
        </w:rPr>
      </w:pPr>
    </w:p>
    <w:p>
      <w:pPr>
        <w:ind w:right="140" w:firstLine="1304"/>
        <w:spacing w:after="0" w:line="236" w:lineRule="auto"/>
        <w:tabs>
          <w:tab w:leader="none" w:pos="1602"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Regeneron Patent Rights exclude any Patent Rights owned by, licensed to or otherwise held by Regeneron or any of its Affiliates with the right to sublicense the same that include at least one Valid Claim that would be infringed by the Development, Manufacture or Commercialization of a Praluent LCA Product and would not be infringed by the Development, Manufacture or Commercialization of a Licensed Product (taking into account the exclusion of Praluent LCA Products from the definition of Licensed Products) in the Field.</w:t>
      </w:r>
    </w:p>
    <w:p>
      <w:pPr>
        <w:spacing w:after="0" w:line="214" w:lineRule="exact"/>
        <w:rPr>
          <w:rFonts w:ascii="Arial" w:cs="Arial" w:eastAsia="Arial" w:hAnsi="Arial"/>
          <w:sz w:val="22"/>
          <w:szCs w:val="22"/>
          <w:color w:val="auto"/>
        </w:rPr>
      </w:pPr>
    </w:p>
    <w:p>
      <w:pPr>
        <w:jc w:val="both"/>
        <w:ind w:right="220" w:firstLine="1304"/>
        <w:spacing w:after="0" w:line="297" w:lineRule="auto"/>
        <w:tabs>
          <w:tab w:leader="none" w:pos="1590" w:val="left"/>
        </w:tabs>
        <w:numPr>
          <w:ilvl w:val="0"/>
          <w:numId w:val="45"/>
        </w:numPr>
        <w:rPr>
          <w:rFonts w:ascii="Arial" w:cs="Arial" w:eastAsia="Arial" w:hAnsi="Arial"/>
          <w:sz w:val="19"/>
          <w:szCs w:val="19"/>
          <w:color w:val="auto"/>
        </w:rPr>
      </w:pPr>
      <w:r>
        <w:rPr>
          <w:rFonts w:ascii="Arial" w:cs="Arial" w:eastAsia="Arial" w:hAnsi="Arial"/>
          <w:sz w:val="19"/>
          <w:szCs w:val="19"/>
          <w:color w:val="auto"/>
        </w:rPr>
        <w:t>Sanofi Know-How excludes any Know-How owned by, licensed to or otherwise held by Sanofi or any of its Affiliates with the right to sublicense the same that relates to a Praluent LCA Product and does not relate to a Licensed Product (taking into account the exclusion of Praluent LCA Products from the definition of Licensed Products) in the Field.</w:t>
      </w:r>
    </w:p>
    <w:p>
      <w:pPr>
        <w:spacing w:after="0" w:line="160" w:lineRule="exact"/>
        <w:rPr>
          <w:rFonts w:ascii="Arial" w:cs="Arial" w:eastAsia="Arial" w:hAnsi="Arial"/>
          <w:sz w:val="19"/>
          <w:szCs w:val="19"/>
          <w:color w:val="auto"/>
        </w:rPr>
      </w:pPr>
    </w:p>
    <w:p>
      <w:pPr>
        <w:ind w:right="60" w:firstLine="1304"/>
        <w:spacing w:after="0" w:line="236" w:lineRule="auto"/>
        <w:tabs>
          <w:tab w:leader="none" w:pos="1602" w:val="left"/>
        </w:tabs>
        <w:numPr>
          <w:ilvl w:val="0"/>
          <w:numId w:val="45"/>
        </w:numPr>
        <w:rPr>
          <w:rFonts w:ascii="Arial" w:cs="Arial" w:eastAsia="Arial" w:hAnsi="Arial"/>
          <w:sz w:val="22"/>
          <w:szCs w:val="22"/>
          <w:color w:val="auto"/>
        </w:rPr>
      </w:pPr>
      <w:r>
        <w:rPr>
          <w:rFonts w:ascii="Arial" w:cs="Arial" w:eastAsia="Arial" w:hAnsi="Arial"/>
          <w:sz w:val="22"/>
          <w:szCs w:val="22"/>
          <w:color w:val="auto"/>
        </w:rPr>
        <w:t>Sanofi Patent Rights exclude any Patent Rights owned by, licensed to or otherwise held by Sanofi or any of its Affiliates with the right to sublicense the same that include at least one Valid Claim that would be infringed by the Development, Manufacture or Commercialization of a Praluent LCA Product and would not be infringed by the Development, Manufacture or Commercialization of a Licensed Product (taking into account the exclusion of Praluent LCA Products from the definition of Licensed Products) in the Field.</w:t>
      </w:r>
    </w:p>
    <w:p>
      <w:pPr>
        <w:sectPr>
          <w:pgSz w:w="11900" w:h="16838" w:orient="portrait"/>
          <w:cols w:equalWidth="0" w:num="1">
            <w:col w:w="11220"/>
          </w:cols>
          <w:pgMar w:left="320" w:top="1408" w:right="359" w:bottom="1440" w:gutter="0" w:footer="0" w:header="0"/>
        </w:sectPr>
      </w:pPr>
    </w:p>
    <w:bookmarkStart w:id="93" w:name="page94"/>
    <w:bookmarkEnd w:id="93"/>
    <w:p>
      <w:pPr>
        <w:ind w:right="260" w:firstLine="1304"/>
        <w:spacing w:after="0" w:line="234" w:lineRule="auto"/>
        <w:tabs>
          <w:tab w:leader="none" w:pos="1578"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Patent Rights that exist as of the Transition Date, cover a Joint Invention and are related to a Praluent LCA Product and are not related to a Licensed Product (taking into account the exclusion of Praluent LCA Products from the definition of Licensed Products) shall be excluded from Joint Patent Rights and shall be governed by the terms of the Praluent Agreement.</w:t>
      </w:r>
    </w:p>
    <w:p>
      <w:pPr>
        <w:spacing w:after="0" w:line="3" w:lineRule="exact"/>
        <w:rPr>
          <w:rFonts w:ascii="Arial" w:cs="Arial" w:eastAsia="Arial" w:hAnsi="Arial"/>
          <w:sz w:val="22"/>
          <w:szCs w:val="22"/>
          <w:color w:val="auto"/>
        </w:rPr>
      </w:pPr>
    </w:p>
    <w:p>
      <w:pPr>
        <w:ind w:right="460" w:firstLine="1304"/>
        <w:spacing w:after="0" w:line="234" w:lineRule="auto"/>
        <w:tabs>
          <w:tab w:leader="none" w:pos="1566"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Party’s rights under Section 12.1(f) of the LCA with respect to Joint Inventions that are Covered (as defined in the Praluent Agreement) by a Joint Patent (as defined in the Praluent Agreement) shall be subject to the licenses granted by the Parties under Sections 2.1 and 2.2 of the Praluent Agreement.</w:t>
      </w:r>
    </w:p>
    <w:p>
      <w:pPr>
        <w:spacing w:after="0" w:line="208" w:lineRule="exact"/>
        <w:rPr>
          <w:sz w:val="20"/>
          <w:szCs w:val="20"/>
          <w:color w:val="auto"/>
        </w:rPr>
      </w:pPr>
    </w:p>
    <w:p>
      <w:pPr>
        <w:ind w:right="140" w:firstLine="648"/>
        <w:spacing w:after="0" w:line="280" w:lineRule="auto"/>
        <w:rPr>
          <w:sz w:val="20"/>
          <w:szCs w:val="20"/>
          <w:color w:val="auto"/>
        </w:rPr>
      </w:pPr>
      <w:r>
        <w:rPr>
          <w:rFonts w:ascii="Arial" w:cs="Arial" w:eastAsia="Arial" w:hAnsi="Arial"/>
          <w:sz w:val="21"/>
          <w:szCs w:val="21"/>
          <w:b w:val="1"/>
          <w:bCs w:val="1"/>
          <w:color w:val="auto"/>
        </w:rPr>
        <w:t xml:space="preserve">3.9. </w:t>
      </w:r>
      <w:r>
        <w:rPr>
          <w:rFonts w:ascii="Arial" w:cs="Arial" w:eastAsia="Arial" w:hAnsi="Arial"/>
          <w:sz w:val="21"/>
          <w:szCs w:val="21"/>
          <w:color w:val="auto"/>
        </w:rPr>
        <w:t>The Praluent LCA Products are not Terminated Licensed Products and the provisions of Section 19.2, Section 19.7,</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19.8 and Schedules 4 and 5 of the LCA shall not apply with respect to Praluent LCA Products.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Amendments to Certain Provisions of the LCA.</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4.1. Amendment to Section 9.5(c)</w:t>
      </w:r>
      <w:r>
        <w:rPr>
          <w:rFonts w:ascii="Arial" w:cs="Arial" w:eastAsia="Arial" w:hAnsi="Arial"/>
          <w:sz w:val="21"/>
          <w:szCs w:val="21"/>
          <w:color w:val="auto"/>
        </w:rPr>
        <w:t>. Section 9.5(c) of the LCA is hereby amended to read in its entirety as follows:</w:t>
      </w:r>
    </w:p>
    <w:p>
      <w:pPr>
        <w:spacing w:after="0" w:line="251"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“Within forty-five (45) days following the end of each Quarter, commencing with the Quarter in which First Commercial Sale occurs, Sanofi shall deliver electronically to Regeneron a written report setting forth, on a country-by-country basis in the Territory for such Quarter the Net Sales of (i) each Licensed Product and (ii) from and after the Transition Date, each Praluent License Agreement Product, in each case ((i) and (ii)), in local currency and in United States Dollars;”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4.2. Amendment to Section 9.14. </w:t>
      </w:r>
      <w:r>
        <w:rPr>
          <w:rFonts w:ascii="Arial" w:cs="Arial" w:eastAsia="Arial" w:hAnsi="Arial"/>
          <w:sz w:val="21"/>
          <w:szCs w:val="21"/>
          <w:color w:val="auto"/>
        </w:rPr>
        <w:t>Section 9.14 of the LCA is hereby amended to read in its entirety as follows:</w:t>
      </w:r>
    </w:p>
    <w:p>
      <w:pPr>
        <w:spacing w:after="0" w:line="251" w:lineRule="exact"/>
        <w:rPr>
          <w:sz w:val="20"/>
          <w:szCs w:val="20"/>
          <w:color w:val="auto"/>
        </w:rPr>
      </w:pPr>
    </w:p>
    <w:p>
      <w:pPr>
        <w:ind w:right="38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 Double Counting</w:t>
      </w:r>
      <w:r>
        <w:rPr>
          <w:rFonts w:ascii="Arial" w:cs="Arial" w:eastAsia="Arial" w:hAnsi="Arial"/>
          <w:sz w:val="22"/>
          <w:szCs w:val="22"/>
          <w:color w:val="auto"/>
        </w:rPr>
        <w:t>. Any specific cost or expense paid or reimbursed under this Agreement, the Praluent Agreement or any Ancillary Collaboration Agreements shall be paid or reimbursed only once so as to avoid any “double counting,” regardless of whether such cost or expense is reflected in more than one plan or budget under this Agreement, the Praluent Agreement or the Ancillary Collaboration Agreements.”</w:t>
      </w:r>
    </w:p>
    <w:p>
      <w:pPr>
        <w:spacing w:after="0" w:line="206"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b w:val="1"/>
          <w:bCs w:val="1"/>
          <w:color w:val="auto"/>
        </w:rPr>
        <w:t>4.3. Amendment to Section 12.1(b)</w:t>
      </w:r>
      <w:r>
        <w:rPr>
          <w:rFonts w:ascii="Arial" w:cs="Arial" w:eastAsia="Arial" w:hAnsi="Arial"/>
          <w:sz w:val="22"/>
          <w:szCs w:val="22"/>
          <w:color w:val="auto"/>
        </w:rPr>
        <w:t>. Section 12.1(b) of the LCA is hereby amended by adding the following sentence</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last sentence of Section 12.1(b) of the LCA:</w:t>
      </w:r>
    </w:p>
    <w:p>
      <w:pPr>
        <w:spacing w:after="0" w:line="195" w:lineRule="exact"/>
        <w:rPr>
          <w:sz w:val="20"/>
          <w:szCs w:val="20"/>
          <w:color w:val="auto"/>
        </w:rPr>
      </w:pPr>
    </w:p>
    <w:p>
      <w:pPr>
        <w:ind w:right="220" w:firstLine="1296"/>
        <w:spacing w:after="0" w:line="252" w:lineRule="auto"/>
        <w:rPr>
          <w:sz w:val="20"/>
          <w:szCs w:val="20"/>
          <w:color w:val="auto"/>
        </w:rPr>
      </w:pPr>
      <w:r>
        <w:rPr>
          <w:rFonts w:ascii="Arial" w:cs="Arial" w:eastAsia="Arial" w:hAnsi="Arial"/>
          <w:sz w:val="21"/>
          <w:szCs w:val="21"/>
          <w:color w:val="auto"/>
        </w:rPr>
        <w:t>“From and after the Transition Date, Joint Inventions discovered, invented, authored or otherwise created under the Collaboration prior to the Transition Date that relate to a Praluent LCA Product and are not related to a Licensed Product (taking into account the exclusion of Praluent LCA Products from the definition of Licensed Products) shall be excluded from Joint Inventions hereunder and shall be governed by the Praluent Agreement.”</w:t>
      </w:r>
    </w:p>
    <w:p>
      <w:pPr>
        <w:spacing w:after="0" w:line="195" w:lineRule="exact"/>
        <w:rPr>
          <w:sz w:val="20"/>
          <w:szCs w:val="20"/>
          <w:color w:val="auto"/>
        </w:rPr>
      </w:pPr>
    </w:p>
    <w:p>
      <w:pPr>
        <w:ind w:right="380" w:firstLine="648"/>
        <w:spacing w:after="0" w:line="256" w:lineRule="auto"/>
        <w:rPr>
          <w:sz w:val="20"/>
          <w:szCs w:val="20"/>
          <w:color w:val="auto"/>
        </w:rPr>
      </w:pPr>
      <w:r>
        <w:rPr>
          <w:rFonts w:ascii="Arial" w:cs="Arial" w:eastAsia="Arial" w:hAnsi="Arial"/>
          <w:sz w:val="22"/>
          <w:szCs w:val="22"/>
          <w:b w:val="1"/>
          <w:bCs w:val="1"/>
          <w:color w:val="auto"/>
        </w:rPr>
        <w:t>4.4. Addition of Section 14.4</w:t>
      </w:r>
      <w:r>
        <w:rPr>
          <w:rFonts w:ascii="Arial" w:cs="Arial" w:eastAsia="Arial" w:hAnsi="Arial"/>
          <w:sz w:val="22"/>
          <w:szCs w:val="22"/>
          <w:color w:val="auto"/>
        </w:rPr>
        <w:t>. New Section 14.4 of the LCA is hereby added after Section 14.3 of the LCA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as follows:</w:t>
      </w:r>
    </w:p>
    <w:p>
      <w:pPr>
        <w:sectPr>
          <w:pgSz w:w="11900" w:h="16838" w:orient="portrait"/>
          <w:cols w:equalWidth="0" w:num="1">
            <w:col w:w="11160"/>
          </w:cols>
          <w:pgMar w:left="320" w:top="1414" w:right="419" w:bottom="1440" w:gutter="0" w:footer="0" w:header="0"/>
        </w:sectPr>
      </w:pPr>
    </w:p>
    <w:bookmarkStart w:id="94" w:name="page95"/>
    <w:bookmarkEnd w:id="94"/>
    <w:p>
      <w:pPr>
        <w:spacing w:after="0" w:line="218" w:lineRule="exact"/>
        <w:rPr>
          <w:sz w:val="20"/>
          <w:szCs w:val="20"/>
          <w:color w:val="auto"/>
        </w:rPr>
      </w:pPr>
    </w:p>
    <w:p>
      <w:pPr>
        <w:ind w:right="2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Praluent LCA Products</w:t>
      </w:r>
      <w:r>
        <w:rPr>
          <w:rFonts w:ascii="Arial" w:cs="Arial" w:eastAsia="Arial" w:hAnsi="Arial"/>
          <w:sz w:val="22"/>
          <w:szCs w:val="22"/>
          <w:color w:val="auto"/>
        </w:rPr>
        <w:t>. The provisions of Section 14.1 and Section 14.2 shall continue to apply with respect to books and records regarding sales of, or costs and expenses incurred with respect to, Praluent LCA Products prior to the Transition Date.”</w:t>
      </w:r>
    </w:p>
    <w:p>
      <w:pPr>
        <w:spacing w:after="0" w:line="207"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4.5. Amendment to Section 15.4</w:t>
      </w:r>
      <w:r>
        <w:rPr>
          <w:rFonts w:ascii="Arial" w:cs="Arial" w:eastAsia="Arial" w:hAnsi="Arial"/>
          <w:sz w:val="22"/>
          <w:szCs w:val="22"/>
          <w:color w:val="auto"/>
        </w:rPr>
        <w:t>. Section 15.4 of the LCA is hereby amended by adding the following sentence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sentence of Section 15.4 of the LCA:</w:t>
      </w:r>
    </w:p>
    <w:p>
      <w:pPr>
        <w:spacing w:after="0" w:line="19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“FROM AND AFTER THE TRANSITION DATE, THE FOREGOING DISCLAIMER CONTINUES TO APPLY WITH RESPECT TO PRALUENT LCA PRODUCTS PRIOR TO THE TRANSITION DATE.”</w:t>
      </w:r>
    </w:p>
    <w:p>
      <w:pPr>
        <w:spacing w:after="0" w:line="19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4.6. Amendment to Section 16.1</w:t>
      </w:r>
      <w:r>
        <w:rPr>
          <w:rFonts w:ascii="Arial" w:cs="Arial" w:eastAsia="Arial" w:hAnsi="Arial"/>
          <w:sz w:val="22"/>
          <w:szCs w:val="22"/>
          <w:color w:val="auto"/>
        </w:rPr>
        <w:t>. Section 16.1 of the LCA is hereby amended by adding the following sentence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sentence of Section 16.1 of the LCA:</w:t>
      </w:r>
    </w:p>
    <w:p>
      <w:pPr>
        <w:spacing w:after="0" w:line="195" w:lineRule="exact"/>
        <w:rPr>
          <w:sz w:val="20"/>
          <w:szCs w:val="20"/>
          <w:color w:val="auto"/>
        </w:rPr>
      </w:pPr>
    </w:p>
    <w:p>
      <w:pPr>
        <w:ind w:right="120" w:firstLine="1296"/>
        <w:spacing w:after="0" w:line="249" w:lineRule="auto"/>
        <w:rPr>
          <w:sz w:val="20"/>
          <w:szCs w:val="20"/>
          <w:color w:val="auto"/>
        </w:rPr>
      </w:pPr>
      <w:r>
        <w:rPr>
          <w:rFonts w:ascii="Arial" w:cs="Arial" w:eastAsia="Arial" w:hAnsi="Arial"/>
          <w:sz w:val="21"/>
          <w:szCs w:val="21"/>
          <w:color w:val="auto"/>
        </w:rPr>
        <w:t>“Notwithstanding the foregoing, nothing herein will prohibit either Party from using any Know-How that is (x) related to any Praluent License Agreement Product and (y) included in the definition of (1) Party Information or (2) New Information, in each case ((x) and (y)) in connection with the Praluent License Agreement Products pursuant to the Praluent Agreement as if such Know-How were Party Information (as defined in the Praluent Agreement) (in the case of clause (y)(1)) or Existing Joint Know-How (as defined in the Praluent Agreement) (in the case of clause (y)(2)).”</w:t>
      </w:r>
    </w:p>
    <w:p>
      <w:pPr>
        <w:spacing w:after="0" w:line="199"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4.7. Amendment to Section 16.4</w:t>
      </w:r>
      <w:r>
        <w:rPr>
          <w:rFonts w:ascii="Arial" w:cs="Arial" w:eastAsia="Arial" w:hAnsi="Arial"/>
          <w:sz w:val="22"/>
          <w:szCs w:val="22"/>
          <w:color w:val="auto"/>
        </w:rPr>
        <w:t>. Section 16.4 of the LCA is hereby amended by adding the following sentence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sentence of Section 16.4 of the LCA:</w:t>
      </w:r>
    </w:p>
    <w:p>
      <w:pPr>
        <w:spacing w:after="0" w:line="195" w:lineRule="exact"/>
        <w:rPr>
          <w:sz w:val="20"/>
          <w:szCs w:val="20"/>
          <w:color w:val="auto"/>
        </w:rPr>
      </w:pPr>
    </w:p>
    <w:p>
      <w:pPr>
        <w:jc w:val="both"/>
        <w:ind w:right="340" w:firstLine="1296"/>
        <w:spacing w:after="0"/>
        <w:rPr>
          <w:sz w:val="20"/>
          <w:szCs w:val="20"/>
          <w:color w:val="auto"/>
        </w:rPr>
      </w:pPr>
      <w:r>
        <w:rPr>
          <w:rFonts w:ascii="Arial" w:cs="Arial" w:eastAsia="Arial" w:hAnsi="Arial"/>
          <w:sz w:val="22"/>
          <w:szCs w:val="22"/>
          <w:color w:val="auto"/>
        </w:rPr>
        <w:t>“Notwithstanding the foregoing, the obligations and restrictions imposed upon the Parties by this Section 16.4 shall not apply with respect to any press release relating to the restructuring of this Agreement in connection with the Praluent Agreement, which press release shall be governed by the Praluent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4.8. Amendment to Section 17.1</w:t>
      </w:r>
      <w:r>
        <w:rPr>
          <w:rFonts w:ascii="Arial" w:cs="Arial" w:eastAsia="Arial" w:hAnsi="Arial"/>
          <w:sz w:val="19"/>
          <w:szCs w:val="19"/>
          <w:color w:val="auto"/>
        </w:rPr>
        <w:t>. Section 17.1 of the LCA is hereby amended by adding the following clause after clause</w:t>
      </w:r>
    </w:p>
    <w:p>
      <w:pPr>
        <w:spacing w:after="0" w:line="49"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of Section 17.1 of the LCA:</w:t>
      </w:r>
    </w:p>
    <w:p>
      <w:pPr>
        <w:spacing w:after="0" w:line="21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w:t>
      </w:r>
    </w:p>
    <w:p>
      <w:pPr>
        <w:spacing w:after="0" w:line="233" w:lineRule="exact"/>
        <w:rPr>
          <w:rFonts w:ascii="Arial" w:cs="Arial" w:eastAsia="Arial" w:hAnsi="Arial"/>
          <w:sz w:val="22"/>
          <w:szCs w:val="22"/>
          <w:color w:val="auto"/>
        </w:rPr>
      </w:pPr>
    </w:p>
    <w:p>
      <w:pPr>
        <w:ind w:left="660" w:firstLine="1292"/>
        <w:spacing w:after="0" w:line="275" w:lineRule="auto"/>
        <w:tabs>
          <w:tab w:leader="none" w:pos="2214" w:val="left"/>
        </w:tabs>
        <w:numPr>
          <w:ilvl w:val="1"/>
          <w:numId w:val="47"/>
        </w:numPr>
        <w:rPr>
          <w:rFonts w:ascii="Arial" w:cs="Arial" w:eastAsia="Arial" w:hAnsi="Arial"/>
          <w:sz w:val="19"/>
          <w:szCs w:val="19"/>
          <w:color w:val="auto"/>
        </w:rPr>
      </w:pPr>
      <w:r>
        <w:rPr>
          <w:rFonts w:ascii="Arial" w:cs="Arial" w:eastAsia="Arial" w:hAnsi="Arial"/>
          <w:sz w:val="19"/>
          <w:szCs w:val="19"/>
          <w:color w:val="auto"/>
        </w:rPr>
        <w:t>From and after the Transition Date, (A) all Third Party claims relating to Praluent LCA Products that (1) are due to or based upon any act or occurrence on or after the Transition Date or (2) are Special Claims (as defined in the Praluent Agreement), in each case ((1) and (2)), shall be governed by the Praluent Agreement (which agreement, with respect to certain Special Claims, allocates applicable Damages (other than Litigation Costs (as defined below)) as they would have been shared under this Agreement as in effect immediately prior to the Transition Date) and (B) other than Special Claims (which are governed by the applicable provisions of the Praluent Agreement), all claims relating to Praluent LCA Products that are due to or based upon any act or occurrence prior to the Transition Date shall be governed by the terms of this Agreement as in effect immediately prior to the Transition Date.</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18" w:lineRule="exact"/>
        <w:rPr>
          <w:sz w:val="20"/>
          <w:szCs w:val="20"/>
          <w:color w:val="auto"/>
        </w:rPr>
      </w:pPr>
    </w:p>
    <w:p>
      <w:pPr>
        <w:ind w:left="660" w:right="80" w:firstLine="1296"/>
        <w:spacing w:after="0" w:line="287" w:lineRule="auto"/>
        <w:rPr>
          <w:sz w:val="20"/>
          <w:szCs w:val="20"/>
          <w:color w:val="auto"/>
        </w:rPr>
      </w:pPr>
      <w:r>
        <w:rPr>
          <w:rFonts w:ascii="Arial" w:cs="Arial" w:eastAsia="Arial" w:hAnsi="Arial"/>
          <w:sz w:val="19"/>
          <w:szCs w:val="19"/>
          <w:color w:val="auto"/>
        </w:rPr>
        <w:t>(ii)If any Third Party claim that is not a Special Claim relates to a Praluent LCA Product and is due to acts or occurrences both prior to and on or after the Transition Date and would therefore be subject to indemnity under both this Agreement and the Praluent Agreement, the provisions of Section 17.2 of this Agreement and Section 14.2 of the Praluent Agreement shall not apply with respect to the defense of such claim and:</w:t>
      </w:r>
    </w:p>
    <w:p>
      <w:pPr>
        <w:spacing w:after="0" w:line="170" w:lineRule="exact"/>
        <w:rPr>
          <w:sz w:val="20"/>
          <w:szCs w:val="20"/>
          <w:color w:val="auto"/>
        </w:rPr>
      </w:pPr>
    </w:p>
    <w:p>
      <w:pPr>
        <w:ind w:left="1300" w:right="20" w:firstLine="1300"/>
        <w:spacing w:after="0" w:line="279" w:lineRule="auto"/>
        <w:tabs>
          <w:tab w:leader="none" w:pos="295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Parties shall cooperate in good faith to establish a mutually agreeable strategy with respect to defending such claim, provided that Sanofi shall have final decision-making authority with respect to any such claim relating to Praluent LCA Products in the Sanofi Territory (as defined in the Praluent Agreement), and Regeneron shall have final decision-making authority with respect to any such claim relating to Praluent LCA Products in the Regeneron Territory (as defined in the Praluent Agreement), provided that neither Party shall settle any such claim without the other Party’s consent, not to be unreasonably withheld, conditioned or delayed;</w:t>
      </w:r>
    </w:p>
    <w:p>
      <w:pPr>
        <w:spacing w:after="0" w:line="177" w:lineRule="exact"/>
        <w:rPr>
          <w:rFonts w:ascii="Arial" w:cs="Arial" w:eastAsia="Arial" w:hAnsi="Arial"/>
          <w:sz w:val="19"/>
          <w:szCs w:val="19"/>
          <w:color w:val="auto"/>
        </w:rPr>
      </w:pPr>
    </w:p>
    <w:p>
      <w:pPr>
        <w:ind w:left="1300" w:right="80" w:firstLine="1300"/>
        <w:spacing w:after="0" w:line="248" w:lineRule="auto"/>
        <w:tabs>
          <w:tab w:leader="none" w:pos="2938" w:val="left"/>
        </w:tabs>
        <w:numPr>
          <w:ilvl w:val="0"/>
          <w:numId w:val="48"/>
        </w:numPr>
        <w:rPr>
          <w:rFonts w:ascii="Arial" w:cs="Arial" w:eastAsia="Arial" w:hAnsi="Arial"/>
          <w:sz w:val="21"/>
          <w:szCs w:val="21"/>
          <w:color w:val="auto"/>
        </w:rPr>
      </w:pPr>
      <w:r>
        <w:rPr>
          <w:rFonts w:ascii="Arial" w:cs="Arial" w:eastAsia="Arial" w:hAnsi="Arial"/>
          <w:sz w:val="21"/>
          <w:szCs w:val="21"/>
          <w:color w:val="auto"/>
        </w:rPr>
        <w:t>(1) if such claim relates to Praluent LCA Products in the Sanofi Territory, then Sanofi shall be solely responsible for the administrative defense costs and expenses (e.g., attorneys’ fees, experts’ fees and court costs) (“</w:t>
      </w:r>
      <w:r>
        <w:rPr>
          <w:rFonts w:ascii="Arial" w:cs="Arial" w:eastAsia="Arial" w:hAnsi="Arial"/>
          <w:sz w:val="21"/>
          <w:szCs w:val="21"/>
          <w:u w:val="single" w:color="auto"/>
          <w:color w:val="auto"/>
        </w:rPr>
        <w:t>Litigation Costs</w:t>
      </w:r>
      <w:r>
        <w:rPr>
          <w:rFonts w:ascii="Arial" w:cs="Arial" w:eastAsia="Arial" w:hAnsi="Arial"/>
          <w:sz w:val="21"/>
          <w:szCs w:val="21"/>
          <w:color w:val="auto"/>
        </w:rPr>
        <w:t>”) with respect thereto and shall reimburse Regeneron for Regeneron’s Litigation Costs for such defense or (2) if such claim relates to Praluent LCA Products in the Regeneron Territory, then Regeneron shall be solely responsible for the Litigation Costs with respect thereto and shall reimburse Sanofi for Sanofi’s Litigation Costs for such defense;</w:t>
      </w:r>
    </w:p>
    <w:p>
      <w:pPr>
        <w:spacing w:after="0" w:line="203" w:lineRule="exact"/>
        <w:rPr>
          <w:rFonts w:ascii="Arial" w:cs="Arial" w:eastAsia="Arial" w:hAnsi="Arial"/>
          <w:sz w:val="21"/>
          <w:szCs w:val="21"/>
          <w:color w:val="auto"/>
        </w:rPr>
      </w:pPr>
    </w:p>
    <w:p>
      <w:pPr>
        <w:ind w:left="1300" w:right="140" w:firstLine="1300"/>
        <w:spacing w:after="0" w:line="257" w:lineRule="auto"/>
        <w:tabs>
          <w:tab w:leader="none" w:pos="2938"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 respect to any Damages (other than Litigation Costs) from such claim allocable to acts or occurrences prior to the Transition Date, the Parties shall share such Damages as they would have been shared under this Agreement as in effect immediately prior to the Transition Date; and</w:t>
      </w:r>
    </w:p>
    <w:p>
      <w:pPr>
        <w:spacing w:after="0" w:line="196" w:lineRule="exact"/>
        <w:rPr>
          <w:rFonts w:ascii="Arial" w:cs="Arial" w:eastAsia="Arial" w:hAnsi="Arial"/>
          <w:sz w:val="21"/>
          <w:szCs w:val="21"/>
          <w:color w:val="auto"/>
        </w:rPr>
      </w:pPr>
    </w:p>
    <w:p>
      <w:pPr>
        <w:ind w:left="1300" w:right="120" w:firstLine="1300"/>
        <w:spacing w:after="0"/>
        <w:tabs>
          <w:tab w:leader="none" w:pos="295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 respect to any Damages (other than Litigation Costs) from such claim allocable to acts or occurrences on or after the Transition Date, each Party’s responsibility for such Damages shall be as set forth in the Praluent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4.9. Amendment to Section 20.4</w:t>
      </w:r>
      <w:r>
        <w:rPr>
          <w:rFonts w:ascii="Arial" w:cs="Arial" w:eastAsia="Arial" w:hAnsi="Arial"/>
          <w:sz w:val="21"/>
          <w:szCs w:val="21"/>
          <w:color w:val="auto"/>
        </w:rPr>
        <w:t>. Section 20.4 of the LCA is hereby amended to read in its entirety as follows:</w:t>
      </w:r>
    </w:p>
    <w:p>
      <w:pPr>
        <w:spacing w:after="0" w:line="251"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“This Agreement, together with the Discovery Agreement, the Praluent Agreement, the Praluent Transition Services Agreement (as defined in the Praluent Agreement) and the Ancillary Agreements, contains the complete understanding of the Parties with respect to the subject matter hereof and thereof and supersedes all prior understandings and writings relating to the subject matter hereof and thereof, provided that the last sentence of Section 14.4 of the Discovery Agreement shall apply with respect to any conflict or inconsistency between this Agreement and the Discovery Agreement. In the event of any conflict between this Agreement and the Praluent Agreement, the Praluent Agreement shall control. Any variation</w:t>
      </w:r>
    </w:p>
    <w:p>
      <w:pPr>
        <w:sectPr>
          <w:pgSz w:w="11900" w:h="16838" w:orient="portrait"/>
          <w:cols w:equalWidth="0" w:num="1">
            <w:col w:w="11220"/>
          </w:cols>
          <w:pgMar w:left="320" w:top="1440" w:right="359" w:bottom="1440" w:gutter="0" w:footer="0" w:header="0"/>
        </w:sectPr>
      </w:pPr>
    </w:p>
    <w:bookmarkStart w:id="96" w:name="page97"/>
    <w:bookmarkEnd w:id="96"/>
    <w:p>
      <w:pPr>
        <w:ind w:right="60"/>
        <w:spacing w:after="0" w:line="257" w:lineRule="auto"/>
        <w:rPr>
          <w:sz w:val="20"/>
          <w:szCs w:val="20"/>
          <w:color w:val="auto"/>
        </w:rPr>
      </w:pPr>
      <w:r>
        <w:rPr>
          <w:rFonts w:ascii="Arial" w:cs="Arial" w:eastAsia="Arial" w:hAnsi="Arial"/>
          <w:sz w:val="21"/>
          <w:szCs w:val="21"/>
          <w:color w:val="auto"/>
        </w:rPr>
        <w:t>between a provision of this Agreement and a corresponding or similar provision of the IO License and Collaboration Agreement, the IO Discovery Agreement or the Praluent Agreement shall not be considered in the interpretation of this Agreement, the IO License and Collaboration Agreement, the IO Discovery Agreement or the Praluent Agreement.”</w:t>
      </w:r>
    </w:p>
    <w:p>
      <w:pPr>
        <w:spacing w:after="0" w:line="190" w:lineRule="exact"/>
        <w:rPr>
          <w:sz w:val="20"/>
          <w:szCs w:val="20"/>
          <w:color w:val="auto"/>
        </w:rPr>
      </w:pPr>
    </w:p>
    <w:p>
      <w:pPr>
        <w:ind w:right="440" w:firstLine="648"/>
        <w:spacing w:after="0" w:line="256" w:lineRule="auto"/>
        <w:rPr>
          <w:sz w:val="20"/>
          <w:szCs w:val="20"/>
          <w:color w:val="auto"/>
        </w:rPr>
      </w:pPr>
      <w:r>
        <w:rPr>
          <w:rFonts w:ascii="Arial" w:cs="Arial" w:eastAsia="Arial" w:hAnsi="Arial"/>
          <w:sz w:val="22"/>
          <w:szCs w:val="22"/>
          <w:b w:val="1"/>
          <w:bCs w:val="1"/>
          <w:color w:val="auto"/>
        </w:rPr>
        <w:t>4.10. Amendment to Schedule 2, Part I</w:t>
      </w:r>
      <w:r>
        <w:rPr>
          <w:rFonts w:ascii="Arial" w:cs="Arial" w:eastAsia="Arial" w:hAnsi="Arial"/>
          <w:sz w:val="22"/>
          <w:szCs w:val="22"/>
          <w:color w:val="auto"/>
        </w:rPr>
        <w:t>. The definition of “U.S. Profits” is hereby amended to read in its entirety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9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Profits</w:t>
      </w:r>
      <w:r>
        <w:rPr>
          <w:rFonts w:ascii="Arial" w:cs="Arial" w:eastAsia="Arial" w:hAnsi="Arial"/>
          <w:sz w:val="19"/>
          <w:szCs w:val="19"/>
          <w:color w:val="auto"/>
        </w:rPr>
        <w:t>” in a Quarter shall mean aggregate Net Sales of all Licensed Products in the U.S. in the Quarter less the sum of (a) aggregate COGS in the U.S. in the Quarter, (b) aggregate Shared Commercial Expenses incurred by both Parties and allocable to the U.S. in the Quarter, and (c) aggregate Other Shared Expenses incurred by both Parties and allocable to, the U.S. in the Quarter; provided, that with respect to the Quarter ending March 31, 2020, provisions or reserves for Praluent LCA Products shall be taken into account for purposes of calculating U.S. Profits for such Quarter [* * *].”</w:t>
      </w:r>
    </w:p>
    <w:p>
      <w:pPr>
        <w:spacing w:after="0" w:line="168"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b w:val="1"/>
          <w:bCs w:val="1"/>
          <w:color w:val="auto"/>
        </w:rPr>
        <w:t>4.11. Amendment to Schedule 2, Part II</w:t>
      </w:r>
      <w:r>
        <w:rPr>
          <w:rFonts w:ascii="Arial" w:cs="Arial" w:eastAsia="Arial" w:hAnsi="Arial"/>
          <w:sz w:val="22"/>
          <w:szCs w:val="22"/>
          <w:color w:val="auto"/>
        </w:rPr>
        <w:t>. Part II of Schedule 2 of the LCA is hereby amended to read in its entirety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 REST OF WORLD PROFIT SPLIT</w:t>
      </w:r>
    </w:p>
    <w:p>
      <w:pPr>
        <w:spacing w:after="0" w:line="233"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The Parties intend to share ROW Profits (as defined below) in each Contract Year (the “</w:t>
      </w:r>
      <w:r>
        <w:rPr>
          <w:rFonts w:ascii="Arial" w:cs="Arial" w:eastAsia="Arial" w:hAnsi="Arial"/>
          <w:sz w:val="21"/>
          <w:szCs w:val="21"/>
          <w:u w:val="single" w:color="auto"/>
          <w:color w:val="auto"/>
        </w:rPr>
        <w:t>Rest of World Profit</w:t>
      </w:r>
      <w:r>
        <w:rPr>
          <w:rFonts w:ascii="Arial" w:cs="Arial" w:eastAsia="Arial" w:hAnsi="Arial"/>
          <w:sz w:val="21"/>
          <w:szCs w:val="21"/>
          <w:color w:val="auto"/>
        </w:rPr>
        <w:t xml:space="preserve"> </w:t>
      </w:r>
      <w:r>
        <w:rPr>
          <w:rFonts w:ascii="Arial" w:cs="Arial" w:eastAsia="Arial" w:hAnsi="Arial"/>
          <w:sz w:val="21"/>
          <w:szCs w:val="21"/>
          <w:u w:val="single" w:color="auto"/>
          <w:color w:val="auto"/>
        </w:rPr>
        <w:t>Split</w:t>
      </w:r>
      <w:r>
        <w:rPr>
          <w:rFonts w:ascii="Arial" w:cs="Arial" w:eastAsia="Arial" w:hAnsi="Arial"/>
          <w:sz w:val="21"/>
          <w:szCs w:val="21"/>
          <w:color w:val="auto"/>
        </w:rPr>
        <w:t>,” defined below) based on the aggregate amount of ROW Profit Split Sales in accordance with the Target ROW Profit Split (defined below). Since the full calculation cannot be done until ROW Profits and ROW Profit Split Sales for the full Contract Year are known, each Quarter, the Parties will calculate an estimated profit split for the Quarter based on ROW Profits and ROW Profit Split Sales for the Quarter and the Applicable ROW Percentages (defined below). Following the end of each Contract Year, the Parties will true-up the quarterly estimates of the Rest of World Profit Split to the Target ROW Profit Split through the ROW Profit Split Annual True-Up calculation (defined below).</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following definitions shall apply to the determination of the Target ROW Profit Split for any Contract Year:</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Tier</w:t>
      </w:r>
      <w:r>
        <w:rPr>
          <w:rFonts w:ascii="Arial" w:cs="Arial" w:eastAsia="Arial" w:hAnsi="Arial"/>
          <w:sz w:val="22"/>
          <w:szCs w:val="22"/>
          <w:color w:val="auto"/>
        </w:rPr>
        <w:t>” means each of Tier 1, Tier 2 or Tier 3, as applicable.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Tier 1</w:t>
      </w:r>
      <w:r>
        <w:rPr>
          <w:rFonts w:ascii="Arial" w:cs="Arial" w:eastAsia="Arial" w:hAnsi="Arial"/>
          <w:sz w:val="22"/>
          <w:szCs w:val="22"/>
          <w:color w:val="auto"/>
        </w:rPr>
        <w:t>” means, for a Contract Year, up to $[* * *] of ROW Profit Split Sales in such Contract Year.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Tier 2</w:t>
      </w:r>
      <w:r>
        <w:rPr>
          <w:rFonts w:ascii="Arial" w:cs="Arial" w:eastAsia="Arial" w:hAnsi="Arial"/>
          <w:sz w:val="19"/>
          <w:szCs w:val="19"/>
          <w:color w:val="auto"/>
        </w:rPr>
        <w:t>” means, for a Contract Year, from $[* * *] up to $[* * *] of ROW Profit Split Sales in such Contract Year.</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Tier 3</w:t>
      </w:r>
      <w:r>
        <w:rPr>
          <w:rFonts w:ascii="Arial" w:cs="Arial" w:eastAsia="Arial" w:hAnsi="Arial"/>
          <w:sz w:val="21"/>
          <w:szCs w:val="21"/>
          <w:color w:val="auto"/>
        </w:rPr>
        <w:t>” means, for a Contract Year, greater than $[* * *] of ROW Profit Split Sales in such Contract Year.</w:t>
      </w:r>
    </w:p>
    <w:p>
      <w:pPr>
        <w:spacing w:after="0" w:line="245"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Tier Fraction</w:t>
      </w:r>
      <w:r>
        <w:rPr>
          <w:rFonts w:ascii="Arial" w:cs="Arial" w:eastAsia="Arial" w:hAnsi="Arial"/>
          <w:sz w:val="22"/>
          <w:szCs w:val="22"/>
          <w:color w:val="auto"/>
        </w:rPr>
        <w:t>” means, with respect to a Contract Year and a Tier, a fraction, (a) the numerator of which is the amount of ROW Profit Split Sales in such Tier in such Contract</w:t>
      </w:r>
    </w:p>
    <w:p>
      <w:pPr>
        <w:sectPr>
          <w:pgSz w:w="11900" w:h="16838" w:orient="portrait"/>
          <w:cols w:equalWidth="0" w:num="1">
            <w:col w:w="11220"/>
          </w:cols>
          <w:pgMar w:left="320" w:top="1414" w:right="359" w:bottom="1440" w:gutter="0" w:footer="0" w:header="0"/>
        </w:sectPr>
      </w:pPr>
    </w:p>
    <w:bookmarkStart w:id="97" w:name="page98"/>
    <w:bookmarkEnd w:id="97"/>
    <w:p>
      <w:pPr>
        <w:ind w:right="340"/>
        <w:spacing w:after="0" w:line="250" w:lineRule="auto"/>
        <w:rPr>
          <w:sz w:val="20"/>
          <w:szCs w:val="20"/>
          <w:color w:val="auto"/>
        </w:rPr>
      </w:pPr>
      <w:r>
        <w:rPr>
          <w:rFonts w:ascii="Arial" w:cs="Arial" w:eastAsia="Arial" w:hAnsi="Arial"/>
          <w:sz w:val="22"/>
          <w:szCs w:val="22"/>
          <w:color w:val="auto"/>
        </w:rPr>
        <w:t>Year (e.g., [* * *]) and (b) the denominator of which is the aggregate amount of ROW Profit Split Sales in such Contract Year (e.g., [* * *]).</w:t>
      </w:r>
    </w:p>
    <w:p>
      <w:pPr>
        <w:spacing w:after="0" w:line="202" w:lineRule="exact"/>
        <w:rPr>
          <w:sz w:val="20"/>
          <w:szCs w:val="20"/>
          <w:color w:val="auto"/>
        </w:rPr>
      </w:pPr>
    </w:p>
    <w:p>
      <w:pPr>
        <w:ind w:right="40" w:firstLine="1296"/>
        <w:spacing w:after="0" w:line="28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Target ROW Profit Split</w:t>
      </w:r>
      <w:r>
        <w:rPr>
          <w:rFonts w:ascii="Arial" w:cs="Arial" w:eastAsia="Arial" w:hAnsi="Arial"/>
          <w:sz w:val="19"/>
          <w:szCs w:val="19"/>
          <w:color w:val="auto"/>
        </w:rPr>
        <w:t>” for any Contract Year shall mean a profit split whereby (a) an amount equal to the ROW Profits for such Contract Year multiplied by the Tier Fraction for Tier 1 for such Contract Year is split [* * *]% Sanofi/[* * *]% Regeneron, (b) an amount equal to the ROW Profits for such Contract Year multiplied by the Tier Fraction for Tier 2 for such Contract Year is split [* * *]% Sanofi/[* * *]% Regeneron, and (c) an amount equal to the ROW Profits for such Contract Year multiplied by the Tier Fraction for Tier 3 for such Contract Year is split [* * *]% Sanofi/[* * *]% Regeneron.</w:t>
      </w:r>
    </w:p>
    <w:p>
      <w:pPr>
        <w:spacing w:after="0" w:line="174" w:lineRule="exact"/>
        <w:rPr>
          <w:sz w:val="20"/>
          <w:szCs w:val="20"/>
          <w:color w:val="auto"/>
        </w:rPr>
      </w:pPr>
    </w:p>
    <w:p>
      <w:pPr>
        <w:ind w:right="280" w:firstLine="1296"/>
        <w:spacing w:after="0" w:line="274" w:lineRule="auto"/>
        <w:rPr>
          <w:sz w:val="20"/>
          <w:szCs w:val="20"/>
          <w:color w:val="auto"/>
        </w:rPr>
      </w:pPr>
      <w:r>
        <w:rPr>
          <w:rFonts w:ascii="Arial" w:cs="Arial" w:eastAsia="Arial" w:hAnsi="Arial"/>
          <w:sz w:val="21"/>
          <w:szCs w:val="21"/>
          <w:color w:val="auto"/>
        </w:rPr>
        <w:t>An example of the calculation of the Target ROW Profit Split is set forth below for illustrative purposes only. If there is a conflict between the operative language and the example, the operative language shall govern.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Example Target ROW Profit Split calculation: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Rest of World Profit Split</w:t>
      </w:r>
      <w:r>
        <w:rPr>
          <w:rFonts w:ascii="Arial" w:cs="Arial" w:eastAsia="Arial" w:hAnsi="Arial"/>
          <w:sz w:val="22"/>
          <w:szCs w:val="22"/>
          <w:color w:val="auto"/>
        </w:rPr>
        <w:t>” (or “</w:t>
      </w:r>
      <w:r>
        <w:rPr>
          <w:rFonts w:ascii="Arial" w:cs="Arial" w:eastAsia="Arial" w:hAnsi="Arial"/>
          <w:sz w:val="22"/>
          <w:szCs w:val="22"/>
          <w:u w:val="single" w:color="auto"/>
          <w:color w:val="auto"/>
        </w:rPr>
        <w:t>ROW Profit Split</w:t>
      </w:r>
      <w:r>
        <w:rPr>
          <w:rFonts w:ascii="Arial" w:cs="Arial" w:eastAsia="Arial" w:hAnsi="Arial"/>
          <w:sz w:val="22"/>
          <w:szCs w:val="22"/>
          <w:color w:val="auto"/>
        </w:rPr>
        <w:t>”) for a Quarter shall mean [* * *].</w:t>
      </w:r>
    </w:p>
    <w:p>
      <w:pPr>
        <w:spacing w:after="0" w:line="233"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Applicable ROW Percentages</w:t>
      </w:r>
      <w:r>
        <w:rPr>
          <w:rFonts w:ascii="Arial" w:cs="Arial" w:eastAsia="Arial" w:hAnsi="Arial"/>
          <w:sz w:val="19"/>
          <w:szCs w:val="19"/>
          <w:color w:val="auto"/>
        </w:rPr>
        <w:t>” for the Quarter for each of Sanofi and Regeneron shall mean the percentages to be used to calculate each Party’s Rest of World Profit Split for the Quarter, as illustrated in the example set forth on Schedule 2A. At the end of each Contract Year, as part of the calculation of the fourth Quarter Rest of World Profit Split, a “</w:t>
      </w:r>
      <w:r>
        <w:rPr>
          <w:rFonts w:ascii="Arial" w:cs="Arial" w:eastAsia="Arial" w:hAnsi="Arial"/>
          <w:sz w:val="19"/>
          <w:szCs w:val="19"/>
          <w:u w:val="single" w:color="auto"/>
          <w:color w:val="auto"/>
        </w:rPr>
        <w:t>ROW Profit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Split Annual True-Up</w:t>
      </w:r>
      <w:r>
        <w:rPr>
          <w:rFonts w:ascii="Arial" w:cs="Arial" w:eastAsia="Arial" w:hAnsi="Arial"/>
          <w:sz w:val="19"/>
          <w:szCs w:val="19"/>
          <w:color w:val="auto"/>
        </w:rPr>
        <w:t>” shall also be calculated to make each Party’s Rest of World Profit Split for the Contract Year equal to the Target ROW Profit Split. Calculation of the Applicable ROW Percentages and Rest of World Profit Splits for a Quarter and ROW Profit Split Annual True-Up for a Contract Year are illustrated in the example set forth on Schedule 2A.</w:t>
      </w:r>
    </w:p>
    <w:p>
      <w:pPr>
        <w:spacing w:after="0" w:line="177"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Notwithstanding the method of calculation shown on Schedule 2A, in any Quarter (or for any full Contract Year) in which the ROW Profits are negative, the Applicable ROW Percentages for such Quarter (or for such Contract Year after calculation of the ROW Profit Split Annual True-Up) shall be [* * *] percent ([* * *]%) for Sanofi and [* * *] percent ([* * *]%) for Regeneron.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 example of a calculation of the Rest of World Profit Split in a Quarter would be: [* * *]</w:t>
      </w:r>
    </w:p>
    <w:p>
      <w:pPr>
        <w:spacing w:after="0" w:line="227" w:lineRule="exact"/>
        <w:rPr>
          <w:sz w:val="20"/>
          <w:szCs w:val="20"/>
          <w:color w:val="auto"/>
        </w:rPr>
      </w:pPr>
    </w:p>
    <w:p>
      <w:pPr>
        <w:ind w:right="40" w:firstLine="648"/>
        <w:spacing w:after="0" w:line="254" w:lineRule="auto"/>
        <w:rPr>
          <w:sz w:val="20"/>
          <w:szCs w:val="20"/>
          <w:color w:val="auto"/>
        </w:rPr>
      </w:pPr>
      <w:r>
        <w:rPr>
          <w:rFonts w:ascii="Arial" w:cs="Arial" w:eastAsia="Arial" w:hAnsi="Arial"/>
          <w:sz w:val="21"/>
          <w:szCs w:val="21"/>
          <w:b w:val="1"/>
          <w:bCs w:val="1"/>
          <w:color w:val="auto"/>
        </w:rPr>
        <w:t xml:space="preserve">4.12. Schedule 2A. </w:t>
      </w:r>
      <w:r>
        <w:rPr>
          <w:rFonts w:ascii="Arial" w:cs="Arial" w:eastAsia="Arial" w:hAnsi="Arial"/>
          <w:sz w:val="21"/>
          <w:szCs w:val="21"/>
          <w:color w:val="auto"/>
        </w:rPr>
        <w:t>Promptly after the Execution Date, the Parties shall in good faith agree upon an amendment to add a</w:t>
      </w:r>
      <w:r>
        <w:rPr>
          <w:rFonts w:ascii="Arial" w:cs="Arial" w:eastAsia="Arial" w:hAnsi="Arial"/>
          <w:sz w:val="21"/>
          <w:szCs w:val="21"/>
          <w:b w:val="1"/>
          <w:bCs w:val="1"/>
          <w:color w:val="auto"/>
        </w:rPr>
        <w:t xml:space="preserve"> </w:t>
      </w:r>
      <w:r>
        <w:rPr>
          <w:rFonts w:ascii="Arial" w:cs="Arial" w:eastAsia="Arial" w:hAnsi="Arial"/>
          <w:sz w:val="21"/>
          <w:szCs w:val="21"/>
          <w:color w:val="auto"/>
        </w:rPr>
        <w:t>Schedule 2A to the LCA that contains an example Rest of World Profit Split calculation based on the revised provisions of Part II of Schedule 2 as set forth in this Third Amendment. Such example shall be based on the Rest of World Profit Split Example included in Part II of Schedule 2 to the LCA but shall implement the following changes: [* * *].</w:t>
      </w:r>
    </w:p>
    <w:p>
      <w:pPr>
        <w:sectPr>
          <w:pgSz w:w="11900" w:h="16838" w:orient="portrait"/>
          <w:cols w:equalWidth="0" w:num="1">
            <w:col w:w="11240"/>
          </w:cols>
          <w:pgMar w:left="320" w:top="1414"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21"/>
          <w:szCs w:val="21"/>
          <w:b w:val="1"/>
          <w:bCs w:val="1"/>
          <w:color w:val="auto"/>
        </w:rPr>
        <w:t>4.13. Amendment to Schedule 3</w:t>
      </w:r>
      <w:r>
        <w:rPr>
          <w:rFonts w:ascii="Arial" w:cs="Arial" w:eastAsia="Arial" w:hAnsi="Arial"/>
          <w:sz w:val="21"/>
          <w:szCs w:val="21"/>
          <w:color w:val="auto"/>
        </w:rPr>
        <w:t>. Schedule 3 of the LCA is hereby amended to read in its entirety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gridSpan w:val="4"/>
          </w:tcPr>
          <w:p>
            <w:pPr>
              <w:ind w:left="600"/>
              <w:spacing w:after="0"/>
              <w:rPr>
                <w:sz w:val="20"/>
                <w:szCs w:val="20"/>
                <w:color w:val="auto"/>
              </w:rPr>
            </w:pPr>
            <w:r>
              <w:rPr>
                <w:rFonts w:ascii="Arial" w:cs="Arial" w:eastAsia="Arial" w:hAnsi="Arial"/>
                <w:sz w:val="22"/>
                <w:szCs w:val="22"/>
                <w:color w:val="auto"/>
              </w:rPr>
              <w:t>Sales Milestones</w:t>
            </w:r>
          </w:p>
        </w:tc>
      </w:tr>
      <w:tr>
        <w:trPr>
          <w:trHeight w:val="20"/>
        </w:trPr>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7"/>
        </w:trPr>
        <w:tc>
          <w:tcPr>
            <w:tcW w:w="3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Aggregate annual ROW Profit Split Sales</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Sales Milestone</w:t>
            </w:r>
          </w:p>
        </w:tc>
      </w:tr>
      <w:tr>
        <w:trPr>
          <w:trHeight w:val="598"/>
        </w:trPr>
        <w:tc>
          <w:tcPr>
            <w:tcW w:w="4220" w:type="dxa"/>
            <w:vAlign w:val="bottom"/>
            <w:gridSpan w:val="2"/>
          </w:tcPr>
          <w:p>
            <w:pPr>
              <w:spacing w:after="0"/>
              <w:rPr>
                <w:sz w:val="20"/>
                <w:szCs w:val="20"/>
                <w:color w:val="auto"/>
              </w:rPr>
            </w:pPr>
            <w:r>
              <w:rPr>
                <w:rFonts w:ascii="Arial" w:cs="Arial" w:eastAsia="Arial" w:hAnsi="Arial"/>
                <w:sz w:val="22"/>
                <w:szCs w:val="22"/>
                <w:color w:val="auto"/>
              </w:rPr>
              <w:t>US$[* *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US$[* * *]</w:t>
            </w:r>
          </w:p>
        </w:tc>
      </w:tr>
      <w:tr>
        <w:trPr>
          <w:trHeight w:val="297"/>
        </w:trPr>
        <w:tc>
          <w:tcPr>
            <w:tcW w:w="4220" w:type="dxa"/>
            <w:vAlign w:val="bottom"/>
            <w:gridSpan w:val="2"/>
          </w:tcPr>
          <w:p>
            <w:pPr>
              <w:spacing w:after="0"/>
              <w:rPr>
                <w:sz w:val="20"/>
                <w:szCs w:val="20"/>
                <w:color w:val="auto"/>
              </w:rPr>
            </w:pPr>
            <w:r>
              <w:rPr>
                <w:rFonts w:ascii="Arial" w:cs="Arial" w:eastAsia="Arial" w:hAnsi="Arial"/>
                <w:sz w:val="22"/>
                <w:szCs w:val="22"/>
                <w:color w:val="auto"/>
              </w:rPr>
              <w:t>US$[* *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US$[* * *]</w:t>
            </w:r>
          </w:p>
        </w:tc>
      </w:tr>
      <w:tr>
        <w:trPr>
          <w:trHeight w:val="297"/>
        </w:trPr>
        <w:tc>
          <w:tcPr>
            <w:tcW w:w="4220" w:type="dxa"/>
            <w:vAlign w:val="bottom"/>
            <w:gridSpan w:val="2"/>
          </w:tcPr>
          <w:p>
            <w:pPr>
              <w:spacing w:after="0"/>
              <w:rPr>
                <w:sz w:val="20"/>
                <w:szCs w:val="20"/>
                <w:color w:val="auto"/>
              </w:rPr>
            </w:pPr>
            <w:r>
              <w:rPr>
                <w:rFonts w:ascii="Arial" w:cs="Arial" w:eastAsia="Arial" w:hAnsi="Arial"/>
                <w:sz w:val="22"/>
                <w:szCs w:val="22"/>
                <w:color w:val="auto"/>
              </w:rPr>
              <w:t>US$[* *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US$[* * *]</w:t>
            </w:r>
          </w:p>
        </w:tc>
      </w:tr>
      <w:tr>
        <w:trPr>
          <w:trHeight w:val="297"/>
        </w:trPr>
        <w:tc>
          <w:tcPr>
            <w:tcW w:w="4220" w:type="dxa"/>
            <w:vAlign w:val="bottom"/>
            <w:gridSpan w:val="2"/>
          </w:tcPr>
          <w:p>
            <w:pPr>
              <w:spacing w:after="0"/>
              <w:rPr>
                <w:sz w:val="20"/>
                <w:szCs w:val="20"/>
                <w:color w:val="auto"/>
              </w:rPr>
            </w:pPr>
            <w:r>
              <w:rPr>
                <w:rFonts w:ascii="Arial" w:cs="Arial" w:eastAsia="Arial" w:hAnsi="Arial"/>
                <w:sz w:val="22"/>
                <w:szCs w:val="22"/>
                <w:color w:val="auto"/>
              </w:rPr>
              <w:t>US$[* *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US$[* * *]</w:t>
            </w:r>
          </w:p>
        </w:tc>
      </w:tr>
      <w:tr>
        <w:trPr>
          <w:trHeight w:val="297"/>
        </w:trPr>
        <w:tc>
          <w:tcPr>
            <w:tcW w:w="4220" w:type="dxa"/>
            <w:vAlign w:val="bottom"/>
            <w:gridSpan w:val="2"/>
          </w:tcPr>
          <w:p>
            <w:pPr>
              <w:spacing w:after="0"/>
              <w:rPr>
                <w:sz w:val="20"/>
                <w:szCs w:val="20"/>
                <w:color w:val="auto"/>
              </w:rPr>
            </w:pPr>
            <w:r>
              <w:rPr>
                <w:rFonts w:ascii="Arial" w:cs="Arial" w:eastAsia="Arial" w:hAnsi="Arial"/>
                <w:sz w:val="22"/>
                <w:szCs w:val="22"/>
                <w:color w:val="auto"/>
              </w:rPr>
              <w:t>US$[* *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US$[* * *]</w:t>
            </w:r>
          </w:p>
        </w:tc>
      </w:tr>
    </w:tbl>
    <w:p>
      <w:pPr>
        <w:spacing w:after="0" w:line="266"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For purposes of clarification, each of the foregoing milestone payments shall be made only once and only upon the first occurrence of each milestone. Aggregate annual ROW Profit Split Sales shall be determined based on the aggregate ROW Profit Split Sales in any rolling twelve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-236220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7" w:lineRule="exact"/>
        <w:rPr>
          <w:sz w:val="20"/>
          <w:szCs w:val="20"/>
          <w:color w:val="auto"/>
        </w:rPr>
      </w:pPr>
    </w:p>
    <w:p>
      <w:pPr>
        <w:ind w:right="140" w:firstLine="8"/>
        <w:spacing w:after="0" w:line="278" w:lineRule="auto"/>
        <w:tabs>
          <w:tab w:leader="none" w:pos="21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Clean Slate. </w:t>
      </w:r>
      <w:r>
        <w:rPr>
          <w:rFonts w:ascii="Arial" w:cs="Arial" w:eastAsia="Arial" w:hAnsi="Arial"/>
          <w:sz w:val="19"/>
          <w:szCs w:val="19"/>
          <w:color w:val="auto"/>
        </w:rPr>
        <w:t>Sanofi, Sanofi Parent and Regeneron, each on their own behalf, and on behalf of each of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affiliates, partners, parent entities, members, managers, shareholders, directors, officers, and employees, and the respective heirs, executors, administrators, predecessors, agents, successors and permitted assigns of each of the foregoing (collectively, “</w:t>
      </w:r>
      <w:r>
        <w:rPr>
          <w:rFonts w:ascii="Arial" w:cs="Arial" w:eastAsia="Arial" w:hAnsi="Arial"/>
          <w:sz w:val="19"/>
          <w:szCs w:val="19"/>
          <w:u w:val="single" w:color="auto"/>
          <w:color w:val="auto"/>
        </w:rPr>
        <w:t>Released Entities</w:t>
      </w:r>
      <w:r>
        <w:rPr>
          <w:rFonts w:ascii="Arial" w:cs="Arial" w:eastAsia="Arial" w:hAnsi="Arial"/>
          <w:sz w:val="19"/>
          <w:szCs w:val="19"/>
          <w:color w:val="auto"/>
        </w:rPr>
        <w:t>”) , hereby irrevocably forever relieves, releases and discharges the other party and its Released Entities, from and against any and all claims related [* * *]. Notwithstanding the foregoing, the Parties shall maintain their audit rights under Section 14.2 of the LCA and any under- or over-payment disclosed by such audit shall be paid by the Party owing such money in accordance with Section 14.2(c) of the LCA.</w:t>
      </w:r>
    </w:p>
    <w:p>
      <w:pPr>
        <w:spacing w:after="0" w:line="172" w:lineRule="exact"/>
        <w:rPr>
          <w:rFonts w:ascii="Arial" w:cs="Arial" w:eastAsia="Arial" w:hAnsi="Arial"/>
          <w:sz w:val="19"/>
          <w:szCs w:val="19"/>
          <w:b w:val="1"/>
          <w:bCs w:val="1"/>
          <w:color w:val="auto"/>
        </w:rPr>
      </w:pPr>
    </w:p>
    <w:p>
      <w:pPr>
        <w:ind w:left="220" w:hanging="212"/>
        <w:spacing w:after="0"/>
        <w:tabs>
          <w:tab w:leader="none" w:pos="2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33" w:lineRule="exact"/>
        <w:rPr>
          <w:sz w:val="20"/>
          <w:szCs w:val="20"/>
          <w:color w:val="auto"/>
        </w:rPr>
      </w:pPr>
    </w:p>
    <w:p>
      <w:pPr>
        <w:ind w:right="120" w:firstLine="648"/>
        <w:spacing w:after="0" w:line="247" w:lineRule="auto"/>
        <w:rPr>
          <w:sz w:val="20"/>
          <w:szCs w:val="20"/>
          <w:color w:val="auto"/>
        </w:rPr>
      </w:pPr>
      <w:r>
        <w:rPr>
          <w:rFonts w:ascii="Arial" w:cs="Arial" w:eastAsia="Arial" w:hAnsi="Arial"/>
          <w:sz w:val="21"/>
          <w:szCs w:val="21"/>
          <w:b w:val="1"/>
          <w:bCs w:val="1"/>
          <w:color w:val="auto"/>
        </w:rPr>
        <w:t>6.1. Due Organization, Valid Existence and Due Authorization</w:t>
      </w:r>
      <w:r>
        <w:rPr>
          <w:rFonts w:ascii="Arial" w:cs="Arial" w:eastAsia="Arial" w:hAnsi="Arial"/>
          <w:sz w:val="21"/>
          <w:szCs w:val="21"/>
          <w:color w:val="auto"/>
        </w:rPr>
        <w:t>. Each Party represents and warrants to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Transition Date, as follows: (a) it is duly organized and validly existing under the Laws of its jurisdiction of incorporation; (b) it has full corporate power and authority and has taken all corporate action necessary to enter into this Third Amendment; (c) the execution of this Third Amendment will not constitute a breach of, or conflict with, its organizational documents or any other agreement by which it is bound or requirement of applicable Laws or regulations; and (d) this Third Amendment is its legal, valid and binding obligation, enforceable in accordance with the terms and conditions hereof (subject to applicable Laws of bankruptcy and moratorium).</w:t>
      </w:r>
    </w:p>
    <w:p>
      <w:pPr>
        <w:spacing w:after="0" w:line="204"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6.2. Miscellaneous</w:t>
      </w:r>
      <w:r>
        <w:rPr>
          <w:rFonts w:ascii="Arial" w:cs="Arial" w:eastAsia="Arial" w:hAnsi="Arial"/>
          <w:sz w:val="22"/>
          <w:szCs w:val="22"/>
          <w:color w:val="auto"/>
        </w:rPr>
        <w:t>. The provisions of Sections 20.1, 20.3, 20.5, 20.7, 20.6, 20.8, 20.12 and 20.17 of the LCA shall apply</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mutatis mutandis </w:t>
      </w:r>
      <w:r>
        <w:rPr>
          <w:rFonts w:ascii="Arial" w:cs="Arial" w:eastAsia="Arial" w:hAnsi="Arial"/>
          <w:sz w:val="22"/>
          <w:szCs w:val="22"/>
          <w:color w:val="auto"/>
        </w:rPr>
        <w:t>to this Third Amendment as though set out in full in this Third Amendment.</w:t>
      </w:r>
    </w:p>
    <w:p>
      <w:pPr>
        <w:spacing w:after="0" w:line="189" w:lineRule="exact"/>
        <w:rPr>
          <w:sz w:val="20"/>
          <w:szCs w:val="20"/>
          <w:color w:val="auto"/>
        </w:rPr>
      </w:pPr>
    </w:p>
    <w:p>
      <w:pPr>
        <w:ind w:right="560" w:firstLine="648"/>
        <w:spacing w:after="0" w:line="256" w:lineRule="auto"/>
        <w:rPr>
          <w:sz w:val="20"/>
          <w:szCs w:val="20"/>
          <w:color w:val="auto"/>
        </w:rPr>
      </w:pPr>
      <w:r>
        <w:rPr>
          <w:rFonts w:ascii="Arial" w:cs="Arial" w:eastAsia="Arial" w:hAnsi="Arial"/>
          <w:sz w:val="22"/>
          <w:szCs w:val="22"/>
          <w:b w:val="1"/>
          <w:bCs w:val="1"/>
          <w:color w:val="auto"/>
        </w:rPr>
        <w:t>6.3. No Other Amendments</w:t>
      </w:r>
      <w:r>
        <w:rPr>
          <w:rFonts w:ascii="Arial" w:cs="Arial" w:eastAsia="Arial" w:hAnsi="Arial"/>
          <w:sz w:val="22"/>
          <w:szCs w:val="22"/>
          <w:color w:val="auto"/>
        </w:rPr>
        <w:t>. Except as expressly amended hereby, all of the terms and conditions of the LCA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full force and effect.</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08" w:right="339" w:bottom="1440" w:gutter="0" w:footer="0" w:header="0"/>
        </w:sectPr>
      </w:pPr>
    </w:p>
    <w:bookmarkStart w:id="99" w:name="page100"/>
    <w:bookmarkEnd w:id="99"/>
    <w:p>
      <w:pPr>
        <w:ind w:left="2340" w:hanging="2465"/>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Sanofi and Regeneron have caused this Third Amendment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of the Execution Date.</w:t>
      </w:r>
    </w:p>
    <w:p>
      <w:pPr>
        <w:spacing w:after="0" w:line="189"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SANOFI BIOTECHNOLOGY SAS</w:t>
      </w:r>
    </w:p>
    <w:p>
      <w:pPr>
        <w:spacing w:after="0" w:line="200" w:lineRule="exact"/>
        <w:rPr>
          <w:sz w:val="20"/>
          <w:szCs w:val="20"/>
          <w:color w:val="auto"/>
        </w:rPr>
      </w:pPr>
    </w:p>
    <w:p>
      <w:pPr>
        <w:spacing w:after="0" w:line="28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Benedicte Bonny</w:t>
      </w:r>
    </w:p>
    <w:p>
      <w:pPr>
        <w:ind w:left="3500"/>
        <w:spacing w:after="0" w:line="238" w:lineRule="auto"/>
        <w:rPr>
          <w:sz w:val="20"/>
          <w:szCs w:val="20"/>
          <w:color w:val="auto"/>
        </w:rPr>
      </w:pPr>
      <w:r>
        <w:rPr>
          <w:rFonts w:ascii="Arial" w:cs="Arial" w:eastAsia="Arial" w:hAnsi="Arial"/>
          <w:sz w:val="22"/>
          <w:szCs w:val="22"/>
          <w:color w:val="auto"/>
        </w:rPr>
        <w:t>Name: Benedicte Bonny</w:t>
      </w:r>
    </w:p>
    <w:p>
      <w:pPr>
        <w:ind w:left="35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SANOFI</w:t>
      </w:r>
    </w:p>
    <w:p>
      <w:pPr>
        <w:spacing w:after="0" w:line="200" w:lineRule="exact"/>
        <w:rPr>
          <w:sz w:val="20"/>
          <w:szCs w:val="20"/>
          <w:color w:val="auto"/>
        </w:rPr>
      </w:pPr>
    </w:p>
    <w:p>
      <w:pPr>
        <w:spacing w:after="0" w:line="28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Karen Linehan</w:t>
      </w:r>
    </w:p>
    <w:p>
      <w:pPr>
        <w:ind w:left="3500"/>
        <w:spacing w:after="0" w:line="238" w:lineRule="auto"/>
        <w:rPr>
          <w:sz w:val="20"/>
          <w:szCs w:val="20"/>
          <w:color w:val="auto"/>
        </w:rPr>
      </w:pPr>
      <w:r>
        <w:rPr>
          <w:rFonts w:ascii="Arial" w:cs="Arial" w:eastAsia="Arial" w:hAnsi="Arial"/>
          <w:sz w:val="22"/>
          <w:szCs w:val="22"/>
          <w:color w:val="auto"/>
        </w:rPr>
        <w:t>Name: Karen Linehan</w:t>
      </w:r>
    </w:p>
    <w:p>
      <w:pPr>
        <w:ind w:left="3500"/>
        <w:spacing w:after="0"/>
        <w:rPr>
          <w:sz w:val="20"/>
          <w:szCs w:val="20"/>
          <w:color w:val="auto"/>
        </w:rPr>
      </w:pPr>
      <w:r>
        <w:rPr>
          <w:rFonts w:ascii="Arial" w:cs="Arial" w:eastAsia="Arial" w:hAnsi="Arial"/>
          <w:sz w:val="22"/>
          <w:szCs w:val="22"/>
          <w:color w:val="auto"/>
        </w:rPr>
        <w:t>Title: EVP &amp; General Counsel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8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E. Landry</w:t>
      </w:r>
    </w:p>
    <w:p>
      <w:pPr>
        <w:ind w:left="3500"/>
        <w:spacing w:after="0" w:line="238" w:lineRule="auto"/>
        <w:rPr>
          <w:sz w:val="20"/>
          <w:szCs w:val="20"/>
          <w:color w:val="auto"/>
        </w:rPr>
      </w:pPr>
      <w:r>
        <w:rPr>
          <w:rFonts w:ascii="Arial" w:cs="Arial" w:eastAsia="Arial" w:hAnsi="Arial"/>
          <w:sz w:val="22"/>
          <w:szCs w:val="22"/>
          <w:color w:val="auto"/>
        </w:rPr>
        <w:t>Name: Robert E. Landry</w:t>
      </w:r>
    </w:p>
    <w:p>
      <w:pPr>
        <w:ind w:left="3500"/>
        <w:spacing w:after="0"/>
        <w:rPr>
          <w:sz w:val="20"/>
          <w:szCs w:val="20"/>
          <w:color w:val="auto"/>
        </w:rPr>
      </w:pPr>
      <w:r>
        <w:rPr>
          <w:rFonts w:ascii="Arial" w:cs="Arial" w:eastAsia="Arial" w:hAnsi="Arial"/>
          <w:sz w:val="21"/>
          <w:szCs w:val="21"/>
          <w:color w:val="auto"/>
        </w:rPr>
        <w:t>Title: Executive Vice President, Finance and Chief Financial Officer</w:t>
      </w:r>
    </w:p>
    <w:p>
      <w:pPr>
        <w:sectPr>
          <w:pgSz w:w="11900" w:h="16838" w:orient="portrait"/>
          <w:cols w:equalWidth="0" w:num="1">
            <w:col w:w="9940"/>
          </w:cols>
          <w:pgMar w:left="1360" w:top="1408" w:right="599" w:bottom="1440" w:gutter="0" w:footer="0" w:header="0"/>
        </w:sectPr>
      </w:pPr>
    </w:p>
    <w:bookmarkStart w:id="100" w:name="page101"/>
    <w:bookmarkEnd w:id="100"/>
    <w:p>
      <w:pPr>
        <w:ind w:left="10360"/>
        <w:spacing w:after="0"/>
        <w:rPr>
          <w:sz w:val="20"/>
          <w:szCs w:val="20"/>
          <w:color w:val="auto"/>
        </w:rPr>
      </w:pPr>
      <w:r>
        <w:rPr>
          <w:rFonts w:ascii="Arial" w:cs="Arial" w:eastAsia="Arial" w:hAnsi="Arial"/>
          <w:sz w:val="16"/>
          <w:szCs w:val="16"/>
          <w:color w:val="auto"/>
        </w:rPr>
        <w:t>Exhibit 10.4</w:t>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PRALUENT CROSS License &amp;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COMMERCIALIZATION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SANOFI BIOTECHNOLOGY SAS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April 5, 2020</w:t>
      </w:r>
    </w:p>
    <w:p>
      <w:pPr>
        <w:sectPr>
          <w:pgSz w:w="11900" w:h="16838" w:orient="portrait"/>
          <w:cols w:equalWidth="0" w:num="1">
            <w:col w:w="11240"/>
          </w:cols>
          <w:pgMar w:left="320" w:top="1421" w:right="339" w:bottom="1440" w:gutter="0" w:footer="0" w:header="0"/>
        </w:sectPr>
      </w:pPr>
    </w:p>
    <w:bookmarkStart w:id="101" w:name="page102"/>
    <w:bookmarkEnd w:id="101"/>
    <w:p>
      <w:pPr>
        <w:ind w:left="4460"/>
        <w:spacing w:after="0"/>
        <w:rPr>
          <w:sz w:val="20"/>
          <w:szCs w:val="20"/>
          <w:color w:val="auto"/>
        </w:rPr>
      </w:pPr>
      <w:r>
        <w:rPr>
          <w:rFonts w:ascii="Arial" w:cs="Arial" w:eastAsia="Arial" w:hAnsi="Arial"/>
          <w:sz w:val="22"/>
          <w:szCs w:val="22"/>
          <w:b w:val="1"/>
          <w:bCs w:val="1"/>
          <w:color w:val="auto"/>
        </w:rPr>
        <w:t>TABLE OF CONTENTS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ARTICLE 1 DEFINITIONS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ARTICLE 2 LICENSE GRANTS; LIMITED ASSET TRANSFER; TRANSITION COSTS</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 Regeneron License Grants</w:t>
      </w:r>
    </w:p>
    <w:p>
      <w:pPr>
        <w:ind w:left="1300"/>
        <w:spacing w:after="0" w:line="238" w:lineRule="auto"/>
        <w:rPr>
          <w:sz w:val="20"/>
          <w:szCs w:val="20"/>
          <w:color w:val="auto"/>
        </w:rPr>
      </w:pPr>
      <w:r>
        <w:rPr>
          <w:rFonts w:ascii="Arial" w:cs="Arial" w:eastAsia="Arial" w:hAnsi="Arial"/>
          <w:sz w:val="22"/>
          <w:szCs w:val="22"/>
          <w:color w:val="auto"/>
        </w:rPr>
        <w:t>2.2 Sanofi License Grants</w:t>
      </w:r>
    </w:p>
    <w:p>
      <w:pPr>
        <w:ind w:left="1300"/>
        <w:spacing w:after="0" w:line="230" w:lineRule="auto"/>
        <w:rPr>
          <w:sz w:val="20"/>
          <w:szCs w:val="20"/>
          <w:color w:val="auto"/>
        </w:rPr>
      </w:pPr>
      <w:r>
        <w:rPr>
          <w:rFonts w:ascii="Arial" w:cs="Arial" w:eastAsia="Arial" w:hAnsi="Arial"/>
          <w:sz w:val="22"/>
          <w:szCs w:val="22"/>
          <w:color w:val="auto"/>
        </w:rPr>
        <w:t>2.3 Sublicensing and Subcontracting</w:t>
      </w:r>
    </w:p>
    <w:p>
      <w:pPr>
        <w:ind w:left="1300"/>
        <w:spacing w:after="0" w:line="231" w:lineRule="auto"/>
        <w:rPr>
          <w:sz w:val="20"/>
          <w:szCs w:val="20"/>
          <w:color w:val="auto"/>
        </w:rPr>
      </w:pPr>
      <w:r>
        <w:rPr>
          <w:rFonts w:ascii="Arial" w:cs="Arial" w:eastAsia="Arial" w:hAnsi="Arial"/>
          <w:sz w:val="22"/>
          <w:szCs w:val="22"/>
          <w:color w:val="auto"/>
        </w:rPr>
        <w:t>2.4 Limitations</w:t>
      </w:r>
    </w:p>
    <w:p>
      <w:pPr>
        <w:ind w:left="1300"/>
        <w:spacing w:after="0" w:line="230" w:lineRule="auto"/>
        <w:rPr>
          <w:sz w:val="20"/>
          <w:szCs w:val="20"/>
          <w:color w:val="auto"/>
        </w:rPr>
      </w:pPr>
      <w:r>
        <w:rPr>
          <w:rFonts w:ascii="Arial" w:cs="Arial" w:eastAsia="Arial" w:hAnsi="Arial"/>
          <w:sz w:val="22"/>
          <w:szCs w:val="22"/>
          <w:color w:val="auto"/>
        </w:rPr>
        <w:t>2.5 Retained Rights</w:t>
      </w:r>
    </w:p>
    <w:p>
      <w:pPr>
        <w:ind w:left="1300"/>
        <w:spacing w:after="0" w:line="231" w:lineRule="auto"/>
        <w:rPr>
          <w:sz w:val="20"/>
          <w:szCs w:val="20"/>
          <w:color w:val="auto"/>
        </w:rPr>
      </w:pPr>
      <w:r>
        <w:rPr>
          <w:rFonts w:ascii="Arial" w:cs="Arial" w:eastAsia="Arial" w:hAnsi="Arial"/>
          <w:sz w:val="22"/>
          <w:szCs w:val="22"/>
          <w:color w:val="auto"/>
        </w:rPr>
        <w:t>2.6 Limited Asset Transfer</w:t>
      </w:r>
    </w:p>
    <w:p>
      <w:pPr>
        <w:ind w:left="1300"/>
        <w:spacing w:after="0" w:line="230" w:lineRule="auto"/>
        <w:rPr>
          <w:sz w:val="20"/>
          <w:szCs w:val="20"/>
          <w:color w:val="auto"/>
        </w:rPr>
      </w:pPr>
      <w:r>
        <w:rPr>
          <w:rFonts w:ascii="Arial" w:cs="Arial" w:eastAsia="Arial" w:hAnsi="Arial"/>
          <w:sz w:val="22"/>
          <w:szCs w:val="22"/>
          <w:color w:val="auto"/>
        </w:rPr>
        <w:t>2.7 Transition Costs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2.8 Certain Contract Services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3 ALLIANCE MANAGEMENT AND JOINT PRALUENT COMMITTEE</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 Alliance Management</w:t>
      </w:r>
    </w:p>
    <w:p>
      <w:pPr>
        <w:ind w:left="1300"/>
        <w:spacing w:after="0" w:line="238" w:lineRule="auto"/>
        <w:rPr>
          <w:sz w:val="20"/>
          <w:szCs w:val="20"/>
          <w:color w:val="auto"/>
        </w:rPr>
      </w:pPr>
      <w:r>
        <w:rPr>
          <w:rFonts w:ascii="Arial" w:cs="Arial" w:eastAsia="Arial" w:hAnsi="Arial"/>
          <w:sz w:val="22"/>
          <w:szCs w:val="22"/>
          <w:color w:val="auto"/>
        </w:rPr>
        <w:t>3.2 Joint Praluent Committee</w:t>
      </w:r>
    </w:p>
    <w:p>
      <w:pPr>
        <w:ind w:left="1300"/>
        <w:spacing w:after="0" w:line="230" w:lineRule="auto"/>
        <w:rPr>
          <w:sz w:val="20"/>
          <w:szCs w:val="20"/>
          <w:color w:val="auto"/>
        </w:rPr>
      </w:pPr>
      <w:r>
        <w:rPr>
          <w:rFonts w:ascii="Arial" w:cs="Arial" w:eastAsia="Arial" w:hAnsi="Arial"/>
          <w:sz w:val="22"/>
          <w:szCs w:val="22"/>
          <w:color w:val="auto"/>
        </w:rPr>
        <w:t>3.3 Composition; Meetings; Disbandment; Limitations on Authority</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3.4 Cooperation Generally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ARTICLE 4 DEVELOPMENT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4.1 Development of Praluent Products</w:t>
      </w:r>
    </w:p>
    <w:p>
      <w:pPr>
        <w:ind w:left="1300"/>
        <w:spacing w:after="0" w:line="238" w:lineRule="auto"/>
        <w:rPr>
          <w:sz w:val="20"/>
          <w:szCs w:val="20"/>
          <w:color w:val="auto"/>
        </w:rPr>
      </w:pPr>
      <w:r>
        <w:rPr>
          <w:rFonts w:ascii="Arial" w:cs="Arial" w:eastAsia="Arial" w:hAnsi="Arial"/>
          <w:sz w:val="22"/>
          <w:szCs w:val="22"/>
          <w:color w:val="auto"/>
        </w:rPr>
        <w:t>4.2 Global Clinical Trials</w:t>
      </w:r>
    </w:p>
    <w:p>
      <w:pPr>
        <w:ind w:left="1300"/>
        <w:spacing w:after="0" w:line="230" w:lineRule="auto"/>
        <w:rPr>
          <w:sz w:val="20"/>
          <w:szCs w:val="20"/>
          <w:color w:val="auto"/>
        </w:rPr>
      </w:pPr>
      <w:r>
        <w:rPr>
          <w:rFonts w:ascii="Arial" w:cs="Arial" w:eastAsia="Arial" w:hAnsi="Arial"/>
          <w:sz w:val="22"/>
          <w:szCs w:val="22"/>
          <w:color w:val="auto"/>
        </w:rPr>
        <w:t>4.3 Other Existing Trials</w:t>
      </w:r>
    </w:p>
    <w:p>
      <w:pPr>
        <w:ind w:left="1300"/>
        <w:spacing w:after="0" w:line="231" w:lineRule="auto"/>
        <w:rPr>
          <w:sz w:val="20"/>
          <w:szCs w:val="20"/>
          <w:color w:val="auto"/>
        </w:rPr>
      </w:pPr>
      <w:r>
        <w:rPr>
          <w:rFonts w:ascii="Arial" w:cs="Arial" w:eastAsia="Arial" w:hAnsi="Arial"/>
          <w:sz w:val="22"/>
          <w:szCs w:val="22"/>
          <w:color w:val="auto"/>
        </w:rPr>
        <w:t>4.4 Supply for Certain Investigator-Initiated Studies</w:t>
      </w:r>
    </w:p>
    <w:p>
      <w:pPr>
        <w:ind w:left="1300"/>
        <w:spacing w:after="0" w:line="230" w:lineRule="auto"/>
        <w:rPr>
          <w:sz w:val="20"/>
          <w:szCs w:val="20"/>
          <w:color w:val="auto"/>
        </w:rPr>
      </w:pPr>
      <w:r>
        <w:rPr>
          <w:rFonts w:ascii="Arial" w:cs="Arial" w:eastAsia="Arial" w:hAnsi="Arial"/>
          <w:sz w:val="22"/>
          <w:szCs w:val="22"/>
          <w:color w:val="auto"/>
        </w:rPr>
        <w:t>4.5 Development Records</w:t>
      </w:r>
    </w:p>
    <w:p>
      <w:pPr>
        <w:ind w:left="1300"/>
        <w:spacing w:after="0" w:line="231" w:lineRule="auto"/>
        <w:rPr>
          <w:sz w:val="20"/>
          <w:szCs w:val="20"/>
          <w:color w:val="auto"/>
        </w:rPr>
      </w:pPr>
      <w:r>
        <w:rPr>
          <w:rFonts w:ascii="Arial" w:cs="Arial" w:eastAsia="Arial" w:hAnsi="Arial"/>
          <w:sz w:val="22"/>
          <w:szCs w:val="22"/>
          <w:color w:val="auto"/>
        </w:rPr>
        <w:t>4.6 Human Biological Materials</w:t>
      </w:r>
    </w:p>
    <w:p>
      <w:pPr>
        <w:ind w:left="1300"/>
        <w:spacing w:after="0" w:line="230" w:lineRule="auto"/>
        <w:rPr>
          <w:sz w:val="20"/>
          <w:szCs w:val="20"/>
          <w:color w:val="auto"/>
        </w:rPr>
      </w:pPr>
      <w:r>
        <w:rPr>
          <w:rFonts w:ascii="Arial" w:cs="Arial" w:eastAsia="Arial" w:hAnsi="Arial"/>
          <w:sz w:val="22"/>
          <w:szCs w:val="22"/>
          <w:color w:val="auto"/>
        </w:rPr>
        <w:t>4.7 Bioanalytical Testing of Sanofi Samples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 Clinical Trial Updates and Notices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5 COMMERCIALIZATION</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Commercialization of Praluent Products</w:t>
      </w:r>
    </w:p>
    <w:p>
      <w:pPr>
        <w:ind w:left="1300"/>
        <w:spacing w:after="0" w:line="238" w:lineRule="auto"/>
        <w:rPr>
          <w:sz w:val="20"/>
          <w:szCs w:val="20"/>
          <w:color w:val="auto"/>
        </w:rPr>
      </w:pPr>
      <w:r>
        <w:rPr>
          <w:rFonts w:ascii="Arial" w:cs="Arial" w:eastAsia="Arial" w:hAnsi="Arial"/>
          <w:sz w:val="22"/>
          <w:szCs w:val="22"/>
          <w:color w:val="auto"/>
        </w:rPr>
        <w:t>5.2 Booking of Sales and Praluent Product Distribution</w:t>
      </w:r>
    </w:p>
    <w:p>
      <w:pPr>
        <w:ind w:left="1300"/>
        <w:spacing w:after="0" w:line="230" w:lineRule="auto"/>
        <w:rPr>
          <w:sz w:val="20"/>
          <w:szCs w:val="20"/>
          <w:color w:val="auto"/>
        </w:rPr>
      </w:pPr>
      <w:r>
        <w:rPr>
          <w:rFonts w:ascii="Arial" w:cs="Arial" w:eastAsia="Arial" w:hAnsi="Arial"/>
          <w:sz w:val="22"/>
          <w:szCs w:val="22"/>
          <w:color w:val="auto"/>
        </w:rPr>
        <w:t>5.3 Commercialization Updates</w:t>
      </w:r>
    </w:p>
    <w:p>
      <w:pPr>
        <w:ind w:left="1300"/>
        <w:spacing w:after="0" w:line="231" w:lineRule="auto"/>
        <w:rPr>
          <w:sz w:val="20"/>
          <w:szCs w:val="20"/>
          <w:color w:val="auto"/>
        </w:rPr>
      </w:pPr>
      <w:r>
        <w:rPr>
          <w:rFonts w:ascii="Arial" w:cs="Arial" w:eastAsia="Arial" w:hAnsi="Arial"/>
          <w:sz w:val="22"/>
          <w:szCs w:val="22"/>
          <w:color w:val="auto"/>
        </w:rPr>
        <w:t>5.4 Medical and Consumer Inquiries</w:t>
      </w:r>
    </w:p>
    <w:p>
      <w:pPr>
        <w:ind w:left="1300"/>
        <w:spacing w:after="0" w:line="230" w:lineRule="auto"/>
        <w:rPr>
          <w:sz w:val="20"/>
          <w:szCs w:val="20"/>
          <w:color w:val="auto"/>
        </w:rPr>
      </w:pPr>
      <w:r>
        <w:rPr>
          <w:rFonts w:ascii="Arial" w:cs="Arial" w:eastAsia="Arial" w:hAnsi="Arial"/>
          <w:sz w:val="22"/>
          <w:szCs w:val="22"/>
          <w:color w:val="auto"/>
        </w:rPr>
        <w:t>5.5 Market Exclusivity Extensions</w:t>
      </w:r>
    </w:p>
    <w:p>
      <w:pPr>
        <w:ind w:left="1300"/>
        <w:spacing w:after="0" w:line="231" w:lineRule="auto"/>
        <w:rPr>
          <w:sz w:val="20"/>
          <w:szCs w:val="20"/>
          <w:color w:val="auto"/>
        </w:rPr>
      </w:pPr>
      <w:r>
        <w:rPr>
          <w:rFonts w:ascii="Arial" w:cs="Arial" w:eastAsia="Arial" w:hAnsi="Arial"/>
          <w:sz w:val="22"/>
          <w:szCs w:val="22"/>
          <w:color w:val="auto"/>
        </w:rPr>
        <w:t>5.6 Promotional Materials</w:t>
      </w:r>
    </w:p>
    <w:p>
      <w:pPr>
        <w:ind w:left="1300"/>
        <w:spacing w:after="0" w:line="230" w:lineRule="auto"/>
        <w:rPr>
          <w:sz w:val="20"/>
          <w:szCs w:val="20"/>
          <w:color w:val="auto"/>
        </w:rPr>
      </w:pPr>
      <w:r>
        <w:rPr>
          <w:rFonts w:ascii="Arial" w:cs="Arial" w:eastAsia="Arial" w:hAnsi="Arial"/>
          <w:sz w:val="22"/>
          <w:szCs w:val="22"/>
          <w:color w:val="auto"/>
        </w:rPr>
        <w:t>5.7 Market Access; Pricing Approvals; Re-Sale Price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5.8 Cross-Territory Sales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6 REGULATORY AFFAIRS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6.1 Ownership of Approvals and Regulatory Filings</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6.2 Rights of Reference; Sanofi ROR Authorizations; DAI Design History File; Separate INDs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6.3 Regulatory Activities</w:t>
      </w:r>
    </w:p>
    <w:p>
      <w:pPr>
        <w:ind w:left="1300"/>
        <w:spacing w:after="0"/>
        <w:rPr>
          <w:sz w:val="20"/>
          <w:szCs w:val="20"/>
          <w:color w:val="auto"/>
        </w:rPr>
      </w:pPr>
      <w:r>
        <w:rPr>
          <w:rFonts w:ascii="Arial" w:cs="Arial" w:eastAsia="Arial" w:hAnsi="Arial"/>
          <w:sz w:val="22"/>
          <w:szCs w:val="22"/>
          <w:color w:val="auto"/>
        </w:rPr>
        <w:t>6.4 Pharmacovigilance and Safety Data Exchange</w:t>
      </w:r>
    </w:p>
    <w:p>
      <w:pPr>
        <w:sectPr>
          <w:pgSz w:w="11900" w:h="16838" w:orient="portrait"/>
          <w:cols w:equalWidth="0" w:num="1">
            <w:col w:w="10139"/>
          </w:cols>
          <w:pgMar w:left="320" w:top="1408" w:right="1440" w:bottom="1440" w:gutter="0" w:footer="0" w:header="0"/>
        </w:sectPr>
      </w:pPr>
    </w:p>
    <w:bookmarkStart w:id="102" w:name="page103"/>
    <w:bookmarkEnd w:id="102"/>
    <w:p>
      <w:pPr>
        <w:ind w:left="1300"/>
        <w:spacing w:after="0"/>
        <w:rPr>
          <w:sz w:val="20"/>
          <w:szCs w:val="20"/>
          <w:color w:val="auto"/>
        </w:rPr>
      </w:pPr>
      <w:r>
        <w:rPr>
          <w:rFonts w:ascii="Arial" w:cs="Arial" w:eastAsia="Arial" w:hAnsi="Arial"/>
          <w:sz w:val="22"/>
          <w:szCs w:val="22"/>
          <w:color w:val="auto"/>
        </w:rPr>
        <w:t>6.5 Regulatory Inspection or Audit</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6.6 Recalls and Other Corrective Actions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7 TECHNOLOGY TRANSFER - MANUFACTURING AND SUPPLY</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7.1 Manufacturing Generally</w:t>
      </w:r>
    </w:p>
    <w:p>
      <w:pPr>
        <w:ind w:left="1300"/>
        <w:spacing w:after="0" w:line="238" w:lineRule="auto"/>
        <w:rPr>
          <w:sz w:val="20"/>
          <w:szCs w:val="20"/>
          <w:color w:val="auto"/>
        </w:rPr>
      </w:pPr>
      <w:r>
        <w:rPr>
          <w:rFonts w:ascii="Arial" w:cs="Arial" w:eastAsia="Arial" w:hAnsi="Arial"/>
          <w:sz w:val="22"/>
          <w:szCs w:val="22"/>
          <w:color w:val="auto"/>
        </w:rPr>
        <w:t>7.2 [* * *]</w:t>
      </w:r>
    </w:p>
    <w:p>
      <w:pPr>
        <w:ind w:left="1300"/>
        <w:spacing w:after="0" w:line="230" w:lineRule="auto"/>
        <w:rPr>
          <w:sz w:val="20"/>
          <w:szCs w:val="20"/>
          <w:color w:val="auto"/>
        </w:rPr>
      </w:pPr>
      <w:r>
        <w:rPr>
          <w:rFonts w:ascii="Arial" w:cs="Arial" w:eastAsia="Arial" w:hAnsi="Arial"/>
          <w:sz w:val="22"/>
          <w:szCs w:val="22"/>
          <w:color w:val="auto"/>
        </w:rPr>
        <w:t>7.3 Drug Substance Tech Transfer Plan</w:t>
      </w:r>
    </w:p>
    <w:p>
      <w:pPr>
        <w:ind w:left="1300"/>
        <w:spacing w:after="0" w:line="231" w:lineRule="auto"/>
        <w:rPr>
          <w:sz w:val="20"/>
          <w:szCs w:val="20"/>
          <w:color w:val="auto"/>
        </w:rPr>
      </w:pPr>
      <w:r>
        <w:rPr>
          <w:rFonts w:ascii="Arial" w:cs="Arial" w:eastAsia="Arial" w:hAnsi="Arial"/>
          <w:sz w:val="22"/>
          <w:szCs w:val="22"/>
          <w:color w:val="auto"/>
        </w:rPr>
        <w:t>7.4 Technology Transfer Costs</w:t>
      </w:r>
    </w:p>
    <w:p>
      <w:pPr>
        <w:ind w:left="1300"/>
        <w:spacing w:after="0" w:line="230" w:lineRule="auto"/>
        <w:rPr>
          <w:sz w:val="20"/>
          <w:szCs w:val="20"/>
          <w:color w:val="auto"/>
        </w:rPr>
      </w:pPr>
      <w:r>
        <w:rPr>
          <w:rFonts w:ascii="Arial" w:cs="Arial" w:eastAsia="Arial" w:hAnsi="Arial"/>
          <w:sz w:val="22"/>
          <w:szCs w:val="22"/>
          <w:color w:val="auto"/>
        </w:rPr>
        <w:t>7.5 Praluent Supply Agreements</w:t>
      </w:r>
    </w:p>
    <w:p>
      <w:pPr>
        <w:ind w:left="1300"/>
        <w:spacing w:after="0" w:line="231" w:lineRule="auto"/>
        <w:rPr>
          <w:sz w:val="20"/>
          <w:szCs w:val="20"/>
          <w:color w:val="auto"/>
        </w:rPr>
      </w:pPr>
      <w:r>
        <w:rPr>
          <w:rFonts w:ascii="Arial" w:cs="Arial" w:eastAsia="Arial" w:hAnsi="Arial"/>
          <w:sz w:val="22"/>
          <w:szCs w:val="22"/>
          <w:color w:val="auto"/>
        </w:rPr>
        <w:t>7.6 Back-up Supply</w:t>
      </w:r>
    </w:p>
    <w:p>
      <w:pPr>
        <w:ind w:left="1300"/>
        <w:spacing w:after="0" w:line="230" w:lineRule="auto"/>
        <w:rPr>
          <w:sz w:val="20"/>
          <w:szCs w:val="20"/>
          <w:color w:val="auto"/>
        </w:rPr>
      </w:pPr>
      <w:r>
        <w:rPr>
          <w:rFonts w:ascii="Arial" w:cs="Arial" w:eastAsia="Arial" w:hAnsi="Arial"/>
          <w:sz w:val="22"/>
          <w:szCs w:val="22"/>
          <w:color w:val="auto"/>
        </w:rPr>
        <w:t>7.7 Regeneron Cell Media</w:t>
      </w:r>
    </w:p>
    <w:p>
      <w:pPr>
        <w:ind w:left="1300"/>
        <w:spacing w:after="0" w:line="231" w:lineRule="auto"/>
        <w:rPr>
          <w:sz w:val="20"/>
          <w:szCs w:val="20"/>
          <w:color w:val="auto"/>
        </w:rPr>
      </w:pPr>
      <w:r>
        <w:rPr>
          <w:rFonts w:ascii="Arial" w:cs="Arial" w:eastAsia="Arial" w:hAnsi="Arial"/>
          <w:sz w:val="22"/>
          <w:szCs w:val="22"/>
          <w:color w:val="auto"/>
        </w:rPr>
        <w:t>7.8 Cell Banks</w:t>
      </w:r>
    </w:p>
    <w:p>
      <w:pPr>
        <w:ind w:left="1300"/>
        <w:spacing w:after="0"/>
        <w:rPr>
          <w:sz w:val="20"/>
          <w:szCs w:val="20"/>
          <w:color w:val="auto"/>
        </w:rPr>
      </w:pPr>
      <w:r>
        <w:rPr>
          <w:rFonts w:ascii="Arial" w:cs="Arial" w:eastAsia="Arial" w:hAnsi="Arial"/>
          <w:sz w:val="22"/>
          <w:szCs w:val="22"/>
          <w:color w:val="auto"/>
        </w:rPr>
        <w:t>7.9 Manufacturing Transition Team</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8 PAYMENTS; BOOKS &amp; RECORDS; AUDITS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 Royalties to Regeneron</w:t>
      </w:r>
    </w:p>
    <w:p>
      <w:pPr>
        <w:ind w:left="1300"/>
        <w:spacing w:after="0" w:line="238" w:lineRule="auto"/>
        <w:rPr>
          <w:sz w:val="20"/>
          <w:szCs w:val="20"/>
          <w:color w:val="auto"/>
        </w:rPr>
      </w:pPr>
      <w:r>
        <w:rPr>
          <w:rFonts w:ascii="Arial" w:cs="Arial" w:eastAsia="Arial" w:hAnsi="Arial"/>
          <w:sz w:val="22"/>
          <w:szCs w:val="22"/>
          <w:color w:val="auto"/>
        </w:rPr>
        <w:t>8.2 No Royalty to Sanofi</w:t>
      </w:r>
    </w:p>
    <w:p>
      <w:pPr>
        <w:ind w:left="1300"/>
        <w:spacing w:after="0" w:line="230" w:lineRule="auto"/>
        <w:rPr>
          <w:sz w:val="20"/>
          <w:szCs w:val="20"/>
          <w:color w:val="auto"/>
        </w:rPr>
      </w:pPr>
      <w:r>
        <w:rPr>
          <w:rFonts w:ascii="Arial" w:cs="Arial" w:eastAsia="Arial" w:hAnsi="Arial"/>
          <w:sz w:val="22"/>
          <w:szCs w:val="22"/>
          <w:color w:val="auto"/>
        </w:rPr>
        <w:t>8.3 Reporting</w:t>
      </w:r>
    </w:p>
    <w:p>
      <w:pPr>
        <w:ind w:left="1300"/>
        <w:spacing w:after="0" w:line="231" w:lineRule="auto"/>
        <w:rPr>
          <w:sz w:val="20"/>
          <w:szCs w:val="20"/>
          <w:color w:val="auto"/>
        </w:rPr>
      </w:pPr>
      <w:r>
        <w:rPr>
          <w:rFonts w:ascii="Arial" w:cs="Arial" w:eastAsia="Arial" w:hAnsi="Arial"/>
          <w:sz w:val="22"/>
          <w:szCs w:val="22"/>
          <w:color w:val="auto"/>
        </w:rPr>
        <w:t>8.4 Royalty Payments</w:t>
      </w:r>
    </w:p>
    <w:p>
      <w:pPr>
        <w:ind w:left="1300"/>
        <w:spacing w:after="0" w:line="230" w:lineRule="auto"/>
        <w:rPr>
          <w:sz w:val="20"/>
          <w:szCs w:val="20"/>
          <w:color w:val="auto"/>
        </w:rPr>
      </w:pPr>
      <w:r>
        <w:rPr>
          <w:rFonts w:ascii="Arial" w:cs="Arial" w:eastAsia="Arial" w:hAnsi="Arial"/>
          <w:sz w:val="22"/>
          <w:szCs w:val="22"/>
          <w:color w:val="auto"/>
        </w:rPr>
        <w:t>8.5 Transferred Inventory</w:t>
      </w:r>
    </w:p>
    <w:p>
      <w:pPr>
        <w:ind w:left="1300"/>
        <w:spacing w:after="0" w:line="231" w:lineRule="auto"/>
        <w:rPr>
          <w:sz w:val="20"/>
          <w:szCs w:val="20"/>
          <w:color w:val="auto"/>
        </w:rPr>
      </w:pPr>
      <w:r>
        <w:rPr>
          <w:rFonts w:ascii="Arial" w:cs="Arial" w:eastAsia="Arial" w:hAnsi="Arial"/>
          <w:sz w:val="22"/>
          <w:szCs w:val="22"/>
          <w:color w:val="auto"/>
        </w:rPr>
        <w:t>8.6 Allocation of Sales Deduction Costs</w:t>
      </w:r>
    </w:p>
    <w:p>
      <w:pPr>
        <w:ind w:left="1300"/>
        <w:spacing w:after="0" w:line="230" w:lineRule="auto"/>
        <w:rPr>
          <w:sz w:val="20"/>
          <w:szCs w:val="20"/>
          <w:color w:val="auto"/>
        </w:rPr>
      </w:pPr>
      <w:r>
        <w:rPr>
          <w:rFonts w:ascii="Arial" w:cs="Arial" w:eastAsia="Arial" w:hAnsi="Arial"/>
          <w:sz w:val="22"/>
          <w:szCs w:val="22"/>
          <w:color w:val="auto"/>
        </w:rPr>
        <w:t>8.7 Reimbursement</w:t>
      </w:r>
    </w:p>
    <w:p>
      <w:pPr>
        <w:ind w:left="1300"/>
        <w:spacing w:after="0" w:line="231" w:lineRule="auto"/>
        <w:rPr>
          <w:sz w:val="20"/>
          <w:szCs w:val="20"/>
          <w:color w:val="auto"/>
        </w:rPr>
      </w:pPr>
      <w:r>
        <w:rPr>
          <w:rFonts w:ascii="Arial" w:cs="Arial" w:eastAsia="Arial" w:hAnsi="Arial"/>
          <w:sz w:val="22"/>
          <w:szCs w:val="22"/>
          <w:color w:val="auto"/>
        </w:rPr>
        <w:t>8.8 Payment Method and Currency</w:t>
      </w:r>
    </w:p>
    <w:p>
      <w:pPr>
        <w:ind w:left="1300"/>
        <w:spacing w:after="0" w:line="230" w:lineRule="auto"/>
        <w:rPr>
          <w:sz w:val="20"/>
          <w:szCs w:val="20"/>
          <w:color w:val="auto"/>
        </w:rPr>
      </w:pPr>
      <w:r>
        <w:rPr>
          <w:rFonts w:ascii="Arial" w:cs="Arial" w:eastAsia="Arial" w:hAnsi="Arial"/>
          <w:sz w:val="22"/>
          <w:szCs w:val="22"/>
          <w:color w:val="auto"/>
        </w:rPr>
        <w:t>8.9 Late Payments</w:t>
      </w:r>
    </w:p>
    <w:p>
      <w:pPr>
        <w:ind w:left="1300"/>
        <w:spacing w:after="0" w:line="231" w:lineRule="auto"/>
        <w:rPr>
          <w:sz w:val="20"/>
          <w:szCs w:val="20"/>
          <w:color w:val="auto"/>
        </w:rPr>
      </w:pPr>
      <w:r>
        <w:rPr>
          <w:rFonts w:ascii="Arial" w:cs="Arial" w:eastAsia="Arial" w:hAnsi="Arial"/>
          <w:sz w:val="22"/>
          <w:szCs w:val="22"/>
          <w:color w:val="auto"/>
        </w:rPr>
        <w:t>8.10 Taxes</w:t>
      </w:r>
    </w:p>
    <w:p>
      <w:pPr>
        <w:ind w:left="1300"/>
        <w:spacing w:after="0" w:line="231" w:lineRule="auto"/>
        <w:rPr>
          <w:sz w:val="20"/>
          <w:szCs w:val="20"/>
          <w:color w:val="auto"/>
        </w:rPr>
      </w:pPr>
      <w:r>
        <w:rPr>
          <w:rFonts w:ascii="Arial" w:cs="Arial" w:eastAsia="Arial" w:hAnsi="Arial"/>
          <w:sz w:val="22"/>
          <w:szCs w:val="22"/>
          <w:color w:val="auto"/>
        </w:rPr>
        <w:t>8.11 Sanofi Records; Audits by Regeneron</w:t>
      </w:r>
    </w:p>
    <w:p>
      <w:pPr>
        <w:ind w:left="1300"/>
        <w:spacing w:after="0"/>
        <w:rPr>
          <w:sz w:val="20"/>
          <w:szCs w:val="20"/>
          <w:color w:val="auto"/>
        </w:rPr>
      </w:pPr>
      <w:r>
        <w:rPr>
          <w:rFonts w:ascii="Arial" w:cs="Arial" w:eastAsia="Arial" w:hAnsi="Arial"/>
          <w:sz w:val="22"/>
          <w:szCs w:val="22"/>
          <w:color w:val="auto"/>
        </w:rPr>
        <w:t>8.12 Regeneron Records; Audits by Sanofi</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ARTICLE 9 TRADEMARKS, COPYRIGHTS, CORPORATE LOGOS AND DOMAIN NAMES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9.1 Ownership</w:t>
      </w:r>
    </w:p>
    <w:p>
      <w:pPr>
        <w:ind w:left="1300"/>
        <w:spacing w:after="0" w:line="238" w:lineRule="auto"/>
        <w:rPr>
          <w:sz w:val="20"/>
          <w:szCs w:val="20"/>
          <w:color w:val="auto"/>
        </w:rPr>
      </w:pPr>
      <w:r>
        <w:rPr>
          <w:rFonts w:ascii="Arial" w:cs="Arial" w:eastAsia="Arial" w:hAnsi="Arial"/>
          <w:sz w:val="22"/>
          <w:szCs w:val="22"/>
          <w:color w:val="auto"/>
        </w:rPr>
        <w:t>9.2 Prosecution, Maintenance, Enforcement, and Defense of Trademarks</w:t>
      </w:r>
    </w:p>
    <w:p>
      <w:pPr>
        <w:ind w:left="1300"/>
        <w:spacing w:after="0" w:line="230" w:lineRule="auto"/>
        <w:rPr>
          <w:sz w:val="20"/>
          <w:szCs w:val="20"/>
          <w:color w:val="auto"/>
        </w:rPr>
      </w:pPr>
      <w:r>
        <w:rPr>
          <w:rFonts w:ascii="Arial" w:cs="Arial" w:eastAsia="Arial" w:hAnsi="Arial"/>
          <w:sz w:val="22"/>
          <w:szCs w:val="22"/>
          <w:color w:val="auto"/>
        </w:rPr>
        <w:t>9.3 Use of Trademarks and Domain Names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9.4 Use of Corporate Names and Logos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10 INTELLECTUAL PROPERTY</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10.1 Ownership of Intellectual Property</w:t>
      </w:r>
    </w:p>
    <w:p>
      <w:pPr>
        <w:ind w:left="1300"/>
        <w:spacing w:after="0" w:line="238" w:lineRule="auto"/>
        <w:rPr>
          <w:sz w:val="20"/>
          <w:szCs w:val="20"/>
          <w:color w:val="auto"/>
        </w:rPr>
      </w:pPr>
      <w:r>
        <w:rPr>
          <w:rFonts w:ascii="Arial" w:cs="Arial" w:eastAsia="Arial" w:hAnsi="Arial"/>
          <w:sz w:val="22"/>
          <w:szCs w:val="22"/>
          <w:color w:val="auto"/>
        </w:rPr>
        <w:t>10.2 Prosecution and Maintenance of Patents</w:t>
      </w:r>
    </w:p>
    <w:p>
      <w:pPr>
        <w:ind w:left="1300"/>
        <w:spacing w:after="0" w:line="230" w:lineRule="auto"/>
        <w:rPr>
          <w:sz w:val="20"/>
          <w:szCs w:val="20"/>
          <w:color w:val="auto"/>
        </w:rPr>
      </w:pPr>
      <w:r>
        <w:rPr>
          <w:rFonts w:ascii="Arial" w:cs="Arial" w:eastAsia="Arial" w:hAnsi="Arial"/>
          <w:sz w:val="22"/>
          <w:szCs w:val="22"/>
          <w:color w:val="auto"/>
        </w:rPr>
        <w:t>10.3 Interference, Opposition and Reissue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10.4 Background Patents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11 PATENT LITIGATION</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 Enforcement of Patents</w:t>
      </w:r>
    </w:p>
    <w:p>
      <w:pPr>
        <w:ind w:left="1300"/>
        <w:spacing w:after="0" w:line="238" w:lineRule="auto"/>
        <w:rPr>
          <w:sz w:val="20"/>
          <w:szCs w:val="20"/>
          <w:color w:val="auto"/>
        </w:rPr>
      </w:pPr>
      <w:r>
        <w:rPr>
          <w:rFonts w:ascii="Arial" w:cs="Arial" w:eastAsia="Arial" w:hAnsi="Arial"/>
          <w:sz w:val="22"/>
          <w:szCs w:val="22"/>
          <w:color w:val="auto"/>
        </w:rPr>
        <w:t>11.2 Patent Marking</w:t>
      </w:r>
    </w:p>
    <w:p>
      <w:pPr>
        <w:ind w:left="1300"/>
        <w:spacing w:after="0" w:line="230" w:lineRule="auto"/>
        <w:rPr>
          <w:sz w:val="20"/>
          <w:szCs w:val="20"/>
          <w:color w:val="auto"/>
        </w:rPr>
      </w:pPr>
      <w:r>
        <w:rPr>
          <w:rFonts w:ascii="Arial" w:cs="Arial" w:eastAsia="Arial" w:hAnsi="Arial"/>
          <w:sz w:val="22"/>
          <w:szCs w:val="22"/>
          <w:color w:val="auto"/>
        </w:rPr>
        <w:t>11.3 Third Party Infringement Claims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11.4 Invalidity or Unenforceability Defenses or Actions</w:t>
      </w:r>
    </w:p>
    <w:p>
      <w:pPr>
        <w:sectPr>
          <w:pgSz w:w="11900" w:h="16838" w:orient="portrait"/>
          <w:cols w:equalWidth="0" w:num="1">
            <w:col w:w="10139"/>
          </w:cols>
          <w:pgMar w:left="320" w:top="1414" w:right="1440" w:bottom="1440" w:gutter="0" w:footer="0" w:header="0"/>
        </w:sectPr>
      </w:pPr>
    </w:p>
    <w:bookmarkStart w:id="103" w:name="page104"/>
    <w:bookmarkEnd w:id="103"/>
    <w:p>
      <w:pPr>
        <w:ind w:left="1300"/>
        <w:spacing w:after="0"/>
        <w:rPr>
          <w:sz w:val="20"/>
          <w:szCs w:val="20"/>
          <w:color w:val="auto"/>
        </w:rPr>
      </w:pPr>
      <w:r>
        <w:rPr>
          <w:rFonts w:ascii="Arial" w:cs="Arial" w:eastAsia="Arial" w:hAnsi="Arial"/>
          <w:sz w:val="19"/>
          <w:szCs w:val="19"/>
          <w:color w:val="auto"/>
        </w:rPr>
        <w:t>11.5 Interference, Opposition and Reissue of Third Party Patents</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 Transfer of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12 REPRESENTATIONS AND WARRANTIES</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12.1 Due Organization, Valid Existence and Due Authorization</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12.2 Additional Representations and Warranties of the Parties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12.3 Disclaimer of Warranties</w:t>
      </w:r>
    </w:p>
    <w:p>
      <w:pPr>
        <w:ind w:left="1300"/>
        <w:spacing w:after="0"/>
        <w:rPr>
          <w:sz w:val="20"/>
          <w:szCs w:val="20"/>
          <w:color w:val="auto"/>
        </w:rPr>
      </w:pPr>
      <w:r>
        <w:rPr>
          <w:rFonts w:ascii="Arial" w:cs="Arial" w:eastAsia="Arial" w:hAnsi="Arial"/>
          <w:sz w:val="22"/>
          <w:szCs w:val="22"/>
          <w:color w:val="auto"/>
        </w:rPr>
        <w:t>12.4 Mutual Covenants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13 CONFIDENTIALITY</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13.1 Confidential Information</w:t>
      </w:r>
    </w:p>
    <w:p>
      <w:pPr>
        <w:ind w:left="1300"/>
        <w:spacing w:after="0" w:line="238" w:lineRule="auto"/>
        <w:rPr>
          <w:sz w:val="20"/>
          <w:szCs w:val="20"/>
          <w:color w:val="auto"/>
        </w:rPr>
      </w:pPr>
      <w:r>
        <w:rPr>
          <w:rFonts w:ascii="Arial" w:cs="Arial" w:eastAsia="Arial" w:hAnsi="Arial"/>
          <w:sz w:val="22"/>
          <w:szCs w:val="22"/>
          <w:color w:val="auto"/>
        </w:rPr>
        <w:t>13.2 Exclusions</w:t>
      </w:r>
    </w:p>
    <w:p>
      <w:pPr>
        <w:ind w:left="1300"/>
        <w:spacing w:after="0" w:line="230" w:lineRule="auto"/>
        <w:rPr>
          <w:sz w:val="20"/>
          <w:szCs w:val="20"/>
          <w:color w:val="auto"/>
        </w:rPr>
      </w:pPr>
      <w:r>
        <w:rPr>
          <w:rFonts w:ascii="Arial" w:cs="Arial" w:eastAsia="Arial" w:hAnsi="Arial"/>
          <w:sz w:val="22"/>
          <w:szCs w:val="22"/>
          <w:color w:val="auto"/>
        </w:rPr>
        <w:t>13.3 Permitted Disclosures and Uses</w:t>
      </w:r>
    </w:p>
    <w:p>
      <w:pPr>
        <w:ind w:left="1300"/>
        <w:spacing w:after="0" w:line="231" w:lineRule="auto"/>
        <w:rPr>
          <w:sz w:val="20"/>
          <w:szCs w:val="20"/>
          <w:color w:val="auto"/>
        </w:rPr>
      </w:pPr>
      <w:r>
        <w:rPr>
          <w:rFonts w:ascii="Arial" w:cs="Arial" w:eastAsia="Arial" w:hAnsi="Arial"/>
          <w:sz w:val="22"/>
          <w:szCs w:val="22"/>
          <w:color w:val="auto"/>
        </w:rPr>
        <w:t>13.4 Injunctive Relief</w:t>
      </w:r>
    </w:p>
    <w:p>
      <w:pPr>
        <w:ind w:left="1300"/>
        <w:spacing w:after="0" w:line="230" w:lineRule="auto"/>
        <w:rPr>
          <w:sz w:val="20"/>
          <w:szCs w:val="20"/>
          <w:color w:val="auto"/>
        </w:rPr>
      </w:pPr>
      <w:r>
        <w:rPr>
          <w:rFonts w:ascii="Arial" w:cs="Arial" w:eastAsia="Arial" w:hAnsi="Arial"/>
          <w:sz w:val="22"/>
          <w:szCs w:val="22"/>
          <w:color w:val="auto"/>
        </w:rPr>
        <w:t>13.5 Publication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13.6 Other Publications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ARTICLE 14 INDEMNITY</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14.1 Indemnity and Insurance</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14.2 Indemnity Procedure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15 FORCE MAJEURE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ARTICLE 16 TERM AND TERMINATION</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16.1 Term</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16.2 Termination of Licenses and Certain Contractual Restrictions</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16.3 Other Effects of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17 DISPUTE RESOLUTION</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17.1 Resolution of Disputes</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17.2 Governing Law; Submission to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ARTICLE 18 MISCELLANEOUS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18.1 Compliance With Law</w:t>
      </w:r>
    </w:p>
    <w:p>
      <w:pPr>
        <w:ind w:left="1300"/>
        <w:spacing w:after="0" w:line="238" w:lineRule="auto"/>
        <w:rPr>
          <w:sz w:val="20"/>
          <w:szCs w:val="20"/>
          <w:color w:val="auto"/>
        </w:rPr>
      </w:pPr>
      <w:r>
        <w:rPr>
          <w:rFonts w:ascii="Arial" w:cs="Arial" w:eastAsia="Arial" w:hAnsi="Arial"/>
          <w:sz w:val="22"/>
          <w:szCs w:val="22"/>
          <w:color w:val="auto"/>
        </w:rPr>
        <w:t>18.2 Further Assurances and Transaction Approvals</w:t>
      </w:r>
    </w:p>
    <w:p>
      <w:pPr>
        <w:ind w:left="1300"/>
        <w:spacing w:after="0" w:line="230" w:lineRule="auto"/>
        <w:rPr>
          <w:sz w:val="20"/>
          <w:szCs w:val="20"/>
          <w:color w:val="auto"/>
        </w:rPr>
      </w:pPr>
      <w:r>
        <w:rPr>
          <w:rFonts w:ascii="Arial" w:cs="Arial" w:eastAsia="Arial" w:hAnsi="Arial"/>
          <w:sz w:val="22"/>
          <w:szCs w:val="22"/>
          <w:color w:val="auto"/>
        </w:rPr>
        <w:t>18.3 Waiver</w:t>
      </w:r>
    </w:p>
    <w:p>
      <w:pPr>
        <w:ind w:left="1300"/>
        <w:spacing w:after="0" w:line="231" w:lineRule="auto"/>
        <w:rPr>
          <w:sz w:val="20"/>
          <w:szCs w:val="20"/>
          <w:color w:val="auto"/>
        </w:rPr>
      </w:pPr>
      <w:r>
        <w:rPr>
          <w:rFonts w:ascii="Arial" w:cs="Arial" w:eastAsia="Arial" w:hAnsi="Arial"/>
          <w:sz w:val="22"/>
          <w:szCs w:val="22"/>
          <w:color w:val="auto"/>
        </w:rPr>
        <w:t>18.4 Notices</w:t>
      </w:r>
    </w:p>
    <w:p>
      <w:pPr>
        <w:ind w:left="1300"/>
        <w:spacing w:after="0" w:line="230" w:lineRule="auto"/>
        <w:rPr>
          <w:sz w:val="20"/>
          <w:szCs w:val="20"/>
          <w:color w:val="auto"/>
        </w:rPr>
      </w:pPr>
      <w:r>
        <w:rPr>
          <w:rFonts w:ascii="Arial" w:cs="Arial" w:eastAsia="Arial" w:hAnsi="Arial"/>
          <w:sz w:val="22"/>
          <w:szCs w:val="22"/>
          <w:color w:val="auto"/>
        </w:rPr>
        <w:t>18.5 Entire Agreement</w:t>
      </w:r>
    </w:p>
    <w:p>
      <w:pPr>
        <w:ind w:left="1300"/>
        <w:spacing w:after="0" w:line="231" w:lineRule="auto"/>
        <w:rPr>
          <w:sz w:val="20"/>
          <w:szCs w:val="20"/>
          <w:color w:val="auto"/>
        </w:rPr>
      </w:pPr>
      <w:r>
        <w:rPr>
          <w:rFonts w:ascii="Arial" w:cs="Arial" w:eastAsia="Arial" w:hAnsi="Arial"/>
          <w:sz w:val="22"/>
          <w:szCs w:val="22"/>
          <w:color w:val="auto"/>
        </w:rPr>
        <w:t>18.6 Amendments</w:t>
      </w:r>
    </w:p>
    <w:p>
      <w:pPr>
        <w:ind w:left="1300"/>
        <w:spacing w:after="0" w:line="230" w:lineRule="auto"/>
        <w:rPr>
          <w:sz w:val="20"/>
          <w:szCs w:val="20"/>
          <w:color w:val="auto"/>
        </w:rPr>
      </w:pPr>
      <w:r>
        <w:rPr>
          <w:rFonts w:ascii="Arial" w:cs="Arial" w:eastAsia="Arial" w:hAnsi="Arial"/>
          <w:sz w:val="22"/>
          <w:szCs w:val="22"/>
          <w:color w:val="auto"/>
        </w:rPr>
        <w:t>18.7 Headings</w:t>
      </w:r>
    </w:p>
    <w:p>
      <w:pPr>
        <w:ind w:left="1300"/>
        <w:spacing w:after="0" w:line="231" w:lineRule="auto"/>
        <w:rPr>
          <w:sz w:val="20"/>
          <w:szCs w:val="20"/>
          <w:color w:val="auto"/>
        </w:rPr>
      </w:pPr>
      <w:r>
        <w:rPr>
          <w:rFonts w:ascii="Arial" w:cs="Arial" w:eastAsia="Arial" w:hAnsi="Arial"/>
          <w:sz w:val="22"/>
          <w:szCs w:val="22"/>
          <w:color w:val="auto"/>
        </w:rPr>
        <w:t>18.8 Severability</w:t>
      </w:r>
    </w:p>
    <w:p>
      <w:pPr>
        <w:ind w:left="1300"/>
        <w:spacing w:after="0" w:line="230" w:lineRule="auto"/>
        <w:rPr>
          <w:sz w:val="20"/>
          <w:szCs w:val="20"/>
          <w:color w:val="auto"/>
        </w:rPr>
      </w:pPr>
      <w:r>
        <w:rPr>
          <w:rFonts w:ascii="Arial" w:cs="Arial" w:eastAsia="Arial" w:hAnsi="Arial"/>
          <w:sz w:val="22"/>
          <w:szCs w:val="22"/>
          <w:color w:val="auto"/>
        </w:rPr>
        <w:t>18.9 Registration and Filing of the Agreement</w:t>
      </w:r>
    </w:p>
    <w:p>
      <w:pPr>
        <w:ind w:left="1300"/>
        <w:spacing w:after="0" w:line="231" w:lineRule="auto"/>
        <w:rPr>
          <w:sz w:val="20"/>
          <w:szCs w:val="20"/>
          <w:color w:val="auto"/>
        </w:rPr>
      </w:pPr>
      <w:r>
        <w:rPr>
          <w:rFonts w:ascii="Arial" w:cs="Arial" w:eastAsia="Arial" w:hAnsi="Arial"/>
          <w:sz w:val="22"/>
          <w:szCs w:val="22"/>
          <w:color w:val="auto"/>
        </w:rPr>
        <w:t>18.10 Assignment</w:t>
      </w:r>
    </w:p>
    <w:p>
      <w:pPr>
        <w:ind w:left="1300"/>
        <w:spacing w:after="0" w:line="231" w:lineRule="auto"/>
        <w:rPr>
          <w:sz w:val="20"/>
          <w:szCs w:val="20"/>
          <w:color w:val="auto"/>
        </w:rPr>
      </w:pPr>
      <w:r>
        <w:rPr>
          <w:rFonts w:ascii="Arial" w:cs="Arial" w:eastAsia="Arial" w:hAnsi="Arial"/>
          <w:sz w:val="22"/>
          <w:szCs w:val="22"/>
          <w:color w:val="auto"/>
        </w:rPr>
        <w:t>18.11 Successors and Assigns</w:t>
      </w:r>
    </w:p>
    <w:p>
      <w:pPr>
        <w:ind w:left="1300"/>
        <w:spacing w:after="0" w:line="230" w:lineRule="auto"/>
        <w:rPr>
          <w:sz w:val="20"/>
          <w:szCs w:val="20"/>
          <w:color w:val="auto"/>
        </w:rPr>
      </w:pPr>
      <w:r>
        <w:rPr>
          <w:rFonts w:ascii="Arial" w:cs="Arial" w:eastAsia="Arial" w:hAnsi="Arial"/>
          <w:sz w:val="22"/>
          <w:szCs w:val="22"/>
          <w:color w:val="auto"/>
        </w:rPr>
        <w:t>18.12 Affiliates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18.13 Counterparts</w:t>
      </w:r>
    </w:p>
    <w:p>
      <w:pPr>
        <w:sectPr>
          <w:pgSz w:w="11900" w:h="16838" w:orient="portrait"/>
          <w:cols w:equalWidth="0" w:num="1">
            <w:col w:w="10139"/>
          </w:cols>
          <w:pgMar w:left="320" w:top="1414" w:right="1440" w:bottom="1440" w:gutter="0" w:footer="0" w:header="0"/>
        </w:sectPr>
      </w:pPr>
    </w:p>
    <w:bookmarkStart w:id="104" w:name="page105"/>
    <w:bookmarkEnd w:id="104"/>
    <w:p>
      <w:pPr>
        <w:ind w:left="1300"/>
        <w:spacing w:after="0"/>
        <w:rPr>
          <w:sz w:val="20"/>
          <w:szCs w:val="20"/>
          <w:color w:val="auto"/>
        </w:rPr>
      </w:pPr>
      <w:r>
        <w:rPr>
          <w:rFonts w:ascii="Arial" w:cs="Arial" w:eastAsia="Arial" w:hAnsi="Arial"/>
          <w:sz w:val="22"/>
          <w:szCs w:val="22"/>
          <w:color w:val="auto"/>
        </w:rPr>
        <w:t>18.14 No Third Party Beneficiaries</w:t>
      </w:r>
    </w:p>
    <w:p>
      <w:pPr>
        <w:ind w:left="1300"/>
        <w:spacing w:after="0" w:line="238" w:lineRule="auto"/>
        <w:rPr>
          <w:sz w:val="20"/>
          <w:szCs w:val="20"/>
          <w:color w:val="auto"/>
        </w:rPr>
      </w:pPr>
      <w:r>
        <w:rPr>
          <w:rFonts w:ascii="Arial" w:cs="Arial" w:eastAsia="Arial" w:hAnsi="Arial"/>
          <w:sz w:val="22"/>
          <w:szCs w:val="22"/>
          <w:color w:val="auto"/>
        </w:rPr>
        <w:t>18.15 Relationship of the Parties</w:t>
      </w:r>
    </w:p>
    <w:p>
      <w:pPr>
        <w:ind w:left="1300"/>
        <w:spacing w:after="0" w:line="230" w:lineRule="auto"/>
        <w:rPr>
          <w:sz w:val="20"/>
          <w:szCs w:val="20"/>
          <w:color w:val="auto"/>
        </w:rPr>
      </w:pPr>
      <w:r>
        <w:rPr>
          <w:rFonts w:ascii="Arial" w:cs="Arial" w:eastAsia="Arial" w:hAnsi="Arial"/>
          <w:sz w:val="22"/>
          <w:szCs w:val="22"/>
          <w:color w:val="auto"/>
        </w:rPr>
        <w:t>18.16 Limitation of Damages</w:t>
      </w:r>
    </w:p>
    <w:p>
      <w:pPr>
        <w:ind w:left="1300"/>
        <w:spacing w:after="0" w:line="231" w:lineRule="auto"/>
        <w:rPr>
          <w:sz w:val="20"/>
          <w:szCs w:val="20"/>
          <w:color w:val="auto"/>
        </w:rPr>
      </w:pPr>
      <w:r>
        <w:rPr>
          <w:rFonts w:ascii="Arial" w:cs="Arial" w:eastAsia="Arial" w:hAnsi="Arial"/>
          <w:sz w:val="22"/>
          <w:szCs w:val="22"/>
          <w:color w:val="auto"/>
        </w:rPr>
        <w:t>18.17 Rejection of Agreement in Bankruptcy</w:t>
      </w:r>
    </w:p>
    <w:p>
      <w:pPr>
        <w:ind w:left="1300"/>
        <w:spacing w:after="0"/>
        <w:rPr>
          <w:sz w:val="20"/>
          <w:szCs w:val="20"/>
          <w:color w:val="auto"/>
        </w:rPr>
      </w:pPr>
      <w:r>
        <w:rPr>
          <w:rFonts w:ascii="Arial" w:cs="Arial" w:eastAsia="Arial" w:hAnsi="Arial"/>
          <w:sz w:val="22"/>
          <w:szCs w:val="22"/>
          <w:color w:val="auto"/>
        </w:rPr>
        <w:t>18.18 Construction</w:t>
      </w:r>
      <w:r>
        <w:rPr>
          <w:rFonts w:ascii="Arial" w:cs="Arial" w:eastAsia="Arial" w:hAnsi="Arial"/>
          <w:sz w:val="22"/>
          <w:szCs w:val="22"/>
          <w:color w:val="0563C1"/>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Schedule 1.57 Global Trial Costs</w:t>
      </w:r>
    </w:p>
    <w:p>
      <w:pPr>
        <w:spacing w:after="0" w:line="238" w:lineRule="auto"/>
        <w:rPr>
          <w:sz w:val="20"/>
          <w:szCs w:val="20"/>
          <w:color w:val="auto"/>
        </w:rPr>
      </w:pPr>
      <w:r>
        <w:rPr>
          <w:rFonts w:ascii="Arial" w:cs="Arial" w:eastAsia="Arial" w:hAnsi="Arial"/>
          <w:sz w:val="22"/>
          <w:szCs w:val="22"/>
          <w:color w:val="auto"/>
        </w:rPr>
        <w:t>Schedule 1.72 Joint Patents</w:t>
      </w:r>
    </w:p>
    <w:p>
      <w:pPr>
        <w:spacing w:after="0" w:line="230" w:lineRule="auto"/>
        <w:rPr>
          <w:sz w:val="20"/>
          <w:szCs w:val="20"/>
          <w:color w:val="auto"/>
        </w:rPr>
      </w:pPr>
      <w:r>
        <w:rPr>
          <w:rFonts w:ascii="Arial" w:cs="Arial" w:eastAsia="Arial" w:hAnsi="Arial"/>
          <w:sz w:val="22"/>
          <w:szCs w:val="22"/>
          <w:color w:val="auto"/>
        </w:rPr>
        <w:t>Schedule 1.135 Regeneron Core Patents</w:t>
      </w:r>
    </w:p>
    <w:p>
      <w:pPr>
        <w:spacing w:after="0" w:line="231" w:lineRule="auto"/>
        <w:rPr>
          <w:sz w:val="20"/>
          <w:szCs w:val="20"/>
          <w:color w:val="auto"/>
        </w:rPr>
      </w:pPr>
      <w:r>
        <w:rPr>
          <w:rFonts w:ascii="Arial" w:cs="Arial" w:eastAsia="Arial" w:hAnsi="Arial"/>
          <w:sz w:val="22"/>
          <w:szCs w:val="22"/>
          <w:color w:val="auto"/>
        </w:rPr>
        <w:t>Schedule 1.156 Sanofi Core Patents</w:t>
      </w:r>
    </w:p>
    <w:p>
      <w:pPr>
        <w:spacing w:after="0" w:line="230" w:lineRule="auto"/>
        <w:rPr>
          <w:sz w:val="20"/>
          <w:szCs w:val="20"/>
          <w:color w:val="auto"/>
        </w:rPr>
      </w:pPr>
      <w:r>
        <w:rPr>
          <w:rFonts w:ascii="Arial" w:cs="Arial" w:eastAsia="Arial" w:hAnsi="Arial"/>
          <w:sz w:val="22"/>
          <w:szCs w:val="22"/>
          <w:color w:val="auto"/>
        </w:rPr>
        <w:t>Schedule 1.180 Transferred Approvals</w:t>
      </w:r>
    </w:p>
    <w:p>
      <w:pPr>
        <w:spacing w:after="0" w:line="231" w:lineRule="auto"/>
        <w:rPr>
          <w:sz w:val="20"/>
          <w:szCs w:val="20"/>
          <w:color w:val="auto"/>
        </w:rPr>
      </w:pPr>
      <w:r>
        <w:rPr>
          <w:rFonts w:ascii="Arial" w:cs="Arial" w:eastAsia="Arial" w:hAnsi="Arial"/>
          <w:sz w:val="22"/>
          <w:szCs w:val="22"/>
          <w:color w:val="auto"/>
        </w:rPr>
        <w:t>Schedule 1.182 Transfer Product Contracts</w:t>
      </w:r>
    </w:p>
    <w:p>
      <w:pPr>
        <w:spacing w:after="0" w:line="230" w:lineRule="auto"/>
        <w:rPr>
          <w:sz w:val="20"/>
          <w:szCs w:val="20"/>
          <w:color w:val="auto"/>
        </w:rPr>
      </w:pPr>
      <w:r>
        <w:rPr>
          <w:rFonts w:ascii="Arial" w:cs="Arial" w:eastAsia="Arial" w:hAnsi="Arial"/>
          <w:sz w:val="22"/>
          <w:szCs w:val="22"/>
          <w:color w:val="auto"/>
        </w:rPr>
        <w:t>Schedule 1.183 Transferred Product Domain Names</w:t>
      </w:r>
    </w:p>
    <w:p>
      <w:pPr>
        <w:spacing w:after="0" w:line="231" w:lineRule="auto"/>
        <w:rPr>
          <w:sz w:val="20"/>
          <w:szCs w:val="20"/>
          <w:color w:val="auto"/>
        </w:rPr>
      </w:pPr>
      <w:r>
        <w:rPr>
          <w:rFonts w:ascii="Arial" w:cs="Arial" w:eastAsia="Arial" w:hAnsi="Arial"/>
          <w:sz w:val="22"/>
          <w:szCs w:val="22"/>
          <w:color w:val="auto"/>
        </w:rPr>
        <w:t>Schedule 1.184 Transferred Product Records</w:t>
      </w:r>
    </w:p>
    <w:p>
      <w:pPr>
        <w:spacing w:after="0" w:line="230" w:lineRule="auto"/>
        <w:rPr>
          <w:sz w:val="20"/>
          <w:szCs w:val="20"/>
          <w:color w:val="auto"/>
        </w:rPr>
      </w:pPr>
      <w:r>
        <w:rPr>
          <w:rFonts w:ascii="Arial" w:cs="Arial" w:eastAsia="Arial" w:hAnsi="Arial"/>
          <w:sz w:val="22"/>
          <w:szCs w:val="22"/>
          <w:color w:val="auto"/>
        </w:rPr>
        <w:t>Schedule 1.185 Transferred Product Trademarks</w:t>
      </w:r>
    </w:p>
    <w:p>
      <w:pPr>
        <w:spacing w:after="0" w:line="231" w:lineRule="auto"/>
        <w:rPr>
          <w:sz w:val="20"/>
          <w:szCs w:val="20"/>
          <w:color w:val="auto"/>
        </w:rPr>
      </w:pPr>
      <w:r>
        <w:rPr>
          <w:rFonts w:ascii="Arial" w:cs="Arial" w:eastAsia="Arial" w:hAnsi="Arial"/>
          <w:sz w:val="22"/>
          <w:szCs w:val="22"/>
          <w:color w:val="auto"/>
        </w:rPr>
        <w:t>Schedule 2.3(c) Approved Contract Manufacturers</w:t>
      </w:r>
    </w:p>
    <w:p>
      <w:pPr>
        <w:spacing w:after="0" w:line="231" w:lineRule="auto"/>
        <w:rPr>
          <w:sz w:val="20"/>
          <w:szCs w:val="20"/>
          <w:color w:val="auto"/>
        </w:rPr>
      </w:pPr>
      <w:r>
        <w:rPr>
          <w:rFonts w:ascii="Arial" w:cs="Arial" w:eastAsia="Arial" w:hAnsi="Arial"/>
          <w:sz w:val="22"/>
          <w:szCs w:val="22"/>
          <w:color w:val="auto"/>
        </w:rPr>
        <w:t>Schedule 4.2(a) Global Clinical Trials</w:t>
      </w:r>
    </w:p>
    <w:p>
      <w:pPr>
        <w:spacing w:after="0" w:line="230" w:lineRule="auto"/>
        <w:rPr>
          <w:sz w:val="20"/>
          <w:szCs w:val="20"/>
          <w:color w:val="auto"/>
        </w:rPr>
      </w:pPr>
      <w:r>
        <w:rPr>
          <w:rFonts w:ascii="Arial" w:cs="Arial" w:eastAsia="Arial" w:hAnsi="Arial"/>
          <w:sz w:val="22"/>
          <w:szCs w:val="22"/>
          <w:color w:val="auto"/>
        </w:rPr>
        <w:t>Schedule 4.3 Certain Other Existing Trials</w:t>
      </w:r>
    </w:p>
    <w:p>
      <w:pPr>
        <w:spacing w:after="0" w:line="231" w:lineRule="auto"/>
        <w:rPr>
          <w:sz w:val="20"/>
          <w:szCs w:val="20"/>
          <w:color w:val="auto"/>
        </w:rPr>
      </w:pPr>
      <w:r>
        <w:rPr>
          <w:rFonts w:ascii="Arial" w:cs="Arial" w:eastAsia="Arial" w:hAnsi="Arial"/>
          <w:sz w:val="22"/>
          <w:szCs w:val="22"/>
          <w:color w:val="auto"/>
        </w:rPr>
        <w:t>Schedule 4.4 Certain Investigator-Initiated Studies</w:t>
      </w:r>
    </w:p>
    <w:p>
      <w:pPr>
        <w:spacing w:after="0" w:line="230" w:lineRule="auto"/>
        <w:rPr>
          <w:sz w:val="20"/>
          <w:szCs w:val="20"/>
          <w:color w:val="auto"/>
        </w:rPr>
      </w:pPr>
      <w:r>
        <w:rPr>
          <w:rFonts w:ascii="Arial" w:cs="Arial" w:eastAsia="Arial" w:hAnsi="Arial"/>
          <w:sz w:val="22"/>
          <w:szCs w:val="22"/>
          <w:color w:val="auto"/>
        </w:rPr>
        <w:t>Schedule 4.7 Assay Services</w:t>
      </w:r>
    </w:p>
    <w:p>
      <w:pPr>
        <w:spacing w:after="0" w:line="231" w:lineRule="auto"/>
        <w:rPr>
          <w:sz w:val="20"/>
          <w:szCs w:val="20"/>
          <w:color w:val="auto"/>
        </w:rPr>
      </w:pPr>
      <w:r>
        <w:rPr>
          <w:rFonts w:ascii="Arial" w:cs="Arial" w:eastAsia="Arial" w:hAnsi="Arial"/>
          <w:sz w:val="22"/>
          <w:szCs w:val="22"/>
          <w:color w:val="auto"/>
        </w:rPr>
        <w:t>Schedule 7.2(a) [* * *]</w:t>
      </w:r>
    </w:p>
    <w:p>
      <w:pPr>
        <w:spacing w:after="0" w:line="230" w:lineRule="auto"/>
        <w:rPr>
          <w:sz w:val="20"/>
          <w:szCs w:val="20"/>
          <w:color w:val="auto"/>
        </w:rPr>
      </w:pPr>
      <w:r>
        <w:rPr>
          <w:rFonts w:ascii="Arial" w:cs="Arial" w:eastAsia="Arial" w:hAnsi="Arial"/>
          <w:sz w:val="22"/>
          <w:szCs w:val="22"/>
          <w:color w:val="auto"/>
        </w:rPr>
        <w:t>Schedule 7.3(a) Drug Substance Tech Transfer Plan</w:t>
      </w:r>
    </w:p>
    <w:p>
      <w:pPr>
        <w:spacing w:after="0" w:line="231" w:lineRule="auto"/>
        <w:rPr>
          <w:sz w:val="20"/>
          <w:szCs w:val="20"/>
          <w:color w:val="auto"/>
        </w:rPr>
      </w:pPr>
      <w:r>
        <w:rPr>
          <w:rFonts w:ascii="Arial" w:cs="Arial" w:eastAsia="Arial" w:hAnsi="Arial"/>
          <w:sz w:val="22"/>
          <w:szCs w:val="22"/>
          <w:color w:val="auto"/>
        </w:rPr>
        <w:t>Schedule 8.4 Royalty Invoicing Directions</w:t>
      </w:r>
    </w:p>
    <w:p>
      <w:pPr>
        <w:spacing w:after="0" w:line="230" w:lineRule="auto"/>
        <w:rPr>
          <w:sz w:val="20"/>
          <w:szCs w:val="20"/>
          <w:color w:val="auto"/>
        </w:rPr>
      </w:pPr>
      <w:r>
        <w:rPr>
          <w:rFonts w:ascii="Arial" w:cs="Arial" w:eastAsia="Arial" w:hAnsi="Arial"/>
          <w:sz w:val="22"/>
          <w:szCs w:val="22"/>
          <w:color w:val="auto"/>
        </w:rPr>
        <w:t>Schedule 8.5 Transferred Inventory Prices</w:t>
      </w:r>
    </w:p>
    <w:p>
      <w:pPr>
        <w:spacing w:after="0" w:line="231" w:lineRule="auto"/>
        <w:rPr>
          <w:sz w:val="20"/>
          <w:szCs w:val="20"/>
          <w:color w:val="auto"/>
        </w:rPr>
      </w:pPr>
      <w:r>
        <w:rPr>
          <w:rFonts w:ascii="Arial" w:cs="Arial" w:eastAsia="Arial" w:hAnsi="Arial"/>
          <w:sz w:val="22"/>
          <w:szCs w:val="22"/>
          <w:color w:val="auto"/>
        </w:rPr>
        <w:t>Schedule 11.5(a) Existing Sole Oppositions</w:t>
      </w:r>
    </w:p>
    <w:p>
      <w:pPr>
        <w:spacing w:after="0" w:line="230" w:lineRule="auto"/>
        <w:rPr>
          <w:sz w:val="20"/>
          <w:szCs w:val="20"/>
          <w:color w:val="auto"/>
        </w:rPr>
      </w:pPr>
      <w:r>
        <w:rPr>
          <w:rFonts w:ascii="Arial" w:cs="Arial" w:eastAsia="Arial" w:hAnsi="Arial"/>
          <w:sz w:val="22"/>
          <w:szCs w:val="22"/>
          <w:color w:val="auto"/>
        </w:rPr>
        <w:t>Schedule 11.5(b) Existing European Oppositions</w:t>
      </w:r>
    </w:p>
    <w:p>
      <w:pPr>
        <w:spacing w:after="0" w:line="1" w:lineRule="exact"/>
        <w:rPr>
          <w:sz w:val="20"/>
          <w:szCs w:val="20"/>
          <w:color w:val="auto"/>
        </w:rPr>
      </w:pPr>
    </w:p>
    <w:p>
      <w:pPr>
        <w:ind w:right="3639"/>
        <w:spacing w:after="0" w:line="236" w:lineRule="auto"/>
        <w:rPr>
          <w:sz w:val="20"/>
          <w:szCs w:val="20"/>
          <w:color w:val="auto"/>
        </w:rPr>
      </w:pPr>
      <w:r>
        <w:rPr>
          <w:rFonts w:ascii="Arial" w:cs="Arial" w:eastAsia="Arial" w:hAnsi="Arial"/>
          <w:sz w:val="22"/>
          <w:szCs w:val="22"/>
          <w:color w:val="auto"/>
        </w:rPr>
        <w:t>Schedule 12.2(c) Pending or Threatened Litigation or Adverse Agreements Schedule 18.4 Notice Addresses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Exhibit 6.4 Form of SDEA</w:t>
      </w:r>
    </w:p>
    <w:p>
      <w:pPr>
        <w:sectPr>
          <w:pgSz w:w="11900" w:h="16838" w:orient="portrait"/>
          <w:cols w:equalWidth="0" w:num="1">
            <w:col w:w="10139"/>
          </w:cols>
          <w:pgMar w:left="320" w:top="1414"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Praluent CROSS LICENSE &amp;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commercialization AGREEMENT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PRALUENT CROSS LICENSE &amp; COMMERCIALIZATION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April 5, 2020 (the “</w:t>
      </w:r>
      <w:r>
        <w:rPr>
          <w:rFonts w:ascii="Arial" w:cs="Arial" w:eastAsia="Arial" w:hAnsi="Arial"/>
          <w:sz w:val="22"/>
          <w:szCs w:val="22"/>
          <w:u w:val="single" w:color="auto"/>
          <w:color w:val="auto"/>
        </w:rPr>
        <w:t>Execution Date</w:t>
      </w:r>
      <w:r>
        <w:rPr>
          <w:rFonts w:ascii="Arial" w:cs="Arial" w:eastAsia="Arial" w:hAnsi="Arial"/>
          <w:sz w:val="22"/>
          <w:szCs w:val="22"/>
          <w:color w:val="auto"/>
        </w:rPr>
        <w:t>”), and effective as of April 1, 2020 (the “</w:t>
      </w:r>
      <w:r>
        <w:rPr>
          <w:rFonts w:ascii="Arial" w:cs="Arial" w:eastAsia="Arial" w:hAnsi="Arial"/>
          <w:sz w:val="22"/>
          <w:szCs w:val="22"/>
          <w:u w:val="single" w:color="auto"/>
          <w:color w:val="auto"/>
        </w:rPr>
        <w:t>Transition Date</w:t>
      </w:r>
      <w:r>
        <w:rPr>
          <w:rFonts w:ascii="Arial" w:cs="Arial" w:eastAsia="Arial" w:hAnsi="Arial"/>
          <w:sz w:val="22"/>
          <w:szCs w:val="22"/>
          <w:color w:val="auto"/>
        </w:rPr>
        <w:t>”), by and between SANOFI BIOTECHNOLOGY SAS, a société par actions simplifiée organized under the laws of France and having a principal place of business at 54 rue La Boétie, 75008 Paris, France (“</w:t>
      </w:r>
      <w:r>
        <w:rPr>
          <w:rFonts w:ascii="Arial" w:cs="Arial" w:eastAsia="Arial" w:hAnsi="Arial"/>
          <w:sz w:val="22"/>
          <w:szCs w:val="22"/>
          <w:u w:val="single" w:color="auto"/>
          <w:color w:val="auto"/>
        </w:rPr>
        <w:t>Sanofi</w:t>
      </w:r>
      <w:r>
        <w:rPr>
          <w:rFonts w:ascii="Arial" w:cs="Arial" w:eastAsia="Arial" w:hAnsi="Arial"/>
          <w:sz w:val="22"/>
          <w:szCs w:val="22"/>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22"/>
          <w:szCs w:val="22"/>
          <w:u w:val="single" w:color="auto"/>
          <w:color w:val="auto"/>
        </w:rPr>
        <w:t>Regeneron</w:t>
      </w:r>
      <w:r>
        <w:rPr>
          <w:rFonts w:ascii="Arial" w:cs="Arial" w:eastAsia="Arial" w:hAnsi="Arial"/>
          <w:sz w:val="22"/>
          <w:szCs w:val="22"/>
          <w:color w:val="auto"/>
        </w:rPr>
        <w:t>”) (with each of Sanofi and Regeneron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Regeneron and Sanofi (as successor in interest to Aventis Pharmaceuticals Inc. and Sanofi-Aventis Amerique Du Nord) are parties to an Amended and Restated License and Collaboration Agreement dated as of November 10, 2009, as amended as of May 1, 2013, July 1, 2015, and the date hereof (the “</w:t>
      </w:r>
      <w:r>
        <w:rPr>
          <w:rFonts w:ascii="Arial" w:cs="Arial" w:eastAsia="Arial" w:hAnsi="Arial"/>
          <w:sz w:val="22"/>
          <w:szCs w:val="22"/>
          <w:u w:val="single" w:color="auto"/>
          <w:color w:val="auto"/>
        </w:rPr>
        <w:t>LCA</w:t>
      </w:r>
      <w:r>
        <w:rPr>
          <w:rFonts w:ascii="Arial" w:cs="Arial" w:eastAsia="Arial" w:hAnsi="Arial"/>
          <w:sz w:val="22"/>
          <w:szCs w:val="22"/>
          <w:color w:val="auto"/>
        </w:rPr>
        <w:t>”) for the Development, Manufacture and Commercialization of certain Licensed Products (as such term is defined therein), including the antibody Praluent® (alirocumab); and</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pursuant to the terms and conditions of an amendment to the LCA of same date as the Execution Date (the “</w:t>
      </w:r>
      <w:r>
        <w:rPr>
          <w:rFonts w:ascii="Arial" w:cs="Arial" w:eastAsia="Arial" w:hAnsi="Arial"/>
          <w:sz w:val="21"/>
          <w:szCs w:val="21"/>
          <w:u w:val="single" w:color="auto"/>
          <w:color w:val="auto"/>
        </w:rPr>
        <w:t>LCA Amendment</w:t>
      </w:r>
      <w:r>
        <w:rPr>
          <w:rFonts w:ascii="Arial" w:cs="Arial" w:eastAsia="Arial" w:hAnsi="Arial"/>
          <w:sz w:val="21"/>
          <w:szCs w:val="21"/>
          <w:color w:val="auto"/>
        </w:rPr>
        <w:t>”), the Parties have agreed to remove, effective as of the Transition Date (as defined below), the Praluent Products (as defined below) from the scope of the LCA and desire to have the Development, Manufacture and Commercialization thereof be governed by the terms and conditions of this Agreement.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following mutual promises and obligations, and for other good and valuable consideration the adequacy and sufficiency of which are hereby acknowledged, the 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shall mean, GAAP with respect to Regeneron or IAS/IFRS with respect to Sanofi, as generally and consistently applied throughout the applicable Party’s organization.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Acting Party</w:t>
      </w:r>
      <w:r>
        <w:rPr>
          <w:rFonts w:ascii="Arial" w:cs="Arial" w:eastAsia="Arial" w:hAnsi="Arial"/>
          <w:sz w:val="22"/>
          <w:szCs w:val="22"/>
          <w:color w:val="auto"/>
        </w:rPr>
        <w:t>” shall have the meaning set forth in Section 11.5(a).</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any other Person that controls, is controlled by or is under common control with such first Person. A Person shall be deemed to control another Person if such first Person possesses, directly or indirectly, the power to direct or cause the direction of the management and policies of such first Person, whether through the ownership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88" w:lineRule="auto"/>
        <w:rPr>
          <w:sz w:val="20"/>
          <w:szCs w:val="20"/>
          <w:color w:val="auto"/>
        </w:rPr>
      </w:pPr>
      <w:r>
        <w:rPr>
          <w:rFonts w:ascii="Arial" w:cs="Arial" w:eastAsia="Arial" w:hAnsi="Arial"/>
          <w:sz w:val="19"/>
          <w:szCs w:val="19"/>
          <w:color w:val="auto"/>
        </w:rPr>
        <w:t>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its Affiliates be deemed Affiliates of Regeneron or any of its Affiliates nor shall Regeneron or any of its Affiliates be deemed Affiliates of Sanofi or any of its Affiliates.</w:t>
      </w:r>
    </w:p>
    <w:p>
      <w:pPr>
        <w:spacing w:after="0" w:line="15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introductory paragraph and shall include all Schedules and Exhibits attached hereto.</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Alliance Manager</w:t>
      </w:r>
      <w:r>
        <w:rPr>
          <w:rFonts w:ascii="Arial" w:cs="Arial" w:eastAsia="Arial" w:hAnsi="Arial"/>
          <w:sz w:val="22"/>
          <w:szCs w:val="22"/>
          <w:color w:val="auto"/>
        </w:rPr>
        <w:t>” shall have the meaning set forth in Section 3.1.</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 * *]</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shall mean the Praluent Supply Agreements, the Praluent Transition Services Agreement, the Praluent Pharmacovigilance Transition Services Agreement, the Praluent Services Agreements, the Praluent Bill of Sale, the Praluent Domain Name Assignment and the Praluent Trademark Assignment.</w:t>
      </w:r>
    </w:p>
    <w:p>
      <w:pPr>
        <w:spacing w:after="0" w:line="185"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1.8 “</w:t>
      </w:r>
      <w:r>
        <w:rPr>
          <w:rFonts w:ascii="Arial" w:cs="Arial" w:eastAsia="Arial" w:hAnsi="Arial"/>
          <w:sz w:val="19"/>
          <w:szCs w:val="19"/>
          <w:u w:val="single" w:color="auto"/>
          <w:color w:val="auto"/>
        </w:rPr>
        <w:t>Ancillary Services Agreements</w:t>
      </w:r>
      <w:r>
        <w:rPr>
          <w:rFonts w:ascii="Arial" w:cs="Arial" w:eastAsia="Arial" w:hAnsi="Arial"/>
          <w:sz w:val="19"/>
          <w:szCs w:val="19"/>
          <w:color w:val="auto"/>
        </w:rPr>
        <w:t>” shall mean the Praluent Supply Agreements, the Praluent Transition Services Agreement, the Praluent Pharmacovigilance Transition Services Agreement and the Praluent Services Agreements.</w:t>
      </w:r>
    </w:p>
    <w:p>
      <w:pPr>
        <w:spacing w:after="0" w:line="104"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Approval</w:t>
      </w:r>
      <w:r>
        <w:rPr>
          <w:rFonts w:ascii="Arial" w:cs="Arial" w:eastAsia="Arial" w:hAnsi="Arial"/>
          <w:sz w:val="22"/>
          <w:szCs w:val="22"/>
          <w:color w:val="auto"/>
        </w:rPr>
        <w:t>” shall mean any approval, registration, license or authorization from any Regulatory Authority required for the testing, Manufacture, Development, Commercialization, sale, storage or transport of, or expanded labeling for, a Praluent Product in any country, and shall include an approval, registration, license or authorization granted in connection with any IND, BLA or equivalent application in any country.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Assay Services</w:t>
      </w:r>
      <w:r>
        <w:rPr>
          <w:rFonts w:ascii="Arial" w:cs="Arial" w:eastAsia="Arial" w:hAnsi="Arial"/>
          <w:sz w:val="22"/>
          <w:szCs w:val="22"/>
          <w:color w:val="auto"/>
        </w:rPr>
        <w:t>” shall have the meaning set forth in Section 4.7.</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1.11 “</w:t>
      </w:r>
      <w:r>
        <w:rPr>
          <w:rFonts w:ascii="Arial" w:cs="Arial" w:eastAsia="Arial" w:hAnsi="Arial"/>
          <w:sz w:val="22"/>
          <w:szCs w:val="22"/>
          <w:u w:val="single" w:color="auto"/>
          <w:color w:val="auto"/>
        </w:rPr>
        <w:t>Back-Up Request</w:t>
      </w:r>
      <w:r>
        <w:rPr>
          <w:rFonts w:ascii="Arial" w:cs="Arial" w:eastAsia="Arial" w:hAnsi="Arial"/>
          <w:sz w:val="22"/>
          <w:szCs w:val="22"/>
          <w:color w:val="auto"/>
        </w:rPr>
        <w:t>” shall have the meaning set forth in Section 7.6.</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BLA</w:t>
      </w:r>
      <w:r>
        <w:rPr>
          <w:rFonts w:ascii="Arial" w:cs="Arial" w:eastAsia="Arial" w:hAnsi="Arial"/>
          <w:sz w:val="22"/>
          <w:szCs w:val="22"/>
          <w:color w:val="auto"/>
        </w:rPr>
        <w:t>” shall mean a biologics license application filed with respect to a Praluent Product, as described in the FDA regulations, including all amendments and supplements to the application.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Breaching Party</w:t>
      </w:r>
      <w:r>
        <w:rPr>
          <w:rFonts w:ascii="Arial" w:cs="Arial" w:eastAsia="Arial" w:hAnsi="Arial"/>
          <w:sz w:val="22"/>
          <w:szCs w:val="22"/>
          <w:color w:val="auto"/>
        </w:rPr>
        <w:t>” shall have the meaning set forth in Section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07" w:name="page108"/>
    <w:bookmarkEnd w:id="107"/>
    <w:p>
      <w:pPr>
        <w:jc w:val="both"/>
        <w:ind w:firstLine="972"/>
        <w:spacing w:after="0" w:line="263"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or a day on which commercial banks in New York, New York, United States or Paris, France are authorized or required by Law to remain closed.</w:t>
      </w:r>
    </w:p>
    <w:p>
      <w:pPr>
        <w:spacing w:after="0" w:line="17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u w:val="single" w:color="auto"/>
          <w:color w:val="auto"/>
        </w:rPr>
        <w:t>Calendar Quarter</w:t>
      </w:r>
      <w:r>
        <w:rPr>
          <w:rFonts w:ascii="Arial" w:cs="Arial" w:eastAsia="Arial" w:hAnsi="Arial"/>
          <w:sz w:val="22"/>
          <w:szCs w:val="22"/>
          <w:color w:val="auto"/>
        </w:rPr>
        <w:t>” shall mean each successive period of three (3) calendar months commencing on January 1, April 1, July 1 and October 1.</w:t>
      </w:r>
    </w:p>
    <w:p>
      <w:pPr>
        <w:spacing w:after="0" w:line="175"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u w:val="single" w:color="auto"/>
          <w:color w:val="auto"/>
        </w:rPr>
        <w:t>Calendar Year</w:t>
      </w:r>
      <w:r>
        <w:rPr>
          <w:rFonts w:ascii="Arial" w:cs="Arial" w:eastAsia="Arial" w:hAnsi="Arial"/>
          <w:sz w:val="19"/>
          <w:szCs w:val="19"/>
          <w:color w:val="auto"/>
        </w:rPr>
        <w:t>” shall mean each successive period of twelve (12) calendar months commencing on January 1, except that the first Calendar Year shall commence on the Transition Date and shall end on December 31, 2020.</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CMC</w:t>
      </w:r>
      <w:r>
        <w:rPr>
          <w:rFonts w:ascii="Arial" w:cs="Arial" w:eastAsia="Arial" w:hAnsi="Arial"/>
          <w:sz w:val="22"/>
          <w:szCs w:val="22"/>
          <w:color w:val="auto"/>
        </w:rPr>
        <w:t>” shall mean chemistry, manufacturing and control.</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1.18 “</w:t>
      </w:r>
      <w:r>
        <w:rPr>
          <w:rFonts w:ascii="Arial" w:cs="Arial" w:eastAsia="Arial" w:hAnsi="Arial"/>
          <w:sz w:val="22"/>
          <w:szCs w:val="22"/>
          <w:u w:val="single" w:color="auto"/>
          <w:color w:val="auto"/>
        </w:rPr>
        <w:t>Code</w:t>
      </w:r>
      <w:r>
        <w:rPr>
          <w:rFonts w:ascii="Arial" w:cs="Arial" w:eastAsia="Arial" w:hAnsi="Arial"/>
          <w:sz w:val="22"/>
          <w:szCs w:val="22"/>
          <w:color w:val="auto"/>
        </w:rPr>
        <w:t>” shall mean the U.S. Internal Revenue Code of 1986, as amended.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shall have the meaning set forth in the definition of “Net Sales”.</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u w:val="single" w:color="auto"/>
          <w:color w:val="auto"/>
        </w:rPr>
        <w:t>Commercialize</w:t>
      </w:r>
      <w:r>
        <w:rPr>
          <w:rFonts w:ascii="Arial" w:cs="Arial" w:eastAsia="Arial" w:hAnsi="Arial"/>
          <w:sz w:val="22"/>
          <w:szCs w:val="22"/>
          <w:color w:val="auto"/>
        </w:rPr>
        <w:t>” or “</w:t>
      </w:r>
      <w:r>
        <w:rPr>
          <w:rFonts w:ascii="Arial" w:cs="Arial" w:eastAsia="Arial" w:hAnsi="Arial"/>
          <w:sz w:val="22"/>
          <w:szCs w:val="22"/>
          <w:u w:val="single" w:color="auto"/>
          <w:color w:val="auto"/>
        </w:rPr>
        <w:t>Commercialization</w:t>
      </w:r>
      <w:r>
        <w:rPr>
          <w:rFonts w:ascii="Arial" w:cs="Arial" w:eastAsia="Arial" w:hAnsi="Arial"/>
          <w:sz w:val="22"/>
          <w:szCs w:val="22"/>
          <w:color w:val="auto"/>
        </w:rPr>
        <w:t>” shall mean any and all activities directed to marketing, promoting, detailing, distributing, importing, offering for sale, having sold or selling any Praluent Product or biosimilar thereof (as the case may be), including obtaining and maintaining NDCs and Pricing Approvals therefor.</w:t>
      </w:r>
    </w:p>
    <w:p>
      <w:pPr>
        <w:spacing w:after="0" w:line="18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u w:val="single" w:color="auto"/>
          <w:color w:val="auto"/>
        </w:rPr>
        <w:t>Control</w:t>
      </w:r>
      <w:r>
        <w:rPr>
          <w:rFonts w:ascii="Arial" w:cs="Arial" w:eastAsia="Arial" w:hAnsi="Arial"/>
          <w:sz w:val="19"/>
          <w:szCs w:val="19"/>
          <w:color w:val="auto"/>
        </w:rPr>
        <w:t>” shall mean, with respect to any item of Know-How, material, regulatory documentation, Patents or other intellectual property right, possession of the right, whether directly or indirectly and whether by ownership, license (other than by operation of a license or other rights granted by one Party to the other Party hereunder) or otherwise, to assign, or grant a license, sublicense, right of reference or other right to or under such Know-How, material, regulatory documentation, Patents or other intellectual property right as provided for herein without violating the terms of any agreement with any Third Party.</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Controlling Party</w:t>
      </w:r>
      <w:r>
        <w:rPr>
          <w:rFonts w:ascii="Arial" w:cs="Arial" w:eastAsia="Arial" w:hAnsi="Arial"/>
          <w:sz w:val="22"/>
          <w:szCs w:val="22"/>
          <w:color w:val="auto"/>
        </w:rPr>
        <w:t>” shall have the meaning set forth in Section 11.3(b).</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Copyright</w:t>
      </w:r>
      <w:r>
        <w:rPr>
          <w:rFonts w:ascii="Arial" w:cs="Arial" w:eastAsia="Arial" w:hAnsi="Arial"/>
          <w:sz w:val="22"/>
          <w:szCs w:val="22"/>
          <w:color w:val="auto"/>
        </w:rPr>
        <w:t>” shall mean all copyrights and all rights in any copyrightable works, in all forms and media, including any copyrightable elements in any html and web content, and any copyright registrations or applications therefor and all extensions, restorations, reversions and renewals of any of the foregoing.</w:t>
      </w:r>
    </w:p>
    <w:p>
      <w:pPr>
        <w:spacing w:after="0" w:line="18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1.24 “</w:t>
      </w:r>
      <w:r>
        <w:rPr>
          <w:rFonts w:ascii="Arial" w:cs="Arial" w:eastAsia="Arial" w:hAnsi="Arial"/>
          <w:sz w:val="21"/>
          <w:szCs w:val="21"/>
          <w:u w:val="single" w:color="auto"/>
          <w:color w:val="auto"/>
        </w:rPr>
        <w:t>Cover</w:t>
      </w:r>
      <w:r>
        <w:rPr>
          <w:rFonts w:ascii="Arial" w:cs="Arial" w:eastAsia="Arial" w:hAnsi="Arial"/>
          <w:sz w:val="21"/>
          <w:szCs w:val="21"/>
          <w:color w:val="auto"/>
        </w:rPr>
        <w:t>”, “</w:t>
      </w:r>
      <w:r>
        <w:rPr>
          <w:rFonts w:ascii="Arial" w:cs="Arial" w:eastAsia="Arial" w:hAnsi="Arial"/>
          <w:sz w:val="21"/>
          <w:szCs w:val="21"/>
          <w:u w:val="single" w:color="auto"/>
          <w:color w:val="auto"/>
        </w:rPr>
        <w:t>Covered</w:t>
      </w:r>
      <w:r>
        <w:rPr>
          <w:rFonts w:ascii="Arial" w:cs="Arial" w:eastAsia="Arial" w:hAnsi="Arial"/>
          <w:sz w:val="21"/>
          <w:szCs w:val="21"/>
          <w:color w:val="auto"/>
        </w:rPr>
        <w:t>” or “</w:t>
      </w:r>
      <w:r>
        <w:rPr>
          <w:rFonts w:ascii="Arial" w:cs="Arial" w:eastAsia="Arial" w:hAnsi="Arial"/>
          <w:sz w:val="21"/>
          <w:szCs w:val="21"/>
          <w:u w:val="single" w:color="auto"/>
          <w:color w:val="auto"/>
        </w:rPr>
        <w:t>Covering</w:t>
      </w:r>
      <w:r>
        <w:rPr>
          <w:rFonts w:ascii="Arial" w:cs="Arial" w:eastAsia="Arial" w:hAnsi="Arial"/>
          <w:sz w:val="21"/>
          <w:szCs w:val="21"/>
          <w:color w:val="auto"/>
        </w:rPr>
        <w:t>” shall mean, with respect to an invention or activity and the relevant Patent, that, but for a license granted under such Patent or ownership of such Patent, the practice of such invention or the conduct of such activity would infringe an issued claim in such Patent or, in the case of a Patent that is a patent application, would infringe a pending claim in such patent application if such patent application were to issue as a patent.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Damages</w:t>
      </w:r>
      <w:r>
        <w:rPr>
          <w:rFonts w:ascii="Arial" w:cs="Arial" w:eastAsia="Arial" w:hAnsi="Arial"/>
          <w:sz w:val="22"/>
          <w:szCs w:val="22"/>
          <w:color w:val="auto"/>
        </w:rPr>
        <w:t>” shall have the meaning set forth in Section 14.1(a).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1.26 “</w:t>
      </w:r>
      <w:r>
        <w:rPr>
          <w:rFonts w:ascii="Arial" w:cs="Arial" w:eastAsia="Arial" w:hAnsi="Arial"/>
          <w:sz w:val="22"/>
          <w:szCs w:val="22"/>
          <w:u w:val="single" w:color="auto"/>
          <w:color w:val="auto"/>
        </w:rPr>
        <w:t>Default Interest Rate</w:t>
      </w:r>
      <w:r>
        <w:rPr>
          <w:rFonts w:ascii="Arial" w:cs="Arial" w:eastAsia="Arial" w:hAnsi="Arial"/>
          <w:sz w:val="22"/>
          <w:szCs w:val="22"/>
          <w:color w:val="auto"/>
        </w:rPr>
        <w:t>” shall have the meaning set forth in Section 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08" w:name="page109"/>
    <w:bookmarkEnd w:id="108"/>
    <w:p>
      <w:pPr>
        <w:ind w:left="980"/>
        <w:spacing w:after="0"/>
        <w:rPr>
          <w:sz w:val="20"/>
          <w:szCs w:val="20"/>
          <w:color w:val="auto"/>
        </w:rPr>
      </w:pPr>
      <w:r>
        <w:rPr>
          <w:rFonts w:ascii="Arial" w:cs="Arial" w:eastAsia="Arial" w:hAnsi="Arial"/>
          <w:sz w:val="22"/>
          <w:szCs w:val="22"/>
          <w:color w:val="auto"/>
        </w:rPr>
        <w:t>1.27 “</w:t>
      </w:r>
      <w:r>
        <w:rPr>
          <w:rFonts w:ascii="Arial" w:cs="Arial" w:eastAsia="Arial" w:hAnsi="Arial"/>
          <w:sz w:val="22"/>
          <w:szCs w:val="22"/>
          <w:u w:val="single" w:color="auto"/>
          <w:color w:val="auto"/>
        </w:rPr>
        <w:t>Defending Party</w:t>
      </w:r>
      <w:r>
        <w:rPr>
          <w:rFonts w:ascii="Arial" w:cs="Arial" w:eastAsia="Arial" w:hAnsi="Arial"/>
          <w:sz w:val="22"/>
          <w:szCs w:val="22"/>
          <w:color w:val="auto"/>
        </w:rPr>
        <w:t>” shall have the meaning set forth in Section 11.4(b).</w:t>
      </w:r>
    </w:p>
    <w:p>
      <w:pPr>
        <w:spacing w:after="0" w:line="220"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u w:val="single" w:color="auto"/>
          <w:color w:val="auto"/>
        </w:rPr>
        <w:t>Develop</w:t>
      </w:r>
      <w:r>
        <w:rPr>
          <w:rFonts w:ascii="Arial" w:cs="Arial" w:eastAsia="Arial" w:hAnsi="Arial"/>
          <w:sz w:val="19"/>
          <w:szCs w:val="19"/>
          <w:color w:val="auto"/>
        </w:rPr>
        <w:t>” or “</w:t>
      </w:r>
      <w:r>
        <w:rPr>
          <w:rFonts w:ascii="Arial" w:cs="Arial" w:eastAsia="Arial" w:hAnsi="Arial"/>
          <w:sz w:val="19"/>
          <w:szCs w:val="19"/>
          <w:u w:val="single" w:color="auto"/>
          <w:color w:val="auto"/>
        </w:rPr>
        <w:t>Development</w:t>
      </w:r>
      <w:r>
        <w:rPr>
          <w:rFonts w:ascii="Arial" w:cs="Arial" w:eastAsia="Arial" w:hAnsi="Arial"/>
          <w:sz w:val="19"/>
          <w:szCs w:val="19"/>
          <w:color w:val="auto"/>
        </w:rPr>
        <w:t>” shall mean activities performed by or on behalf of either Party relating to research, pre-clinical drug development or clinical drug development with respect to any Praluent Product or biosimilar thereof (as the case may be), including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Regulatory Filings, and any other research and development activities, including the discovery of biomarkers and activities supporting new formulations, delivery technologies or new indications.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Directing Party</w:t>
      </w:r>
      <w:r>
        <w:rPr>
          <w:rFonts w:ascii="Arial" w:cs="Arial" w:eastAsia="Arial" w:hAnsi="Arial"/>
          <w:sz w:val="22"/>
          <w:szCs w:val="22"/>
          <w:color w:val="auto"/>
        </w:rPr>
        <w:t>” shall have the meaning set forth in Section 11.5(a).</w:t>
      </w:r>
    </w:p>
    <w:p>
      <w:pPr>
        <w:spacing w:after="0" w:line="22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1.30 “</w:t>
      </w:r>
      <w:r>
        <w:rPr>
          <w:rFonts w:ascii="Arial" w:cs="Arial" w:eastAsia="Arial" w:hAnsi="Arial"/>
          <w:sz w:val="21"/>
          <w:szCs w:val="21"/>
          <w:u w:val="single" w:color="auto"/>
          <w:color w:val="auto"/>
        </w:rPr>
        <w:t>Discovery Agreement</w:t>
      </w:r>
      <w:r>
        <w:rPr>
          <w:rFonts w:ascii="Arial" w:cs="Arial" w:eastAsia="Arial" w:hAnsi="Arial"/>
          <w:sz w:val="21"/>
          <w:szCs w:val="21"/>
          <w:color w:val="auto"/>
        </w:rPr>
        <w:t>” shall mean the Amended and Restated Discovery and Preclinical Development Agreement, between Sanofi, as successor-in-interest to Aventis Pharmaceuticals, Inc., and Regeneron Pharmaceuticals, Inc., dated as of November 10, 2009, as amended as of May 1, 2013 and July 1, 2015.</w:t>
      </w:r>
    </w:p>
    <w:p>
      <w:pPr>
        <w:spacing w:after="0" w:line="167"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Domain Name</w:t>
      </w:r>
      <w:r>
        <w:rPr>
          <w:rFonts w:ascii="Arial" w:cs="Arial" w:eastAsia="Arial" w:hAnsi="Arial"/>
          <w:sz w:val="22"/>
          <w:szCs w:val="22"/>
          <w:color w:val="auto"/>
        </w:rPr>
        <w:t>” shall mean any domain names (including both gTLDs and ccTLDs), URLs and social media names, tags or handles or similar identifiers.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Drug Substance Tech Transfer Plan</w:t>
      </w:r>
      <w:r>
        <w:rPr>
          <w:rFonts w:ascii="Arial" w:cs="Arial" w:eastAsia="Arial" w:hAnsi="Arial"/>
          <w:sz w:val="22"/>
          <w:szCs w:val="22"/>
          <w:color w:val="auto"/>
        </w:rPr>
        <w:t>” shall have the meaning set forth in Section 7.3(a).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EMA</w:t>
      </w:r>
      <w:r>
        <w:rPr>
          <w:rFonts w:ascii="Arial" w:cs="Arial" w:eastAsia="Arial" w:hAnsi="Arial"/>
          <w:sz w:val="22"/>
          <w:szCs w:val="22"/>
          <w:color w:val="auto"/>
        </w:rPr>
        <w:t>” shall mean the European Medicines Agency or any successor agency thereto.</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1.34 “</w:t>
      </w:r>
      <w:r>
        <w:rPr>
          <w:rFonts w:ascii="Arial" w:cs="Arial" w:eastAsia="Arial" w:hAnsi="Arial"/>
          <w:sz w:val="22"/>
          <w:szCs w:val="22"/>
          <w:u w:val="single" w:color="auto"/>
          <w:color w:val="auto"/>
        </w:rPr>
        <w:t>Enforcing Party</w:t>
      </w:r>
      <w:r>
        <w:rPr>
          <w:rFonts w:ascii="Arial" w:cs="Arial" w:eastAsia="Arial" w:hAnsi="Arial"/>
          <w:sz w:val="22"/>
          <w:szCs w:val="22"/>
          <w:color w:val="auto"/>
        </w:rPr>
        <w:t>” shall have the meaning set forth in Section 11.1(b).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1.35 “</w:t>
      </w:r>
      <w:r>
        <w:rPr>
          <w:rFonts w:ascii="Arial" w:cs="Arial" w:eastAsia="Arial" w:hAnsi="Arial"/>
          <w:sz w:val="22"/>
          <w:szCs w:val="22"/>
          <w:u w:val="single" w:color="auto"/>
          <w:color w:val="auto"/>
        </w:rPr>
        <w:t>Europe</w:t>
      </w:r>
      <w:r>
        <w:rPr>
          <w:rFonts w:ascii="Arial" w:cs="Arial" w:eastAsia="Arial" w:hAnsi="Arial"/>
          <w:sz w:val="22"/>
          <w:szCs w:val="22"/>
          <w:color w:val="auto"/>
        </w:rPr>
        <w:t>” means the countries comprising the European Economic Area as of the Transition Date.</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Execution Date</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jc w:val="both"/>
        <w:ind w:right="20" w:firstLine="972"/>
        <w:spacing w:after="0" w:line="343" w:lineRule="auto"/>
        <w:rPr>
          <w:sz w:val="20"/>
          <w:szCs w:val="20"/>
          <w:color w:val="auto"/>
        </w:rPr>
      </w:pPr>
      <w:r>
        <w:rPr>
          <w:rFonts w:ascii="Arial" w:cs="Arial" w:eastAsia="Arial" w:hAnsi="Arial"/>
          <w:sz w:val="19"/>
          <w:szCs w:val="19"/>
          <w:color w:val="auto"/>
        </w:rPr>
        <w:t>1.37 “</w:t>
      </w:r>
      <w:r>
        <w:rPr>
          <w:rFonts w:ascii="Arial" w:cs="Arial" w:eastAsia="Arial" w:hAnsi="Arial"/>
          <w:sz w:val="19"/>
          <w:szCs w:val="19"/>
          <w:u w:val="single" w:color="auto"/>
          <w:color w:val="auto"/>
        </w:rPr>
        <w:t>Executive Officers</w:t>
      </w:r>
      <w:r>
        <w:rPr>
          <w:rFonts w:ascii="Arial" w:cs="Arial" w:eastAsia="Arial" w:hAnsi="Arial"/>
          <w:sz w:val="19"/>
          <w:szCs w:val="19"/>
          <w:color w:val="auto"/>
        </w:rPr>
        <w:t>” shall mean the Chief Executive Officer of Regeneron and the Chief Executive Officer of Sanofi, or their respective designees with equivalent decision-making authority with respect to the matters under this Agreement.</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1.38 “</w:t>
      </w:r>
      <w:r>
        <w:rPr>
          <w:rFonts w:ascii="Arial" w:cs="Arial" w:eastAsia="Arial" w:hAnsi="Arial"/>
          <w:sz w:val="22"/>
          <w:szCs w:val="22"/>
          <w:u w:val="single" w:color="auto"/>
          <w:color w:val="auto"/>
        </w:rPr>
        <w:t>Existing European Opposition</w:t>
      </w:r>
      <w:r>
        <w:rPr>
          <w:rFonts w:ascii="Arial" w:cs="Arial" w:eastAsia="Arial" w:hAnsi="Arial"/>
          <w:sz w:val="22"/>
          <w:szCs w:val="22"/>
          <w:color w:val="auto"/>
        </w:rPr>
        <w:t>” shall have the meaning set forth in Section 11.5(b).</w:t>
      </w:r>
    </w:p>
    <w:p>
      <w:pPr>
        <w:spacing w:after="0" w:line="22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1.39 “</w:t>
      </w:r>
      <w:r>
        <w:rPr>
          <w:rFonts w:ascii="Arial" w:cs="Arial" w:eastAsia="Arial" w:hAnsi="Arial"/>
          <w:sz w:val="21"/>
          <w:szCs w:val="21"/>
          <w:u w:val="single" w:color="auto"/>
          <w:color w:val="auto"/>
        </w:rPr>
        <w:t>Existing Indication</w:t>
      </w:r>
      <w:r>
        <w:rPr>
          <w:rFonts w:ascii="Arial" w:cs="Arial" w:eastAsia="Arial" w:hAnsi="Arial"/>
          <w:sz w:val="21"/>
          <w:szCs w:val="21"/>
          <w:color w:val="auto"/>
        </w:rPr>
        <w:t>” shall mean, with respect to an Existing Praluent Product, any indication and therapeutic regimen (i.e., standalone therapy or use with one (1) or more other products) for such indication for which such Existing Praluent Product (a) has received Marketing Approval as of the Transition Date or (b) was being, or has been, clinically Developed under the LCA as of the Transition Date, including under any Existing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09" w:name="page110"/>
    <w:bookmarkEnd w:id="109"/>
    <w:p>
      <w:pPr>
        <w:jc w:val="both"/>
        <w:ind w:firstLine="972"/>
        <w:spacing w:after="0" w:line="250" w:lineRule="auto"/>
        <w:rPr>
          <w:sz w:val="20"/>
          <w:szCs w:val="20"/>
          <w:color w:val="auto"/>
        </w:rPr>
      </w:pPr>
      <w:r>
        <w:rPr>
          <w:rFonts w:ascii="Arial" w:cs="Arial" w:eastAsia="Arial" w:hAnsi="Arial"/>
          <w:sz w:val="22"/>
          <w:szCs w:val="22"/>
          <w:color w:val="auto"/>
        </w:rPr>
        <w:t xml:space="preserve">1.40 </w:t>
      </w:r>
      <w:r>
        <w:rPr>
          <w:rFonts w:ascii="Arial" w:cs="Arial" w:eastAsia="Arial" w:hAnsi="Arial"/>
          <w:sz w:val="22"/>
          <w:szCs w:val="22"/>
          <w:u w:val="single" w:color="auto"/>
          <w:color w:val="auto"/>
        </w:rPr>
        <w:t>“Existing Joint Know-How</w:t>
      </w:r>
      <w:r>
        <w:rPr>
          <w:rFonts w:ascii="Arial" w:cs="Arial" w:eastAsia="Arial" w:hAnsi="Arial"/>
          <w:sz w:val="22"/>
          <w:szCs w:val="22"/>
          <w:color w:val="auto"/>
        </w:rPr>
        <w:t>” shall mean (a) any and all Know-How existing as of the Transition Date that arose from the Parties’ and their Affiliates’ performance under the LCA, to the extent specifically related to the Praluent Compound or any Praluent Product, excluding Regeneron Manufacturing Know-How and Sanofi Manufacturing Know-How and (b) Existing Trials Information whether created before or after the Transition Date.</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u w:val="single" w:color="auto"/>
          <w:color w:val="auto"/>
        </w:rPr>
        <w:t>Existing Praluent Product</w:t>
      </w:r>
      <w:r>
        <w:rPr>
          <w:rFonts w:ascii="Arial" w:cs="Arial" w:eastAsia="Arial" w:hAnsi="Arial"/>
          <w:sz w:val="22"/>
          <w:szCs w:val="22"/>
          <w:color w:val="auto"/>
        </w:rPr>
        <w:t>” shall mean the Praluent Compound or a Praluent Product (including any delivery devices, e.g., an autoinjector), in either case, (a) that has received Marketing Approval as of the Transition Date or (b) that was being, or has been, clinically Developed (or, with respect to such delivery devices, Developed) under the LCA as of the Transition Date, including under the Existing Trials.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Existing Sole Oppositions</w:t>
      </w:r>
      <w:r>
        <w:rPr>
          <w:rFonts w:ascii="Arial" w:cs="Arial" w:eastAsia="Arial" w:hAnsi="Arial"/>
          <w:sz w:val="22"/>
          <w:szCs w:val="22"/>
          <w:color w:val="auto"/>
        </w:rPr>
        <w:t>” shall have the meaning set forth in Section 11.5(a).</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u w:val="single" w:color="auto"/>
          <w:color w:val="auto"/>
        </w:rPr>
        <w:t>Existing Trials</w:t>
      </w:r>
      <w:r>
        <w:rPr>
          <w:rFonts w:ascii="Arial" w:cs="Arial" w:eastAsia="Arial" w:hAnsi="Arial"/>
          <w:sz w:val="22"/>
          <w:szCs w:val="22"/>
          <w:color w:val="auto"/>
        </w:rPr>
        <w:t>” shall mean any clinical trial that was initiated under the LCA prior to the Transition Date in respect of the Praluent Products, including investigator-initiated clinical trials. For clarity, the Existing Trials include the Global Clinical Trials and the Other Existing Trials.</w:t>
      </w:r>
    </w:p>
    <w:p>
      <w:pPr>
        <w:spacing w:after="0" w:line="18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color w:val="auto"/>
        </w:rPr>
        <w:t>1.44 “</w:t>
      </w:r>
      <w:r>
        <w:rPr>
          <w:rFonts w:ascii="Arial" w:cs="Arial" w:eastAsia="Arial" w:hAnsi="Arial"/>
          <w:sz w:val="19"/>
          <w:szCs w:val="19"/>
          <w:u w:val="single" w:color="auto"/>
          <w:color w:val="auto"/>
        </w:rPr>
        <w:t>Existing Trials Information</w:t>
      </w:r>
      <w:r>
        <w:rPr>
          <w:rFonts w:ascii="Arial" w:cs="Arial" w:eastAsia="Arial" w:hAnsi="Arial"/>
          <w:sz w:val="19"/>
          <w:szCs w:val="19"/>
          <w:color w:val="auto"/>
        </w:rPr>
        <w:t>” shall mean any and all ideas, inventions, data, writings, protocols, discoveries, improvements, trade secrets, materials or other proprietary information not generally known to the public, that arise or are conceived or developed by or on behalf of either Party or its Affiliates, or by or on behalf of the Parties or their Affiliates jointly, or are otherwise Controlled by either Party or its Affiliates, in each case in connection with any Existing Trials.</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1"/>
          <w:szCs w:val="21"/>
          <w:color w:val="auto"/>
        </w:rPr>
        <w:t>1.45 “</w:t>
      </w:r>
      <w:r>
        <w:rPr>
          <w:rFonts w:ascii="Arial" w:cs="Arial" w:eastAsia="Arial" w:hAnsi="Arial"/>
          <w:sz w:val="21"/>
          <w:szCs w:val="21"/>
          <w:u w:val="single" w:color="auto"/>
          <w:color w:val="auto"/>
        </w:rPr>
        <w:t>FDA</w:t>
      </w:r>
      <w:r>
        <w:rPr>
          <w:rFonts w:ascii="Arial" w:cs="Arial" w:eastAsia="Arial" w:hAnsi="Arial"/>
          <w:sz w:val="21"/>
          <w:szCs w:val="21"/>
          <w:color w:val="auto"/>
        </w:rPr>
        <w:t>” shall mean the United States Food and Drug Administration and any successor agency thereto.</w:t>
      </w:r>
    </w:p>
    <w:p>
      <w:pPr>
        <w:spacing w:after="0" w:line="23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Finished Clinical Product</w:t>
      </w:r>
      <w:r>
        <w:rPr>
          <w:rFonts w:ascii="Arial" w:cs="Arial" w:eastAsia="Arial" w:hAnsi="Arial"/>
          <w:sz w:val="22"/>
          <w:szCs w:val="22"/>
          <w:color w:val="auto"/>
        </w:rPr>
        <w:t>” shall mean either (a) a Praluent Product, containing as its only active ingredient Formulated Drug Substance, or (b) placebo, in each case (a) and (b) in its finished (e.g., in an autoinjector), labeled and packaged form, ready for use in clinical trials.</w:t>
      </w:r>
    </w:p>
    <w:p>
      <w:pPr>
        <w:spacing w:after="0" w:line="18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1.47 “</w:t>
      </w:r>
      <w:r>
        <w:rPr>
          <w:rFonts w:ascii="Arial" w:cs="Arial" w:eastAsia="Arial" w:hAnsi="Arial"/>
          <w:sz w:val="21"/>
          <w:szCs w:val="21"/>
          <w:u w:val="single" w:color="auto"/>
          <w:color w:val="auto"/>
        </w:rPr>
        <w:t>Finished Product</w:t>
      </w:r>
      <w:r>
        <w:rPr>
          <w:rFonts w:ascii="Arial" w:cs="Arial" w:eastAsia="Arial" w:hAnsi="Arial"/>
          <w:sz w:val="21"/>
          <w:szCs w:val="21"/>
          <w:color w:val="auto"/>
        </w:rPr>
        <w:t>” shall mean a Praluent Product, containing as its only active ingredient the Formulated Drug Substance, in its finished (i.e., in a DAI autoinjector as such DAI autoinjector exists and is Commercialized as of the Transition Date or, subject to the terms and conditions of Article 5 of the Finished Product Supply Agreement, the [* * *] delivery device), labeled and packaged form, ready for sale to the market, as the case may be.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1.48 “</w:t>
      </w:r>
      <w:r>
        <w:rPr>
          <w:rFonts w:ascii="Arial" w:cs="Arial" w:eastAsia="Arial" w:hAnsi="Arial"/>
          <w:sz w:val="22"/>
          <w:szCs w:val="22"/>
          <w:u w:val="single" w:color="auto"/>
          <w:color w:val="auto"/>
        </w:rPr>
        <w:t>Finished Product Supply Agreement</w:t>
      </w:r>
      <w:r>
        <w:rPr>
          <w:rFonts w:ascii="Arial" w:cs="Arial" w:eastAsia="Arial" w:hAnsi="Arial"/>
          <w:sz w:val="22"/>
          <w:szCs w:val="22"/>
          <w:color w:val="auto"/>
        </w:rPr>
        <w:t>” shall have the meaning set forth in Section 7.5(b).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1.49 [* * *].</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Force Majeure</w:t>
      </w:r>
      <w:r>
        <w:rPr>
          <w:rFonts w:ascii="Arial" w:cs="Arial" w:eastAsia="Arial" w:hAnsi="Arial"/>
          <w:sz w:val="22"/>
          <w:szCs w:val="22"/>
          <w:color w:val="auto"/>
        </w:rPr>
        <w:t>” shall have the meaning set forth in Article 15.</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1.51 “</w:t>
      </w:r>
      <w:r>
        <w:rPr>
          <w:rFonts w:ascii="Arial" w:cs="Arial" w:eastAsia="Arial" w:hAnsi="Arial"/>
          <w:sz w:val="22"/>
          <w:szCs w:val="22"/>
          <w:u w:val="single" w:color="auto"/>
          <w:color w:val="auto"/>
        </w:rPr>
        <w:t>Formulated Drug Substance</w:t>
      </w:r>
      <w:r>
        <w:rPr>
          <w:rFonts w:ascii="Arial" w:cs="Arial" w:eastAsia="Arial" w:hAnsi="Arial"/>
          <w:sz w:val="22"/>
          <w:szCs w:val="22"/>
          <w:color w:val="auto"/>
        </w:rPr>
        <w:t>” shall mean a Praluent Product containing as its only active ingredient the Praluent Compound formulated into solution, ready for storage or shipment to a Manufacturing facility, to allow processing into finished, labeled and packaged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10" w:name="page111"/>
    <w:bookmarkEnd w:id="110"/>
    <w:p>
      <w:pPr>
        <w:jc w:val="both"/>
        <w:ind w:firstLine="972"/>
        <w:spacing w:after="0" w:line="290" w:lineRule="auto"/>
        <w:rPr>
          <w:sz w:val="20"/>
          <w:szCs w:val="20"/>
          <w:color w:val="auto"/>
        </w:rPr>
      </w:pPr>
      <w:r>
        <w:rPr>
          <w:rFonts w:ascii="Arial" w:cs="Arial" w:eastAsia="Arial" w:hAnsi="Arial"/>
          <w:sz w:val="19"/>
          <w:szCs w:val="19"/>
          <w:color w:val="auto"/>
        </w:rPr>
        <w:t>1.52 “</w:t>
      </w:r>
      <w:r>
        <w:rPr>
          <w:rFonts w:ascii="Arial" w:cs="Arial" w:eastAsia="Arial" w:hAnsi="Arial"/>
          <w:sz w:val="19"/>
          <w:szCs w:val="19"/>
          <w:u w:val="single" w:color="auto"/>
          <w:color w:val="auto"/>
        </w:rPr>
        <w:t>FTE</w:t>
      </w:r>
      <w:r>
        <w:rPr>
          <w:rFonts w:ascii="Arial" w:cs="Arial" w:eastAsia="Arial" w:hAnsi="Arial"/>
          <w:sz w:val="19"/>
          <w:szCs w:val="19"/>
          <w:color w:val="auto"/>
        </w:rPr>
        <w:t>” shall mean a full time equivalent employee or contract personnel (i.e., one fully-committed or multiple partially-committed employees or contract personnel aggregating to one full-time employee or contract personnel) employed or contracted by a Party and assigned to perform specified work, with such commitment of time and effort to constitute one employee or contract personnel performing such work on a full-time basis, which for purposes hereof shall be [* * *] hours per year. For purposes of the definition of FTE, “contract personnel” refers to personnel (other than employees) who are engaged by a Party on an individual basis and who are not accounted for as Out-of-Pocket Costs and does not include Third Party entities to which activities under this Agreement have been outsourced, such as contract manufacturers, contract research organizations or other external service providers such as consulting firms.</w:t>
      </w:r>
    </w:p>
    <w:p>
      <w:pPr>
        <w:spacing w:after="0" w:line="156"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2"/>
          <w:szCs w:val="22"/>
          <w:color w:val="auto"/>
        </w:rPr>
        <w:t>1.53 “</w:t>
      </w:r>
      <w:r>
        <w:rPr>
          <w:rFonts w:ascii="Arial" w:cs="Arial" w:eastAsia="Arial" w:hAnsi="Arial"/>
          <w:sz w:val="22"/>
          <w:szCs w:val="22"/>
          <w:u w:val="single" w:color="auto"/>
          <w:color w:val="auto"/>
        </w:rPr>
        <w:t>FTE Rate</w:t>
      </w:r>
      <w:r>
        <w:rPr>
          <w:rFonts w:ascii="Arial" w:cs="Arial" w:eastAsia="Arial" w:hAnsi="Arial"/>
          <w:sz w:val="22"/>
          <w:szCs w:val="22"/>
          <w:color w:val="auto"/>
        </w:rPr>
        <w:t>” shall mean US$[* * *] per FTE, with respect to employees, and US$[* * *] per FTE, with respect to contract personnel, in the Calendar Year ending December 31, 2020, such amounts to be adjusted as of January 1, 2021 and annually thereafter by the sum of (a) the average of the percentage increases or decreases, if any, in the [* * *] and the [* * *] for the twelve (12) months ending June 30 of the Calendar Year prior to the Calendar Year for which the adjustment is being made plus (b) [* * *] percent ([* * *]%) to reflect [* * *] for each Calendar Year. Upon a variance of more than [* * *] percent ([* * *]%) in the [* * *] since the Transition Date as calculated pursuant to Section 8.8, the Parties shall meet to consider a revision to the FTE Rate.</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1.54 “</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in the United States.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1.55 “</w:t>
      </w:r>
      <w:r>
        <w:rPr>
          <w:rFonts w:ascii="Arial" w:cs="Arial" w:eastAsia="Arial" w:hAnsi="Arial"/>
          <w:sz w:val="22"/>
          <w:szCs w:val="22"/>
          <w:u w:val="single" w:color="auto"/>
          <w:color w:val="auto"/>
        </w:rPr>
        <w:t>Global Clinical Trials</w:t>
      </w:r>
      <w:r>
        <w:rPr>
          <w:rFonts w:ascii="Arial" w:cs="Arial" w:eastAsia="Arial" w:hAnsi="Arial"/>
          <w:sz w:val="22"/>
          <w:szCs w:val="22"/>
          <w:color w:val="auto"/>
        </w:rPr>
        <w:t>” shall have the meaning set forth in Section 4.2(a).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1.56 “</w:t>
      </w:r>
      <w:r>
        <w:rPr>
          <w:rFonts w:ascii="Arial" w:cs="Arial" w:eastAsia="Arial" w:hAnsi="Arial"/>
          <w:sz w:val="22"/>
          <w:szCs w:val="22"/>
          <w:u w:val="single" w:color="auto"/>
          <w:color w:val="auto"/>
        </w:rPr>
        <w:t>Global Trial Cost Report</w:t>
      </w:r>
      <w:r>
        <w:rPr>
          <w:rFonts w:ascii="Arial" w:cs="Arial" w:eastAsia="Arial" w:hAnsi="Arial"/>
          <w:sz w:val="22"/>
          <w:szCs w:val="22"/>
          <w:color w:val="auto"/>
        </w:rPr>
        <w:t>” shall have the meaning set forth in Section 4.2(b).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Global Trial Costs</w:t>
      </w:r>
      <w:r>
        <w:rPr>
          <w:rFonts w:ascii="Arial" w:cs="Arial" w:eastAsia="Arial" w:hAnsi="Arial"/>
          <w:sz w:val="22"/>
          <w:szCs w:val="22"/>
          <w:color w:val="auto"/>
        </w:rPr>
        <w:t>” shall have the meaning set forth on Schedule 1.57.</w:t>
      </w:r>
    </w:p>
    <w:p>
      <w:pPr>
        <w:spacing w:after="0" w:line="22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1.58 “</w:t>
      </w:r>
      <w:r>
        <w:rPr>
          <w:rFonts w:ascii="Arial" w:cs="Arial" w:eastAsia="Arial" w:hAnsi="Arial"/>
          <w:sz w:val="21"/>
          <w:szCs w:val="21"/>
          <w:u w:val="single" w:color="auto"/>
          <w:color w:val="auto"/>
        </w:rPr>
        <w:t>Good Practices</w:t>
      </w:r>
      <w:r>
        <w:rPr>
          <w:rFonts w:ascii="Arial" w:cs="Arial" w:eastAsia="Arial" w:hAnsi="Arial"/>
          <w:sz w:val="21"/>
          <w:szCs w:val="21"/>
          <w:color w:val="auto"/>
        </w:rPr>
        <w:t>” shall mean compliance with the applicable standards contained in then-current “Good Laboratory Practices,” “Good Manufacturing Practices” or “Good Clinical Practices,” as promulgated by the FDA and all analogous guidelines promulgated by the EMA, ICH or other country regulatory agencies, as applicable.</w:t>
      </w:r>
    </w:p>
    <w:p>
      <w:pPr>
        <w:spacing w:after="0" w:line="16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1.59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1.60 “</w:t>
      </w:r>
      <w:r>
        <w:rPr>
          <w:rFonts w:ascii="Arial" w:cs="Arial" w:eastAsia="Arial" w:hAnsi="Arial"/>
          <w:sz w:val="22"/>
          <w:szCs w:val="22"/>
          <w:u w:val="single" w:color="auto"/>
          <w:color w:val="auto"/>
        </w:rPr>
        <w:t>Grantee</w:t>
      </w:r>
      <w:r>
        <w:rPr>
          <w:rFonts w:ascii="Arial" w:cs="Arial" w:eastAsia="Arial" w:hAnsi="Arial"/>
          <w:sz w:val="22"/>
          <w:szCs w:val="22"/>
          <w:color w:val="auto"/>
        </w:rPr>
        <w:t>” shall have the meaning set forth in Section 2.3(c).</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Grantor</w:t>
      </w:r>
      <w:r>
        <w:rPr>
          <w:rFonts w:ascii="Arial" w:cs="Arial" w:eastAsia="Arial" w:hAnsi="Arial"/>
          <w:sz w:val="22"/>
          <w:szCs w:val="22"/>
          <w:color w:val="auto"/>
        </w:rPr>
        <w:t>” shall have the meaning set forth in Section 2.3(c).</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Human Biological Materials</w:t>
      </w:r>
      <w:r>
        <w:rPr>
          <w:rFonts w:ascii="Arial" w:cs="Arial" w:eastAsia="Arial" w:hAnsi="Arial"/>
          <w:sz w:val="22"/>
          <w:szCs w:val="22"/>
          <w:color w:val="auto"/>
        </w:rPr>
        <w:t>” shall have the meaning set forth in Section 4.6.</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u w:val="single" w:color="auto"/>
          <w:color w:val="auto"/>
        </w:rPr>
        <w:t>IAS/IFRS</w:t>
      </w:r>
      <w:r>
        <w:rPr>
          <w:rFonts w:ascii="Arial" w:cs="Arial" w:eastAsia="Arial" w:hAnsi="Arial"/>
          <w:sz w:val="22"/>
          <w:szCs w:val="22"/>
          <w:color w:val="auto"/>
        </w:rPr>
        <w:t>” shall mean International Accounting Standards/International Financial Reporting Standards of the International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1" w:name="page112"/>
    <w:bookmarkEnd w:id="111"/>
    <w:p>
      <w:pPr>
        <w:jc w:val="both"/>
        <w:ind w:firstLine="972"/>
        <w:spacing w:after="0" w:line="263"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u w:val="single" w:color="auto"/>
          <w:color w:val="auto"/>
        </w:rPr>
        <w:t>ICH</w:t>
      </w:r>
      <w:r>
        <w:rPr>
          <w:rFonts w:ascii="Arial" w:cs="Arial" w:eastAsia="Arial" w:hAnsi="Arial"/>
          <w:sz w:val="22"/>
          <w:szCs w:val="22"/>
          <w:color w:val="auto"/>
        </w:rPr>
        <w:t>” shall mean the International Conference on Harmonization of Technical Requirements for Requirements for Registration of Pharmaceuticals for Human Use.</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u w:val="single" w:color="auto"/>
          <w:color w:val="auto"/>
        </w:rPr>
        <w:t>IND</w:t>
      </w:r>
      <w:r>
        <w:rPr>
          <w:rFonts w:ascii="Arial" w:cs="Arial" w:eastAsia="Arial" w:hAnsi="Arial"/>
          <w:sz w:val="22"/>
          <w:szCs w:val="22"/>
          <w:color w:val="auto"/>
        </w:rPr>
        <w:t>” shall mean an Investigational New Drug Application filed with the FDA, as described in the FDA regulations, including all amendments and supplements to the application.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1.66 “</w:t>
      </w:r>
      <w:r>
        <w:rPr>
          <w:rFonts w:ascii="Arial" w:cs="Arial" w:eastAsia="Arial" w:hAnsi="Arial"/>
          <w:sz w:val="22"/>
          <w:szCs w:val="22"/>
          <w:u w:val="single" w:color="auto"/>
          <w:color w:val="auto"/>
        </w:rPr>
        <w:t>Indemnified Party</w:t>
      </w:r>
      <w:r>
        <w:rPr>
          <w:rFonts w:ascii="Arial" w:cs="Arial" w:eastAsia="Arial" w:hAnsi="Arial"/>
          <w:sz w:val="22"/>
          <w:szCs w:val="22"/>
          <w:color w:val="auto"/>
        </w:rPr>
        <w:t>” shall have the meaning set forth in Section 14.2(a).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1.67 “</w:t>
      </w:r>
      <w:r>
        <w:rPr>
          <w:rFonts w:ascii="Arial" w:cs="Arial" w:eastAsia="Arial" w:hAnsi="Arial"/>
          <w:sz w:val="22"/>
          <w:szCs w:val="22"/>
          <w:u w:val="single" w:color="auto"/>
          <w:color w:val="auto"/>
        </w:rPr>
        <w:t>Indemnifying Party</w:t>
      </w:r>
      <w:r>
        <w:rPr>
          <w:rFonts w:ascii="Arial" w:cs="Arial" w:eastAsia="Arial" w:hAnsi="Arial"/>
          <w:sz w:val="22"/>
          <w:szCs w:val="22"/>
          <w:color w:val="auto"/>
        </w:rPr>
        <w:t>” shall have the meaning set forth in Section 14.2(a).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Inventory Payment</w:t>
      </w:r>
      <w:r>
        <w:rPr>
          <w:rFonts w:ascii="Arial" w:cs="Arial" w:eastAsia="Arial" w:hAnsi="Arial"/>
          <w:sz w:val="22"/>
          <w:szCs w:val="22"/>
          <w:color w:val="auto"/>
        </w:rPr>
        <w:t>” shall have the meaning set forth in Section 8.5.</w:t>
      </w:r>
    </w:p>
    <w:p>
      <w:pPr>
        <w:spacing w:after="0" w:line="220"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u w:val="single" w:color="auto"/>
          <w:color w:val="auto"/>
        </w:rPr>
        <w:t>Joint Information</w:t>
      </w:r>
      <w:r>
        <w:rPr>
          <w:rFonts w:ascii="Arial" w:cs="Arial" w:eastAsia="Arial" w:hAnsi="Arial"/>
          <w:sz w:val="22"/>
          <w:szCs w:val="22"/>
          <w:color w:val="auto"/>
        </w:rPr>
        <w:t>” shall mean (a) any Existing Joint Know-How and (b) any Know-How included in the Joint Inventions under this Agreement.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1.70 “</w:t>
      </w:r>
      <w:r>
        <w:rPr>
          <w:rFonts w:ascii="Arial" w:cs="Arial" w:eastAsia="Arial" w:hAnsi="Arial"/>
          <w:sz w:val="22"/>
          <w:szCs w:val="22"/>
          <w:u w:val="single" w:color="auto"/>
          <w:color w:val="auto"/>
        </w:rPr>
        <w:t>Joint Intellectual Property</w:t>
      </w:r>
      <w:r>
        <w:rPr>
          <w:rFonts w:ascii="Arial" w:cs="Arial" w:eastAsia="Arial" w:hAnsi="Arial"/>
          <w:sz w:val="22"/>
          <w:szCs w:val="22"/>
          <w:color w:val="auto"/>
        </w:rPr>
        <w:t>” shall mean Joint Patents and Joint Information.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Joint Inventions</w:t>
      </w:r>
      <w:r>
        <w:rPr>
          <w:rFonts w:ascii="Arial" w:cs="Arial" w:eastAsia="Arial" w:hAnsi="Arial"/>
          <w:sz w:val="22"/>
          <w:szCs w:val="22"/>
          <w:color w:val="auto"/>
        </w:rPr>
        <w:t>” shall have the meaning set forth in Section 10.1(b).</w:t>
      </w:r>
    </w:p>
    <w:p>
      <w:pPr>
        <w:spacing w:after="0" w:line="22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1.72 “</w:t>
      </w:r>
      <w:r>
        <w:rPr>
          <w:rFonts w:ascii="Arial" w:cs="Arial" w:eastAsia="Arial" w:hAnsi="Arial"/>
          <w:sz w:val="21"/>
          <w:szCs w:val="21"/>
          <w:u w:val="single" w:color="auto"/>
          <w:color w:val="auto"/>
        </w:rPr>
        <w:t>Joint Patents</w:t>
      </w:r>
      <w:r>
        <w:rPr>
          <w:rFonts w:ascii="Arial" w:cs="Arial" w:eastAsia="Arial" w:hAnsi="Arial"/>
          <w:sz w:val="21"/>
          <w:szCs w:val="21"/>
          <w:color w:val="auto"/>
        </w:rPr>
        <w:t>” shall mean (a) Patents in the Joint Inventions or that Cover a Joint Invention and (b) Joint Patent Rights (as defined in the LCA) that exist as of the Transition Date and are related to the Praluent Compound or the Praluent Products. The Joint Patents that exist as of the Transition Date are set forth on Schedule 1.72.</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1.73 “</w:t>
      </w:r>
      <w:r>
        <w:rPr>
          <w:rFonts w:ascii="Arial" w:cs="Arial" w:eastAsia="Arial" w:hAnsi="Arial"/>
          <w:sz w:val="22"/>
          <w:szCs w:val="22"/>
          <w:u w:val="single" w:color="auto"/>
          <w:color w:val="auto"/>
        </w:rPr>
        <w:t>Joint Praluent Committee</w:t>
      </w:r>
      <w:r>
        <w:rPr>
          <w:rFonts w:ascii="Arial" w:cs="Arial" w:eastAsia="Arial" w:hAnsi="Arial"/>
          <w:sz w:val="22"/>
          <w:szCs w:val="22"/>
          <w:color w:val="auto"/>
        </w:rPr>
        <w:t>” or “</w:t>
      </w:r>
      <w:r>
        <w:rPr>
          <w:rFonts w:ascii="Arial" w:cs="Arial" w:eastAsia="Arial" w:hAnsi="Arial"/>
          <w:sz w:val="22"/>
          <w:szCs w:val="22"/>
          <w:u w:val="single" w:color="auto"/>
          <w:color w:val="auto"/>
        </w:rPr>
        <w:t>JPC</w:t>
      </w:r>
      <w:r>
        <w:rPr>
          <w:rFonts w:ascii="Arial" w:cs="Arial" w:eastAsia="Arial" w:hAnsi="Arial"/>
          <w:sz w:val="22"/>
          <w:szCs w:val="22"/>
          <w:color w:val="auto"/>
        </w:rPr>
        <w:t>” shall have the meaning set forth in Section 3.2.</w:t>
      </w:r>
    </w:p>
    <w:p>
      <w:pPr>
        <w:spacing w:after="0" w:line="220"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1.74 “</w:t>
      </w:r>
      <w:r>
        <w:rPr>
          <w:rFonts w:ascii="Arial" w:cs="Arial" w:eastAsia="Arial" w:hAnsi="Arial"/>
          <w:sz w:val="22"/>
          <w:szCs w:val="22"/>
          <w:u w:val="single" w:color="auto"/>
          <w:color w:val="auto"/>
        </w:rPr>
        <w:t>Know-How</w:t>
      </w:r>
      <w:r>
        <w:rPr>
          <w:rFonts w:ascii="Arial" w:cs="Arial" w:eastAsia="Arial" w:hAnsi="Arial"/>
          <w:sz w:val="22"/>
          <w:szCs w:val="22"/>
          <w:color w:val="auto"/>
        </w:rPr>
        <w:t>” shall mean any and all proprietary technical or scientific information, know-how, data, materials, protocols, test results, knowledge, techniques, discoveries, inventions, specifications, designs, trade secrets, improvements and other information, including marketing or supply information and data, and information and data included or referenced in the Regulatory Filings made or Approvals, whether or not patentable or otherwise protected by trade secret Law, in each case that are not claimed or disclosed in any published Patents.</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1.75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or ordinances of any Governmental Authority in the Territory.</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1.76 “</w:t>
      </w:r>
      <w:r>
        <w:rPr>
          <w:rFonts w:ascii="Arial" w:cs="Arial" w:eastAsia="Arial" w:hAnsi="Arial"/>
          <w:sz w:val="22"/>
          <w:szCs w:val="22"/>
          <w:u w:val="single" w:color="auto"/>
          <w:color w:val="auto"/>
        </w:rPr>
        <w:t>LCA</w:t>
      </w:r>
      <w:r>
        <w:rPr>
          <w:rFonts w:ascii="Arial" w:cs="Arial" w:eastAsia="Arial" w:hAnsi="Arial"/>
          <w:sz w:val="22"/>
          <w:szCs w:val="22"/>
          <w:color w:val="auto"/>
        </w:rPr>
        <w:t>” shall have the meaning set forth in the recitals hereto.</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1.77 “</w:t>
      </w:r>
      <w:r>
        <w:rPr>
          <w:rFonts w:ascii="Arial" w:cs="Arial" w:eastAsia="Arial" w:hAnsi="Arial"/>
          <w:sz w:val="22"/>
          <w:szCs w:val="22"/>
          <w:u w:val="single" w:color="auto"/>
          <w:color w:val="auto"/>
        </w:rPr>
        <w:t>LCA Amendment</w:t>
      </w:r>
      <w:r>
        <w:rPr>
          <w:rFonts w:ascii="Arial" w:cs="Arial" w:eastAsia="Arial" w:hAnsi="Arial"/>
          <w:sz w:val="22"/>
          <w:szCs w:val="22"/>
          <w:color w:val="auto"/>
        </w:rPr>
        <w:t>” shall have the meaning set forth in the recitals hereto.</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Lead Defense Party</w:t>
      </w:r>
      <w:r>
        <w:rPr>
          <w:rFonts w:ascii="Arial" w:cs="Arial" w:eastAsia="Arial" w:hAnsi="Arial"/>
          <w:sz w:val="22"/>
          <w:szCs w:val="22"/>
          <w:color w:val="auto"/>
        </w:rPr>
        <w:t>” shall have the meaning set forth in Section 11.4(b).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Lead Enforcement Party</w:t>
      </w:r>
      <w:r>
        <w:rPr>
          <w:rFonts w:ascii="Arial" w:cs="Arial" w:eastAsia="Arial" w:hAnsi="Arial"/>
          <w:sz w:val="22"/>
          <w:szCs w:val="22"/>
          <w:color w:val="auto"/>
        </w:rPr>
        <w:t>” shall have the meaning set forth in Section 11.1(b).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1.80 “</w:t>
      </w:r>
      <w:r>
        <w:rPr>
          <w:rFonts w:ascii="Arial" w:cs="Arial" w:eastAsia="Arial" w:hAnsi="Arial"/>
          <w:sz w:val="22"/>
          <w:szCs w:val="22"/>
          <w:u w:val="single" w:color="auto"/>
          <w:color w:val="auto"/>
        </w:rPr>
        <w:t>Litigation Costs</w:t>
      </w:r>
      <w:r>
        <w:rPr>
          <w:rFonts w:ascii="Arial" w:cs="Arial" w:eastAsia="Arial" w:hAnsi="Arial"/>
          <w:sz w:val="22"/>
          <w:szCs w:val="22"/>
          <w:color w:val="auto"/>
        </w:rPr>
        <w:t>” shall have the meaning set forth in Section 14.1(c)(i)(A).</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1.81 “</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shall mean all activities related to the production, manufacture, making, processing, filling, finishing, packaging, labeling, analytical testing, inspection,</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28" w:right="339" w:bottom="1440" w:gutter="0" w:footer="0" w:header="0"/>
          <w:type w:val="continuous"/>
        </w:sectPr>
      </w:pPr>
    </w:p>
    <w:bookmarkStart w:id="112" w:name="page113"/>
    <w:bookmarkEnd w:id="112"/>
    <w:p>
      <w:pPr>
        <w:jc w:val="both"/>
        <w:spacing w:after="0" w:line="297" w:lineRule="auto"/>
        <w:rPr>
          <w:sz w:val="20"/>
          <w:szCs w:val="20"/>
          <w:color w:val="auto"/>
        </w:rPr>
      </w:pPr>
      <w:r>
        <w:rPr>
          <w:rFonts w:ascii="Arial" w:cs="Arial" w:eastAsia="Arial" w:hAnsi="Arial"/>
          <w:sz w:val="19"/>
          <w:szCs w:val="19"/>
          <w:color w:val="auto"/>
        </w:rPr>
        <w:t>receiving, holding and shipping of any Praluent Product or biosimilar thereof, as the case may be, or any constituents (including the Formulated Drug Substance), placebo or a comparator agent, as the case may be or packaging materials with respect thereto, or any intermediate of any of the foregoing, including process and cost optimization, process qualification and validation, release, testing, quality assurance and quality control. When used as a verb, “Manufacture” shall mean to engage in Manufacturing, and when used as a noun, “Manufacturer” shall mean a Person engaged in Manufacturing.</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1.82 “</w:t>
      </w:r>
      <w:r>
        <w:rPr>
          <w:rFonts w:ascii="Arial" w:cs="Arial" w:eastAsia="Arial" w:hAnsi="Arial"/>
          <w:sz w:val="22"/>
          <w:szCs w:val="22"/>
          <w:u w:val="single" w:color="auto"/>
          <w:color w:val="auto"/>
        </w:rPr>
        <w:t>Manufacturing Party</w:t>
      </w:r>
      <w:r>
        <w:rPr>
          <w:rFonts w:ascii="Arial" w:cs="Arial" w:eastAsia="Arial" w:hAnsi="Arial"/>
          <w:sz w:val="22"/>
          <w:szCs w:val="22"/>
          <w:color w:val="auto"/>
        </w:rPr>
        <w:t>” shall have the meaning set forth in Section 6.3(b).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Manufacturing Transition Team</w:t>
      </w:r>
      <w:r>
        <w:rPr>
          <w:rFonts w:ascii="Arial" w:cs="Arial" w:eastAsia="Arial" w:hAnsi="Arial"/>
          <w:sz w:val="22"/>
          <w:szCs w:val="22"/>
          <w:color w:val="auto"/>
        </w:rPr>
        <w:t>” shall have the meaning set forth in Section 7.9(a).</w:t>
      </w:r>
    </w:p>
    <w:p>
      <w:pPr>
        <w:spacing w:after="0" w:line="220"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an Approval required for the marketing and sale of a Praluent Product in a country in the Territory.</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Modified Clause</w:t>
      </w:r>
      <w:r>
        <w:rPr>
          <w:rFonts w:ascii="Arial" w:cs="Arial" w:eastAsia="Arial" w:hAnsi="Arial"/>
          <w:sz w:val="22"/>
          <w:szCs w:val="22"/>
          <w:color w:val="auto"/>
        </w:rPr>
        <w:t>” shall have the meaning set forth in Section 18.8.</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u w:val="single" w:color="auto"/>
          <w:color w:val="auto"/>
        </w:rPr>
        <w:t>NDC</w:t>
      </w:r>
      <w:r>
        <w:rPr>
          <w:rFonts w:ascii="Arial" w:cs="Arial" w:eastAsia="Arial" w:hAnsi="Arial"/>
          <w:sz w:val="22"/>
          <w:szCs w:val="22"/>
          <w:color w:val="auto"/>
        </w:rPr>
        <w:t>” shall mean the “National Drug Code” registered by a company with the FDA with respect to a pharmaceutical product.</w:t>
      </w:r>
    </w:p>
    <w:p>
      <w:pPr>
        <w:spacing w:after="0" w:line="17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1.87 “</w:t>
      </w:r>
      <w:r>
        <w:rPr>
          <w:rFonts w:ascii="Arial" w:cs="Arial" w:eastAsia="Arial" w:hAnsi="Arial"/>
          <w:sz w:val="21"/>
          <w:szCs w:val="21"/>
          <w:u w:val="single" w:color="auto"/>
          <w:color w:val="auto"/>
        </w:rPr>
        <w:t>Net Sales</w:t>
      </w:r>
      <w:r>
        <w:rPr>
          <w:rFonts w:ascii="Arial" w:cs="Arial" w:eastAsia="Arial" w:hAnsi="Arial"/>
          <w:sz w:val="21"/>
          <w:szCs w:val="21"/>
          <w:color w:val="auto"/>
        </w:rPr>
        <w:t>” shall mean, with respect to a Praluent Royalty Product for any Calendar Quarter, the gross amount billed or invoiced by Sanofi, its Affiliates or its or their Sublicensees for the sale of such Praluent Royalty Product to Third Parties, less the following deductions determined in accordance with applicable Accounting Standards from such gross amounts which are actually incurred, allowed, accrued or specifically allocated to the Praluent Royalty Product:</w:t>
      </w:r>
    </w:p>
    <w:p>
      <w:pPr>
        <w:spacing w:after="0" w:line="175" w:lineRule="exact"/>
        <w:rPr>
          <w:sz w:val="20"/>
          <w:szCs w:val="20"/>
          <w:color w:val="auto"/>
        </w:rPr>
      </w:pPr>
    </w:p>
    <w:p>
      <w:pPr>
        <w:jc w:val="both"/>
        <w:ind w:left="1300" w:hanging="6"/>
        <w:spacing w:after="0" w:line="297" w:lineRule="auto"/>
        <w:tabs>
          <w:tab w:leader="none" w:pos="1638" w:val="left"/>
        </w:tabs>
        <w:numPr>
          <w:ilvl w:val="0"/>
          <w:numId w:val="50"/>
        </w:numPr>
        <w:rPr>
          <w:rFonts w:ascii="Arial" w:cs="Arial" w:eastAsia="Arial" w:hAnsi="Arial"/>
          <w:sz w:val="19"/>
          <w:szCs w:val="19"/>
          <w:color w:val="auto"/>
        </w:rPr>
      </w:pPr>
      <w:r>
        <w:rPr>
          <w:rFonts w:ascii="Arial" w:cs="Arial" w:eastAsia="Arial" w:hAnsi="Arial"/>
          <w:sz w:val="19"/>
          <w:szCs w:val="19"/>
          <w:color w:val="auto"/>
        </w:rPr>
        <w:t>discounts, including cash, trade and quantity discounts inclusive of free goods, price reduction programs (including co-pay assistance, compulsory refunds or any other patient assistance programs), retroactive price adjustments with respect to sales of a Praluent Royalty Product, charge-back payments and rebates granted to managed health care organizations or to federal, state and local governments (or their respective agencies, purchasers and reimbursors) or to trade customers, including wholesalers and chain and pharmacy buying groups;</w:t>
      </w:r>
    </w:p>
    <w:p>
      <w:pPr>
        <w:spacing w:after="0" w:line="146" w:lineRule="exact"/>
        <w:rPr>
          <w:rFonts w:ascii="Arial" w:cs="Arial" w:eastAsia="Arial" w:hAnsi="Arial"/>
          <w:sz w:val="19"/>
          <w:szCs w:val="19"/>
          <w:color w:val="auto"/>
        </w:rPr>
      </w:pPr>
    </w:p>
    <w:p>
      <w:pPr>
        <w:ind w:left="1300" w:right="20" w:hanging="6"/>
        <w:spacing w:after="0" w:line="263" w:lineRule="auto"/>
        <w:tabs>
          <w:tab w:leader="none" w:pos="167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amounts repaid or credited by reason of defects, damaged Praluent Royalty Products, expired dating, rejections, recalls, refunds, returns, rebates and billing errors;</w:t>
      </w:r>
    </w:p>
    <w:p>
      <w:pPr>
        <w:spacing w:after="0" w:line="174" w:lineRule="exact"/>
        <w:rPr>
          <w:rFonts w:ascii="Arial" w:cs="Arial" w:eastAsia="Arial" w:hAnsi="Arial"/>
          <w:sz w:val="22"/>
          <w:szCs w:val="22"/>
          <w:color w:val="auto"/>
        </w:rPr>
      </w:pPr>
    </w:p>
    <w:p>
      <w:pPr>
        <w:ind w:left="1300" w:hanging="6"/>
        <w:spacing w:after="0" w:line="263" w:lineRule="auto"/>
        <w:tabs>
          <w:tab w:leader="none" w:pos="16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freight, postage, shipping and insurance charges actually allowed or paid for delivery of a Praluent Royalty Product, which are separately identified on the invoice or other documentation;</w:t>
      </w:r>
    </w:p>
    <w:p>
      <w:pPr>
        <w:spacing w:after="0" w:line="174" w:lineRule="exact"/>
        <w:rPr>
          <w:rFonts w:ascii="Arial" w:cs="Arial" w:eastAsia="Arial" w:hAnsi="Arial"/>
          <w:sz w:val="22"/>
          <w:szCs w:val="22"/>
          <w:color w:val="auto"/>
        </w:rPr>
      </w:pPr>
    </w:p>
    <w:p>
      <w:pPr>
        <w:ind w:left="1600" w:hanging="306"/>
        <w:spacing w:after="0"/>
        <w:tabs>
          <w:tab w:leader="none" w:pos="16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hanging="6"/>
        <w:spacing w:after="0" w:line="271" w:lineRule="auto"/>
        <w:tabs>
          <w:tab w:leader="none" w:pos="1635" w:val="left"/>
        </w:tabs>
        <w:numPr>
          <w:ilvl w:val="0"/>
          <w:numId w:val="50"/>
        </w:numPr>
        <w:rPr>
          <w:rFonts w:ascii="Arial" w:cs="Arial" w:eastAsia="Arial" w:hAnsi="Arial"/>
          <w:sz w:val="21"/>
          <w:szCs w:val="21"/>
          <w:color w:val="auto"/>
        </w:rPr>
      </w:pPr>
      <w:r>
        <w:rPr>
          <w:rFonts w:ascii="Arial" w:cs="Arial" w:eastAsia="Arial" w:hAnsi="Arial"/>
          <w:sz w:val="21"/>
          <w:szCs w:val="21"/>
          <w:color w:val="auto"/>
        </w:rPr>
        <w:t>customs, taxes, duties or other governmental charges incurred in connection with, levied on, absorbed or otherwise imposed on sale, exportation or importation of Praluent Royalty Product, including value-added taxes, or other governmental charges otherwise measured by the billing amount,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13" w:name="page114"/>
    <w:bookmarkEnd w:id="113"/>
    <w:p>
      <w:pPr>
        <w:ind w:left="180"/>
        <w:spacing w:after="0" w:line="263" w:lineRule="auto"/>
        <w:rPr>
          <w:sz w:val="20"/>
          <w:szCs w:val="20"/>
          <w:color w:val="auto"/>
        </w:rPr>
      </w:pPr>
      <w:r>
        <w:rPr>
          <w:rFonts w:ascii="Arial" w:cs="Arial" w:eastAsia="Arial" w:hAnsi="Arial"/>
          <w:sz w:val="22"/>
          <w:szCs w:val="22"/>
          <w:color w:val="auto"/>
        </w:rPr>
        <w:t>included in billing, as adjusted for rebates and refunds, but specifically excluding taxes based on net income of the seller, which are separately identified on the invoice or other documentation;</w:t>
      </w:r>
    </w:p>
    <w:p>
      <w:pPr>
        <w:spacing w:after="0" w:line="175" w:lineRule="exact"/>
        <w:rPr>
          <w:sz w:val="20"/>
          <w:szCs w:val="20"/>
          <w:color w:val="auto"/>
        </w:rPr>
      </w:pPr>
    </w:p>
    <w:p>
      <w:pPr>
        <w:ind w:left="440" w:hanging="266"/>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0" w:hanging="6"/>
        <w:spacing w:after="0" w:line="253" w:lineRule="auto"/>
        <w:tabs>
          <w:tab w:leader="none" w:pos="543"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rebates, credits, compulsory refunds and similar payments made with respect to sales paid for by any governmental or regulatory authority under any governmental program similar or equivalent to Medicaid, Medicare outside the United States;</w:t>
      </w:r>
    </w:p>
    <w:p>
      <w:pPr>
        <w:spacing w:after="0" w:line="185" w:lineRule="exact"/>
        <w:rPr>
          <w:rFonts w:ascii="Arial" w:cs="Arial" w:eastAsia="Arial" w:hAnsi="Arial"/>
          <w:sz w:val="22"/>
          <w:szCs w:val="22"/>
          <w:color w:val="auto"/>
        </w:rPr>
      </w:pPr>
    </w:p>
    <w:p>
      <w:pPr>
        <w:ind w:left="180" w:right="20" w:hanging="6"/>
        <w:spacing w:after="0" w:line="263" w:lineRule="auto"/>
        <w:tabs>
          <w:tab w:leader="none" w:pos="5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portion of administrative fees paid during the relevant time period to group purchasing organizations or pharmaceutical benefit managers relating to the Praluent Royalty Product; and</w:t>
      </w:r>
    </w:p>
    <w:p>
      <w:pPr>
        <w:spacing w:after="0" w:line="174" w:lineRule="exact"/>
        <w:rPr>
          <w:rFonts w:ascii="Arial" w:cs="Arial" w:eastAsia="Arial" w:hAnsi="Arial"/>
          <w:sz w:val="22"/>
          <w:szCs w:val="22"/>
          <w:color w:val="auto"/>
        </w:rPr>
      </w:pPr>
    </w:p>
    <w:p>
      <w:pPr>
        <w:jc w:val="both"/>
        <w:ind w:left="180" w:hanging="6"/>
        <w:spacing w:after="0" w:line="312" w:lineRule="auto"/>
        <w:tabs>
          <w:tab w:leader="none" w:pos="4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other similar and customary deductions that are consistent with Accounting Standards as determined from the books and records of Sanofi, its Affiliates or its or their (sub)licensees, as the case may be, maintained in accordance with Sanofi’s, its Affiliates’ or its or their (sub)licensees’ normal practices.</w:t>
      </w:r>
    </w:p>
    <w:p>
      <w:pPr>
        <w:spacing w:after="0" w:line="133" w:lineRule="exact"/>
        <w:rPr>
          <w:sz w:val="20"/>
          <w:szCs w:val="20"/>
          <w:color w:val="auto"/>
        </w:rPr>
      </w:pPr>
    </w:p>
    <w:p>
      <w:pPr>
        <w:jc w:val="both"/>
        <w:ind w:left="180"/>
        <w:spacing w:after="0" w:line="258" w:lineRule="auto"/>
        <w:rPr>
          <w:sz w:val="20"/>
          <w:szCs w:val="20"/>
          <w:color w:val="auto"/>
        </w:rPr>
      </w:pPr>
      <w:r>
        <w:rPr>
          <w:rFonts w:ascii="Arial" w:cs="Arial" w:eastAsia="Arial" w:hAnsi="Arial"/>
          <w:sz w:val="21"/>
          <w:szCs w:val="21"/>
          <w:color w:val="auto"/>
        </w:rPr>
        <w:t>Any of the deductions listed above that would otherwise be deducted from the invoice price in the calculation of Net Sales but which are separately charged to, and paid by, Third Parties shall not be deducted from the invoice price in the calculation of Net Sales. Any of the deductions listed above that involves a payment by Sanofi, its Affiliates or its or their Sublicensees shall be taken as a deduction in the Calendar Quarter in which the payment is accrued by such entity. For purposes of determining Net Sales, a Praluent Royalty Product shall be deemed to be sold when it has met the applicable Accounting Standards’ revenue recognition criteria. Net Sales shall not include transfers or dispositions of such Praluent Royalty Product for pre-clinical or clinical purposes, compassionate use or as samples, in each case, without charge. Sanofi’s, its Affiliates’ or its or their Sublicensees’ transfer of the Praluent Royalty Product to an Affiliate or Sublicensee shall not result in any Net Sales unless the transferee is an end user.</w:t>
      </w:r>
    </w:p>
    <w:p>
      <w:pPr>
        <w:spacing w:after="0" w:line="185" w:lineRule="exact"/>
        <w:rPr>
          <w:sz w:val="20"/>
          <w:szCs w:val="20"/>
          <w:color w:val="auto"/>
        </w:rPr>
      </w:pPr>
    </w:p>
    <w:p>
      <w:pPr>
        <w:jc w:val="both"/>
        <w:ind w:left="180"/>
        <w:spacing w:after="0" w:line="292" w:lineRule="auto"/>
        <w:rPr>
          <w:sz w:val="20"/>
          <w:szCs w:val="20"/>
          <w:color w:val="auto"/>
        </w:rPr>
      </w:pPr>
      <w:r>
        <w:rPr>
          <w:rFonts w:ascii="Arial" w:cs="Arial" w:eastAsia="Arial" w:hAnsi="Arial"/>
          <w:sz w:val="19"/>
          <w:szCs w:val="19"/>
          <w:color w:val="auto"/>
        </w:rPr>
        <w:t>In the event that a Praluent Royalty Product is sold in any country in the form of a combination product containing both the Praluent Compound or, where applicable, biosimilar thereof and one or more other active ingredients (“</w:t>
      </w:r>
      <w:r>
        <w:rPr>
          <w:rFonts w:ascii="Arial" w:cs="Arial" w:eastAsia="Arial" w:hAnsi="Arial"/>
          <w:sz w:val="19"/>
          <w:szCs w:val="19"/>
          <w:u w:val="single" w:color="auto"/>
          <w:color w:val="auto"/>
        </w:rPr>
        <w:t>Other Ingredients</w:t>
      </w:r>
      <w:r>
        <w:rPr>
          <w:rFonts w:ascii="Arial" w:cs="Arial" w:eastAsia="Arial" w:hAnsi="Arial"/>
          <w:sz w:val="19"/>
          <w:szCs w:val="19"/>
          <w:color w:val="auto"/>
        </w:rPr>
        <w:t>”) (whether combined in a single formulation or package, as applicable, or formulated or packaged separately but sold together for a single price in a manner consistent with the terms of this Agreement) (a “</w:t>
      </w:r>
      <w:r>
        <w:rPr>
          <w:rFonts w:ascii="Arial" w:cs="Arial" w:eastAsia="Arial" w:hAnsi="Arial"/>
          <w:sz w:val="19"/>
          <w:szCs w:val="19"/>
          <w:u w:val="single" w:color="auto"/>
          <w:color w:val="auto"/>
        </w:rPr>
        <w:t>Combination Product</w:t>
      </w:r>
      <w:r>
        <w:rPr>
          <w:rFonts w:ascii="Arial" w:cs="Arial" w:eastAsia="Arial" w:hAnsi="Arial"/>
          <w:sz w:val="19"/>
          <w:szCs w:val="19"/>
          <w:color w:val="auto"/>
        </w:rPr>
        <w:t>”), Net Sales of such Combination Product shall be adjusted by multiplying actual Net Sales of such Combination Product in such country calculated pursuant to the foregoing definition of “Net Sales” by the fraction A/(A+B), where A is the average net invoice price in such country of the Praluent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28" w:right="339" w:bottom="1440" w:gutter="0" w:footer="0" w:header="0"/>
        </w:sectPr>
      </w:pPr>
    </w:p>
    <w:bookmarkStart w:id="114" w:name="page115"/>
    <w:bookmarkEnd w:id="114"/>
    <w:p>
      <w:pPr>
        <w:jc w:val="both"/>
        <w:ind w:left="1300"/>
        <w:spacing w:after="0" w:line="286" w:lineRule="auto"/>
        <w:rPr>
          <w:sz w:val="20"/>
          <w:szCs w:val="20"/>
          <w:color w:val="auto"/>
        </w:rPr>
      </w:pPr>
      <w:r>
        <w:rPr>
          <w:rFonts w:ascii="Arial" w:cs="Arial" w:eastAsia="Arial" w:hAnsi="Arial"/>
          <w:sz w:val="19"/>
          <w:szCs w:val="19"/>
          <w:color w:val="auto"/>
        </w:rPr>
        <w:t>Royalty Product that contains the Praluent Compound or, where applicable, biosimilar thereof as its sole active ingredient, if sold separately in such country, and B is the average net invoice price in such country of, as applicable, each product that contains such Other Ingredient(s) as its sole active ingredient(s) if sold separately in such country; provided that the invoice price in a country for Praluent Royalty Product that contains the Praluent Compound or, where applicable, biosimilar thereof as its sole active ingredient and such product that contains such Other Ingredient(s) as its sole active ingredient(s) shall to the extent feasible be for quantities comparable to those used in such Combination Product and of substantially the same class, purity and potency or functionality, as applicable. If either such Praluent Royalty Product that contains the Praluent Compound or, where applicable, biosimilar thereof as its sole active ingredient or any such product that contains such Other Ingredient(s) as its sole active ingredient(s) is not sold separately in a particular country, then the adjustment to Net Sales shall be determined by the Parties in good faith to reasonably reflect the fair market value of the contribution of such Praluent Royalty Product that contains the Praluent Compound or, where applicable, biosimilar thereof as its sole active ingredient to the total fair market value of such Combination Product.</w:t>
      </w:r>
    </w:p>
    <w:p>
      <w:pPr>
        <w:spacing w:after="0" w:line="166"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 xml:space="preserve">In the case of pharmacy incentive programs, hospital performance incentive programs, chargebacks, disease management programs, similar programs or discounts on portfolio product offerings, all rebates, discounts and other forms of reimbursements shall be allocated among products on the basis on which such rebates, discounts and other forms of reimbursements were actually granted or, if such basis cannot be determined, in accordance with Sanofi’s, its Affiliates’ or its or their Sublicensees’ existing allocation method;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allocation shall be done in accordance with applicable Law, including any price reporting laws, rules and regulations.</w:t>
      </w:r>
    </w:p>
    <w:p>
      <w:pPr>
        <w:spacing w:after="0" w:line="19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Subject to the above, Net Sales shall be calculated in accordance with the standard internal policies and procedures of Sanofi, its Affiliates or its or their Sublicensees, which shall be in accordance with applicable Accounting Standards.</w:t>
      </w:r>
    </w:p>
    <w:p>
      <w:pPr>
        <w:spacing w:after="0" w:line="185"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u w:val="single" w:color="auto"/>
          <w:color w:val="auto"/>
        </w:rPr>
        <w:t>New Regeneron License</w:t>
      </w:r>
      <w:r>
        <w:rPr>
          <w:rFonts w:ascii="Arial" w:cs="Arial" w:eastAsia="Arial" w:hAnsi="Arial"/>
          <w:sz w:val="22"/>
          <w:szCs w:val="22"/>
          <w:color w:val="auto"/>
        </w:rPr>
        <w:t>” shall mean any license entered into by Regeneron (or any of its Affiliate(s)) with a Third Party after the Transition Date, required for the U.S. Praluent Product Business.</w:t>
      </w:r>
    </w:p>
    <w:p>
      <w:pPr>
        <w:spacing w:after="0" w:line="175"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1.89 “</w:t>
      </w:r>
      <w:r>
        <w:rPr>
          <w:rFonts w:ascii="Arial" w:cs="Arial" w:eastAsia="Arial" w:hAnsi="Arial"/>
          <w:sz w:val="22"/>
          <w:szCs w:val="22"/>
          <w:u w:val="single" w:color="auto"/>
          <w:color w:val="auto"/>
        </w:rPr>
        <w:t>New Sanofi License</w:t>
      </w:r>
      <w:r>
        <w:rPr>
          <w:rFonts w:ascii="Arial" w:cs="Arial" w:eastAsia="Arial" w:hAnsi="Arial"/>
          <w:sz w:val="22"/>
          <w:szCs w:val="22"/>
          <w:color w:val="auto"/>
        </w:rPr>
        <w:t>” shall mean any license entered into by Sanofi (or any of its Affiliate(s)) with a Third Party after the Transition Date, required for the ROW Praluent Product Business.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1.90 “</w:t>
      </w:r>
      <w:r>
        <w:rPr>
          <w:rFonts w:ascii="Arial" w:cs="Arial" w:eastAsia="Arial" w:hAnsi="Arial"/>
          <w:sz w:val="22"/>
          <w:szCs w:val="22"/>
          <w:u w:val="single" w:color="auto"/>
          <w:color w:val="auto"/>
        </w:rPr>
        <w:t>Non-Manufacturing Party</w:t>
      </w:r>
      <w:r>
        <w:rPr>
          <w:rFonts w:ascii="Arial" w:cs="Arial" w:eastAsia="Arial" w:hAnsi="Arial"/>
          <w:sz w:val="22"/>
          <w:szCs w:val="22"/>
          <w:color w:val="auto"/>
        </w:rPr>
        <w:t>” shall have the meaning set forth in Section 6.3(b).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1.91 “</w:t>
      </w:r>
      <w:r>
        <w:rPr>
          <w:rFonts w:ascii="Arial" w:cs="Arial" w:eastAsia="Arial" w:hAnsi="Arial"/>
          <w:sz w:val="22"/>
          <w:szCs w:val="22"/>
          <w:u w:val="single" w:color="auto"/>
          <w:color w:val="auto"/>
        </w:rPr>
        <w:t>Other Existing Trial</w:t>
      </w:r>
      <w:r>
        <w:rPr>
          <w:rFonts w:ascii="Arial" w:cs="Arial" w:eastAsia="Arial" w:hAnsi="Arial"/>
          <w:sz w:val="22"/>
          <w:szCs w:val="22"/>
          <w:color w:val="auto"/>
        </w:rPr>
        <w:t>” shall mean any Existing Trial other than a Global Clinical Trial.</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Other Ingredients</w:t>
      </w:r>
      <w:r>
        <w:rPr>
          <w:rFonts w:ascii="Arial" w:cs="Arial" w:eastAsia="Arial" w:hAnsi="Arial"/>
          <w:sz w:val="22"/>
          <w:szCs w:val="22"/>
          <w:color w:val="auto"/>
        </w:rPr>
        <w:t>” shall have the meaning set forth in the definition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15" w:name="page116"/>
    <w:bookmarkEnd w:id="115"/>
    <w:p>
      <w:pPr>
        <w:jc w:val="both"/>
        <w:ind w:firstLine="972"/>
        <w:spacing w:after="0" w:line="248"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Out-of-Pocket Costs</w:t>
      </w:r>
      <w:r>
        <w:rPr>
          <w:rFonts w:ascii="Arial" w:cs="Arial" w:eastAsia="Arial" w:hAnsi="Arial"/>
          <w:sz w:val="22"/>
          <w:szCs w:val="22"/>
          <w:color w:val="auto"/>
        </w:rPr>
        <w:t>” shall mean documented costs and expenses paid to Third Parties (or payable to Third Parties and accrued in accordance with applicable Accounting Standards) by either Party or its Affiliates, excluding any such costs and expenses in respect of “contract personnel” that are accounted for on an FTE basis in accordance with the definition of FTE. For the avoidance of doubt, in no case shall any particular cost or expense be accounted for hereunder both as an Out-of-Pocket Cost and as an FTE-based cost.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Owed Party</w:t>
      </w:r>
      <w:r>
        <w:rPr>
          <w:rFonts w:ascii="Arial" w:cs="Arial" w:eastAsia="Arial" w:hAnsi="Arial"/>
          <w:sz w:val="22"/>
          <w:szCs w:val="22"/>
          <w:color w:val="auto"/>
        </w:rPr>
        <w:t>” shall have the meaning set forth in Section 8.7.</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1.95 “</w:t>
      </w:r>
      <w:r>
        <w:rPr>
          <w:rFonts w:ascii="Arial" w:cs="Arial" w:eastAsia="Arial" w:hAnsi="Arial"/>
          <w:sz w:val="22"/>
          <w:szCs w:val="22"/>
          <w:u w:val="single" w:color="auto"/>
          <w:color w:val="auto"/>
        </w:rPr>
        <w:t>Owing Party</w:t>
      </w:r>
      <w:r>
        <w:rPr>
          <w:rFonts w:ascii="Arial" w:cs="Arial" w:eastAsia="Arial" w:hAnsi="Arial"/>
          <w:sz w:val="22"/>
          <w:szCs w:val="22"/>
          <w:color w:val="auto"/>
        </w:rPr>
        <w:t>” shall have the meaning set forth in Section 8.7.</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color w:val="auto"/>
        </w:rPr>
        <w:t>1.97 “</w:t>
      </w:r>
      <w:r>
        <w:rPr>
          <w:rFonts w:ascii="Arial" w:cs="Arial" w:eastAsia="Arial" w:hAnsi="Arial"/>
          <w:sz w:val="19"/>
          <w:szCs w:val="19"/>
          <w:u w:val="single" w:color="auto"/>
          <w:color w:val="auto"/>
        </w:rPr>
        <w:t>Party Information</w:t>
      </w:r>
      <w:r>
        <w:rPr>
          <w:rFonts w:ascii="Arial" w:cs="Arial" w:eastAsia="Arial" w:hAnsi="Arial"/>
          <w:sz w:val="19"/>
          <w:szCs w:val="19"/>
          <w:color w:val="auto"/>
        </w:rPr>
        <w:t>” shall mean any and all trade secrets or other proprietary information, including any proprietary data, inventions, ideas, discoveries and materials (whether or not patentable or protectable as a trade secret) not generally known to the public regarding a Party’s or its Affiliates’ technology, products, business or objectives, in each case that</w:t>
      </w:r>
    </w:p>
    <w:p>
      <w:pPr>
        <w:spacing w:after="0" w:line="1" w:lineRule="exact"/>
        <w:rPr>
          <w:sz w:val="20"/>
          <w:szCs w:val="20"/>
          <w:color w:val="auto"/>
        </w:rPr>
      </w:pPr>
    </w:p>
    <w:p>
      <w:pPr>
        <w:jc w:val="both"/>
        <w:ind w:firstLine="8"/>
        <w:spacing w:after="0" w:line="257" w:lineRule="auto"/>
        <w:tabs>
          <w:tab w:leader="none" w:pos="298" w:val="left"/>
        </w:tabs>
        <w:numPr>
          <w:ilvl w:val="0"/>
          <w:numId w:val="52"/>
        </w:numPr>
        <w:rPr>
          <w:rFonts w:ascii="Arial" w:cs="Arial" w:eastAsia="Arial" w:hAnsi="Arial"/>
          <w:sz w:val="21"/>
          <w:szCs w:val="21"/>
          <w:color w:val="auto"/>
        </w:rPr>
      </w:pPr>
      <w:r>
        <w:rPr>
          <w:rFonts w:ascii="Arial" w:cs="Arial" w:eastAsia="Arial" w:hAnsi="Arial"/>
          <w:sz w:val="21"/>
          <w:szCs w:val="21"/>
          <w:color w:val="auto"/>
        </w:rPr>
        <w:t>were disclosed under the LCA prior to the Transition Date to the extent specifically related to the Praluent Products or (b) are disclosed or made available by or on behalf of a Party or such Party’s Affiliates to the other Party or the other Party’s Affiliates in connection with this Agreement or any Ancillary Services Agreement. Notwithstanding the foregoing, (i) (A) the Regeneron Background Know-How, (B) the Regeneron Core Know-How and (C) the Transferred Product Records, in each case ((A) - (C)) shall be deemed to be the Party Information of Regeneron and not of Sanofi, (ii) the Sanofi Background Know-How and the Sanofi Core Know-How shall be deemed to be the Party Information of Sanofi and not of Regeneron and (iii) “Party Information” shall in all cases be deemed to exclude the Joint Information.</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1.98 “</w:t>
      </w:r>
      <w:r>
        <w:rPr>
          <w:rFonts w:ascii="Arial" w:cs="Arial" w:eastAsia="Arial" w:hAnsi="Arial"/>
          <w:sz w:val="22"/>
          <w:szCs w:val="22"/>
          <w:u w:val="single" w:color="auto"/>
          <w:color w:val="auto"/>
        </w:rPr>
        <w:t>[* * *]</w:t>
      </w:r>
      <w:r>
        <w:rPr>
          <w:rFonts w:ascii="Arial" w:cs="Arial" w:eastAsia="Arial" w:hAnsi="Arial"/>
          <w:sz w:val="22"/>
          <w:szCs w:val="22"/>
          <w:color w:val="auto"/>
        </w:rPr>
        <w:t>” shall have the meaning set forth in Section 10.2(c).</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1.99 “</w:t>
      </w:r>
      <w:r>
        <w:rPr>
          <w:rFonts w:ascii="Arial" w:cs="Arial" w:eastAsia="Arial" w:hAnsi="Arial"/>
          <w:sz w:val="22"/>
          <w:szCs w:val="22"/>
          <w:u w:val="single" w:color="auto"/>
          <w:color w:val="auto"/>
        </w:rPr>
        <w:t>Patent Infringement</w:t>
      </w:r>
      <w:r>
        <w:rPr>
          <w:rFonts w:ascii="Arial" w:cs="Arial" w:eastAsia="Arial" w:hAnsi="Arial"/>
          <w:sz w:val="22"/>
          <w:szCs w:val="22"/>
          <w:color w:val="auto"/>
        </w:rPr>
        <w:t>” shall have the meaning set forth in Section 11.1(a).</w:t>
      </w:r>
    </w:p>
    <w:p>
      <w:pPr>
        <w:spacing w:after="0" w:line="220"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21"/>
          <w:szCs w:val="21"/>
          <w:color w:val="auto"/>
        </w:rPr>
        <w:t>1.100 “</w:t>
      </w:r>
      <w:r>
        <w:rPr>
          <w:rFonts w:ascii="Arial" w:cs="Arial" w:eastAsia="Arial" w:hAnsi="Arial"/>
          <w:sz w:val="21"/>
          <w:szCs w:val="21"/>
          <w:u w:val="single" w:color="auto"/>
          <w:color w:val="auto"/>
        </w:rPr>
        <w:t>Patents</w:t>
      </w:r>
      <w:r>
        <w:rPr>
          <w:rFonts w:ascii="Arial" w:cs="Arial" w:eastAsia="Arial" w:hAnsi="Arial"/>
          <w:sz w:val="21"/>
          <w:szCs w:val="21"/>
          <w:color w:val="auto"/>
        </w:rPr>
        <w:t>” shall mean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85" w:lineRule="exact"/>
        <w:rPr>
          <w:sz w:val="20"/>
          <w:szCs w:val="20"/>
          <w:color w:val="auto"/>
        </w:rPr>
      </w:pPr>
    </w:p>
    <w:p>
      <w:pPr>
        <w:jc w:val="both"/>
        <w:ind w:right="20" w:firstLine="972"/>
        <w:spacing w:after="0" w:line="287" w:lineRule="auto"/>
        <w:rPr>
          <w:sz w:val="20"/>
          <w:szCs w:val="20"/>
          <w:color w:val="auto"/>
        </w:rPr>
      </w:pPr>
      <w:r>
        <w:rPr>
          <w:rFonts w:ascii="Arial" w:cs="Arial" w:eastAsia="Arial" w:hAnsi="Arial"/>
          <w:sz w:val="21"/>
          <w:szCs w:val="21"/>
          <w:color w:val="auto"/>
        </w:rPr>
        <w:t>1.101 “</w:t>
      </w:r>
      <w:r>
        <w:rPr>
          <w:rFonts w:ascii="Arial" w:cs="Arial" w:eastAsia="Arial" w:hAnsi="Arial"/>
          <w:sz w:val="21"/>
          <w:szCs w:val="21"/>
          <w:u w:val="single" w:color="auto"/>
          <w:color w:val="auto"/>
        </w:rPr>
        <w:t>Person</w:t>
      </w:r>
      <w:r>
        <w:rPr>
          <w:rFonts w:ascii="Arial" w:cs="Arial" w:eastAsia="Arial" w:hAnsi="Arial"/>
          <w:sz w:val="21"/>
          <w:szCs w:val="21"/>
          <w:color w:val="auto"/>
        </w:rPr>
        <w:t>” shall mean and include an individual, a partnership, a joint venture, a limited liability company, a corporation, a firm, a trust, an unincorporated organization and a government or other department or agency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16" w:name="page117"/>
    <w:bookmarkEnd w:id="116"/>
    <w:p>
      <w:pPr>
        <w:ind w:left="980"/>
        <w:spacing w:after="0"/>
        <w:rPr>
          <w:sz w:val="20"/>
          <w:szCs w:val="20"/>
          <w:color w:val="auto"/>
        </w:rPr>
      </w:pPr>
      <w:r>
        <w:rPr>
          <w:rFonts w:ascii="Arial" w:cs="Arial" w:eastAsia="Arial" w:hAnsi="Arial"/>
          <w:sz w:val="19"/>
          <w:szCs w:val="19"/>
          <w:color w:val="auto"/>
        </w:rPr>
        <w:t>1.102 “</w:t>
      </w:r>
      <w:r>
        <w:rPr>
          <w:rFonts w:ascii="Arial" w:cs="Arial" w:eastAsia="Arial" w:hAnsi="Arial"/>
          <w:sz w:val="19"/>
          <w:szCs w:val="19"/>
          <w:u w:val="single" w:color="auto"/>
          <w:color w:val="auto"/>
        </w:rPr>
        <w:t>PMDA</w:t>
      </w:r>
      <w:r>
        <w:rPr>
          <w:rFonts w:ascii="Arial" w:cs="Arial" w:eastAsia="Arial" w:hAnsi="Arial"/>
          <w:sz w:val="19"/>
          <w:szCs w:val="19"/>
          <w:color w:val="auto"/>
        </w:rPr>
        <w:t>” shall mean the Pharmaceutical and Medical Devices Agency and any successor agency thereto.</w:t>
      </w:r>
    </w:p>
    <w:p>
      <w:pPr>
        <w:spacing w:after="0" w:line="25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color w:val="auto"/>
        </w:rPr>
        <w:t>1.103 “</w:t>
      </w:r>
      <w:r>
        <w:rPr>
          <w:rFonts w:ascii="Arial" w:cs="Arial" w:eastAsia="Arial" w:hAnsi="Arial"/>
          <w:sz w:val="21"/>
          <w:szCs w:val="21"/>
          <w:u w:val="single" w:color="auto"/>
          <w:color w:val="auto"/>
        </w:rPr>
        <w:t>Praluent Bill of Sale</w:t>
      </w:r>
      <w:r>
        <w:rPr>
          <w:rFonts w:ascii="Arial" w:cs="Arial" w:eastAsia="Arial" w:hAnsi="Arial"/>
          <w:sz w:val="21"/>
          <w:szCs w:val="21"/>
          <w:color w:val="auto"/>
        </w:rPr>
        <w:t>” shall mean that certain Praluent Bill of Sale and Assignment and Assumption Agreement, by and between the Parties, entered into as of the Execution Date and effective as of the Transition Date.</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1.104 “</w:t>
      </w:r>
      <w:r>
        <w:rPr>
          <w:rFonts w:ascii="Arial" w:cs="Arial" w:eastAsia="Arial" w:hAnsi="Arial"/>
          <w:sz w:val="22"/>
          <w:szCs w:val="22"/>
          <w:u w:val="single" w:color="auto"/>
          <w:color w:val="auto"/>
        </w:rPr>
        <w:t>Praluent Compound</w:t>
      </w:r>
      <w:r>
        <w:rPr>
          <w:rFonts w:ascii="Arial" w:cs="Arial" w:eastAsia="Arial" w:hAnsi="Arial"/>
          <w:sz w:val="22"/>
          <w:szCs w:val="22"/>
          <w:color w:val="auto"/>
        </w:rPr>
        <w:t>” shall mean the biological compound alirocumab.</w:t>
      </w:r>
    </w:p>
    <w:p>
      <w:pPr>
        <w:spacing w:after="0" w:line="220"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1.105 “</w:t>
      </w:r>
      <w:r>
        <w:rPr>
          <w:rFonts w:ascii="Arial" w:cs="Arial" w:eastAsia="Arial" w:hAnsi="Arial"/>
          <w:sz w:val="19"/>
          <w:szCs w:val="19"/>
          <w:u w:val="single" w:color="auto"/>
          <w:color w:val="auto"/>
        </w:rPr>
        <w:t>Praluent Domain Name Assignment</w:t>
      </w:r>
      <w:r>
        <w:rPr>
          <w:rFonts w:ascii="Arial" w:cs="Arial" w:eastAsia="Arial" w:hAnsi="Arial"/>
          <w:sz w:val="19"/>
          <w:szCs w:val="19"/>
          <w:color w:val="auto"/>
        </w:rPr>
        <w:t>” shall mean that certain Praluent Domain Name Assignment Agreement, by and among Regeneron, Sanofi and Sanofi Parent, entered into as of the Execution Date and effective as of the Transition Date.</w:t>
      </w:r>
    </w:p>
    <w:p>
      <w:pPr>
        <w:spacing w:after="0" w:line="10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1.106 “</w:t>
      </w:r>
      <w:r>
        <w:rPr>
          <w:rFonts w:ascii="Arial" w:cs="Arial" w:eastAsia="Arial" w:hAnsi="Arial"/>
          <w:sz w:val="22"/>
          <w:szCs w:val="22"/>
          <w:u w:val="single" w:color="auto"/>
          <w:color w:val="auto"/>
        </w:rPr>
        <w:t>Praluent Master Cell Bank</w:t>
      </w:r>
      <w:r>
        <w:rPr>
          <w:rFonts w:ascii="Arial" w:cs="Arial" w:eastAsia="Arial" w:hAnsi="Arial"/>
          <w:sz w:val="22"/>
          <w:szCs w:val="22"/>
          <w:color w:val="auto"/>
        </w:rPr>
        <w:t>” shall mean the master cell bank used by Regeneron or any of its Affiliates to Manufacture Formulated Drug Substance as of the Transition Date.</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Praluent Pharmacovigilance Transition Services Agreement</w:t>
      </w:r>
      <w:r>
        <w:rPr>
          <w:rFonts w:ascii="Arial" w:cs="Arial" w:eastAsia="Arial" w:hAnsi="Arial"/>
          <w:sz w:val="22"/>
          <w:szCs w:val="22"/>
          <w:color w:val="auto"/>
        </w:rPr>
        <w:t>” shall mean that certain Praluent Pharmacovigilance Transition Services Agreement, by and between the Parties, entered into as of the Execution Date and effective as of the Transition Date.</w:t>
      </w:r>
    </w:p>
    <w:p>
      <w:pPr>
        <w:spacing w:after="0" w:line="18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1.108 “</w:t>
      </w:r>
      <w:r>
        <w:rPr>
          <w:rFonts w:ascii="Arial" w:cs="Arial" w:eastAsia="Arial" w:hAnsi="Arial"/>
          <w:sz w:val="22"/>
          <w:szCs w:val="22"/>
          <w:u w:val="single" w:color="auto"/>
          <w:color w:val="auto"/>
        </w:rPr>
        <w:t>Praluent Product</w:t>
      </w:r>
      <w:r>
        <w:rPr>
          <w:rFonts w:ascii="Arial" w:cs="Arial" w:eastAsia="Arial" w:hAnsi="Arial"/>
          <w:sz w:val="22"/>
          <w:szCs w:val="22"/>
          <w:color w:val="auto"/>
        </w:rPr>
        <w:t>” shall mean any product that is comprised of or contains the Praluent Compound as an active ingredient, whether alone or in fixed dose combination with one or more additional active ingredients.</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1.109 “</w:t>
      </w:r>
      <w:r>
        <w:rPr>
          <w:rFonts w:ascii="Arial" w:cs="Arial" w:eastAsia="Arial" w:hAnsi="Arial"/>
          <w:sz w:val="22"/>
          <w:szCs w:val="22"/>
          <w:u w:val="single" w:color="auto"/>
          <w:color w:val="auto"/>
        </w:rPr>
        <w:t>Praluent Product Domain Names</w:t>
      </w:r>
      <w:r>
        <w:rPr>
          <w:rFonts w:ascii="Arial" w:cs="Arial" w:eastAsia="Arial" w:hAnsi="Arial"/>
          <w:sz w:val="22"/>
          <w:szCs w:val="22"/>
          <w:color w:val="auto"/>
        </w:rPr>
        <w:t>” shall mean the Praluent Product ROW Domain Names or the Praluent Product U.S. Domain Names, as applicable.</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1.110 “</w:t>
      </w:r>
      <w:r>
        <w:rPr>
          <w:rFonts w:ascii="Arial" w:cs="Arial" w:eastAsia="Arial" w:hAnsi="Arial"/>
          <w:sz w:val="22"/>
          <w:szCs w:val="22"/>
          <w:u w:val="single" w:color="auto"/>
          <w:color w:val="auto"/>
        </w:rPr>
        <w:t>Praluent Product Regeneron Copyrights</w:t>
      </w:r>
      <w:r>
        <w:rPr>
          <w:rFonts w:ascii="Arial" w:cs="Arial" w:eastAsia="Arial" w:hAnsi="Arial"/>
          <w:sz w:val="22"/>
          <w:szCs w:val="22"/>
          <w:color w:val="auto"/>
        </w:rPr>
        <w:t>” shall mean all Copyright(s) owned or Controlled by Regeneron or its Affiliates or its or their Sublicensees as of the Transition Date that are used in connection with, or are otherwise necessary or useful for, the ROW Praluent Product Business.</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u w:val="single" w:color="auto"/>
          <w:color w:val="auto"/>
        </w:rPr>
        <w:t>Praluent Product ROW Domain Names</w:t>
      </w:r>
      <w:r>
        <w:rPr>
          <w:rFonts w:ascii="Arial" w:cs="Arial" w:eastAsia="Arial" w:hAnsi="Arial"/>
          <w:sz w:val="22"/>
          <w:szCs w:val="22"/>
          <w:color w:val="auto"/>
        </w:rPr>
        <w:t>” shall mean any Domain Name(s) owned or Controlled by Sanofi or its Affiliates or its or their Sublicensees and used or to be used by Sanofi or its Affiliates or its or their Sublicensees for the Commercialization of Praluent Products in the Sanofi Territory.</w:t>
      </w:r>
    </w:p>
    <w:p>
      <w:pPr>
        <w:spacing w:after="0" w:line="185"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1.112 “</w:t>
      </w:r>
      <w:r>
        <w:rPr>
          <w:rFonts w:ascii="Arial" w:cs="Arial" w:eastAsia="Arial" w:hAnsi="Arial"/>
          <w:sz w:val="22"/>
          <w:szCs w:val="22"/>
          <w:u w:val="single" w:color="auto"/>
          <w:color w:val="auto"/>
        </w:rPr>
        <w:t>Praluent Product ROW Trademarks</w:t>
      </w:r>
      <w:r>
        <w:rPr>
          <w:rFonts w:ascii="Arial" w:cs="Arial" w:eastAsia="Arial" w:hAnsi="Arial"/>
          <w:sz w:val="22"/>
          <w:szCs w:val="22"/>
          <w:color w:val="auto"/>
        </w:rPr>
        <w:t>” shall mean any Trademark(s) owned or Controlled by Sanofi or its Affiliates or its or their Sublicensees and used or to be used by Sanofi or its Affiliates or its or their Sublicensees for the Commercialization of Praluent Products in the Sanofi Territory and any registrations thereof or any pending applications relating thereto in the Sanofi Territory (excluding, in any event, the corporate name or logo of either Party or its Affiliates or its or their (sub)licensees).</w:t>
      </w:r>
    </w:p>
    <w:p>
      <w:pPr>
        <w:spacing w:after="0" w:line="19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u w:val="single" w:color="auto"/>
          <w:color w:val="auto"/>
        </w:rPr>
        <w:t>Praluent Product Sanofi Copyrights</w:t>
      </w:r>
      <w:r>
        <w:rPr>
          <w:rFonts w:ascii="Arial" w:cs="Arial" w:eastAsia="Arial" w:hAnsi="Arial"/>
          <w:sz w:val="22"/>
          <w:szCs w:val="22"/>
          <w:color w:val="auto"/>
        </w:rPr>
        <w:t>” shall mean all Copyright(s) owned or Controlled by Sanofi or its Affiliates or its or their Sublicensees as of the Transition Date that are used in connection with, or are otherwise necessary or useful for, the conduct of the U.S. Praluent Product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17" w:name="page118"/>
    <w:bookmarkEnd w:id="117"/>
    <w:p>
      <w:pPr>
        <w:ind w:left="980"/>
        <w:spacing w:after="0"/>
        <w:rPr>
          <w:sz w:val="20"/>
          <w:szCs w:val="20"/>
          <w:color w:val="auto"/>
        </w:rPr>
      </w:pPr>
      <w:r>
        <w:rPr>
          <w:rFonts w:ascii="Arial" w:cs="Arial" w:eastAsia="Arial" w:hAnsi="Arial"/>
          <w:sz w:val="19"/>
          <w:szCs w:val="19"/>
          <w:color w:val="auto"/>
        </w:rPr>
        <w:t>1.114 “</w:t>
      </w:r>
      <w:r>
        <w:rPr>
          <w:rFonts w:ascii="Arial" w:cs="Arial" w:eastAsia="Arial" w:hAnsi="Arial"/>
          <w:sz w:val="19"/>
          <w:szCs w:val="19"/>
          <w:u w:val="single" w:color="auto"/>
          <w:color w:val="auto"/>
        </w:rPr>
        <w:t>Praluent Product Trademarks</w:t>
      </w:r>
      <w:r>
        <w:rPr>
          <w:rFonts w:ascii="Arial" w:cs="Arial" w:eastAsia="Arial" w:hAnsi="Arial"/>
          <w:sz w:val="19"/>
          <w:szCs w:val="19"/>
          <w:color w:val="auto"/>
        </w:rPr>
        <w:t>” shall mean the Praluent Product ROW Trademarks or the Praluent Product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Trademarks, as applicable.</w:t>
      </w:r>
    </w:p>
    <w:p>
      <w:pPr>
        <w:spacing w:after="0" w:line="202"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1.115 “</w:t>
      </w:r>
      <w:r>
        <w:rPr>
          <w:rFonts w:ascii="Arial" w:cs="Arial" w:eastAsia="Arial" w:hAnsi="Arial"/>
          <w:sz w:val="19"/>
          <w:szCs w:val="19"/>
          <w:u w:val="single" w:color="auto"/>
          <w:color w:val="auto"/>
        </w:rPr>
        <w:t>Praluent Product U.S. Domain Names</w:t>
      </w:r>
      <w:r>
        <w:rPr>
          <w:rFonts w:ascii="Arial" w:cs="Arial" w:eastAsia="Arial" w:hAnsi="Arial"/>
          <w:sz w:val="19"/>
          <w:szCs w:val="19"/>
          <w:color w:val="auto"/>
        </w:rPr>
        <w:t>” shall mean any Domain Name(s) owned or Controlled by Regeneron or its Affiliates or its or their Sublicensees and used or to be used by Regeneron or its Affiliates or its or their Sublicensees for the Commercialization of Praluent Products in the Regeneron Territory, including the Transferred Product Domain Names.</w:t>
      </w:r>
    </w:p>
    <w:p>
      <w:pPr>
        <w:spacing w:after="0" w:line="13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1"/>
          <w:szCs w:val="21"/>
          <w:color w:val="auto"/>
        </w:rPr>
        <w:t>1.116 “</w:t>
      </w:r>
      <w:r>
        <w:rPr>
          <w:rFonts w:ascii="Arial" w:cs="Arial" w:eastAsia="Arial" w:hAnsi="Arial"/>
          <w:sz w:val="21"/>
          <w:szCs w:val="21"/>
          <w:u w:val="single" w:color="auto"/>
          <w:color w:val="auto"/>
        </w:rPr>
        <w:t>Praluent Product U.S. Trademarks</w:t>
      </w:r>
      <w:r>
        <w:rPr>
          <w:rFonts w:ascii="Arial" w:cs="Arial" w:eastAsia="Arial" w:hAnsi="Arial"/>
          <w:sz w:val="21"/>
          <w:szCs w:val="21"/>
          <w:color w:val="auto"/>
        </w:rPr>
        <w:t>” shall mean any Trademark(s) owned or Controlled by Regeneron or its Affiliates or its or their Sublicensees and used or to be used by Regeneron or its Affiliates or its or their Sublicensees for the Commercialization of Praluent Products in the Regeneron Territory and any registrations thereof or any pending applications relating thereto in the United States (excluding, in any event, the corporate name or logo of either Party or its Affiliates or its or their (sub)licensees), including the Transferred Product Trademarks.</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u w:val="single" w:color="auto"/>
          <w:color w:val="auto"/>
        </w:rPr>
        <w:t>Praluent Royalty Product</w:t>
      </w:r>
      <w:r>
        <w:rPr>
          <w:rFonts w:ascii="Arial" w:cs="Arial" w:eastAsia="Arial" w:hAnsi="Arial"/>
          <w:sz w:val="22"/>
          <w:szCs w:val="22"/>
          <w:color w:val="auto"/>
        </w:rPr>
        <w:t>” shall mean any Praluent Product [* * *] developed by or on behalf of Sanofi or any of its Affiliates or its or their Sublicensees, but, with respect to any country in the Sanofi Territory other than [* * *], excluding [* * *].</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1.118 “</w:t>
      </w:r>
      <w:r>
        <w:rPr>
          <w:rFonts w:ascii="Arial" w:cs="Arial" w:eastAsia="Arial" w:hAnsi="Arial"/>
          <w:sz w:val="22"/>
          <w:szCs w:val="22"/>
          <w:u w:val="single" w:color="auto"/>
          <w:color w:val="auto"/>
        </w:rPr>
        <w:t>Praluent Services Agreement</w:t>
      </w:r>
      <w:r>
        <w:rPr>
          <w:rFonts w:ascii="Arial" w:cs="Arial" w:eastAsia="Arial" w:hAnsi="Arial"/>
          <w:sz w:val="22"/>
          <w:szCs w:val="22"/>
          <w:color w:val="auto"/>
        </w:rPr>
        <w:t>” shall have the meaning set forth in Section 2.8.</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Praluent Substance Supply Agreement</w:t>
      </w:r>
      <w:r>
        <w:rPr>
          <w:rFonts w:ascii="Arial" w:cs="Arial" w:eastAsia="Arial" w:hAnsi="Arial"/>
          <w:sz w:val="22"/>
          <w:szCs w:val="22"/>
          <w:color w:val="auto"/>
        </w:rPr>
        <w:t>” shall have the meaning set forth in Section 7.5(a).</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1.120 “</w:t>
      </w:r>
      <w:r>
        <w:rPr>
          <w:rFonts w:ascii="Arial" w:cs="Arial" w:eastAsia="Arial" w:hAnsi="Arial"/>
          <w:sz w:val="22"/>
          <w:szCs w:val="22"/>
          <w:u w:val="single" w:color="auto"/>
          <w:color w:val="auto"/>
        </w:rPr>
        <w:t>Praluent Supply Agreements</w:t>
      </w:r>
      <w:r>
        <w:rPr>
          <w:rFonts w:ascii="Arial" w:cs="Arial" w:eastAsia="Arial" w:hAnsi="Arial"/>
          <w:sz w:val="22"/>
          <w:szCs w:val="22"/>
          <w:color w:val="auto"/>
        </w:rPr>
        <w:t>” shall mean the Praluent Substance Supply Agreement and the Finished Product Supply Agreement and any related quality agreements.</w:t>
      </w:r>
    </w:p>
    <w:p>
      <w:pPr>
        <w:spacing w:after="0" w:line="17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color w:val="auto"/>
        </w:rPr>
        <w:t>1.121 “</w:t>
      </w:r>
      <w:r>
        <w:rPr>
          <w:rFonts w:ascii="Arial" w:cs="Arial" w:eastAsia="Arial" w:hAnsi="Arial"/>
          <w:sz w:val="21"/>
          <w:szCs w:val="21"/>
          <w:u w:val="single" w:color="auto"/>
          <w:color w:val="auto"/>
        </w:rPr>
        <w:t>Praluent Trademark Assignment</w:t>
      </w:r>
      <w:r>
        <w:rPr>
          <w:rFonts w:ascii="Arial" w:cs="Arial" w:eastAsia="Arial" w:hAnsi="Arial"/>
          <w:sz w:val="21"/>
          <w:szCs w:val="21"/>
          <w:color w:val="auto"/>
        </w:rPr>
        <w:t>” shall mean that certain Praluent Trademark Assignment Agreement, by and between the Parties, entered into as of the Execution Date and effective as of the Transition Date.</w:t>
      </w:r>
    </w:p>
    <w:p>
      <w:pPr>
        <w:spacing w:after="0" w:line="15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Praluent Transition Services Agreement</w:t>
      </w:r>
      <w:r>
        <w:rPr>
          <w:rFonts w:ascii="Arial" w:cs="Arial" w:eastAsia="Arial" w:hAnsi="Arial"/>
          <w:sz w:val="22"/>
          <w:szCs w:val="22"/>
          <w:color w:val="auto"/>
        </w:rPr>
        <w:t>” shall mean that certain Praluent Transition Services Agreement, by and between Regeneron Healthcare Solutions, Inc. and Sanofi-Aventis U.S. LLC., entered into as of the Execution Date and effective as of the Transition Date.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1.123 “</w:t>
      </w:r>
      <w:r>
        <w:rPr>
          <w:rFonts w:ascii="Arial" w:cs="Arial" w:eastAsia="Arial" w:hAnsi="Arial"/>
          <w:sz w:val="19"/>
          <w:szCs w:val="19"/>
          <w:u w:val="single" w:color="auto"/>
          <w:color w:val="auto"/>
        </w:rPr>
        <w:t>Praluent Working Cell Bank</w:t>
      </w:r>
      <w:r>
        <w:rPr>
          <w:rFonts w:ascii="Arial" w:cs="Arial" w:eastAsia="Arial" w:hAnsi="Arial"/>
          <w:sz w:val="19"/>
          <w:szCs w:val="19"/>
          <w:color w:val="auto"/>
        </w:rPr>
        <w:t>” shall mean working cell bank generated from the Praluent Master Cell Bank.</w:t>
      </w:r>
    </w:p>
    <w:p>
      <w:pPr>
        <w:spacing w:after="0" w:line="254"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1.124 “</w:t>
      </w:r>
      <w:r>
        <w:rPr>
          <w:rFonts w:ascii="Arial" w:cs="Arial" w:eastAsia="Arial" w:hAnsi="Arial"/>
          <w:sz w:val="22"/>
          <w:szCs w:val="22"/>
          <w:u w:val="single" w:color="auto"/>
          <w:color w:val="auto"/>
        </w:rPr>
        <w:t>Pricing Approval</w:t>
      </w:r>
      <w:r>
        <w:rPr>
          <w:rFonts w:ascii="Arial" w:cs="Arial" w:eastAsia="Arial" w:hAnsi="Arial"/>
          <w:sz w:val="22"/>
          <w:szCs w:val="22"/>
          <w:color w:val="auto"/>
        </w:rPr>
        <w:t>” shall mean any Approval, or any agreement, determination or governmental decision, establishing prices for a Praluent Product that can be charged to consumers and will be reimbursed by Governmental Authorities in countries in the Territory where Governmental Authorities or Regulatory Authorities of such country approve or determine pricing for pharmaceutical products for reimbursement or otherwise.</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 shall mean promotional, advertising, communication and educational materials relating to any Praluent Product for use in connection with the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18" w:name="page119"/>
    <w:bookmarkEnd w:id="118"/>
    <w:p>
      <w:pPr>
        <w:jc w:val="both"/>
        <w:ind w:right="20"/>
        <w:spacing w:after="0" w:line="263" w:lineRule="auto"/>
        <w:rPr>
          <w:sz w:val="20"/>
          <w:szCs w:val="20"/>
          <w:color w:val="auto"/>
        </w:rPr>
      </w:pPr>
      <w:r>
        <w:rPr>
          <w:rFonts w:ascii="Arial" w:cs="Arial" w:eastAsia="Arial" w:hAnsi="Arial"/>
          <w:sz w:val="22"/>
          <w:szCs w:val="22"/>
          <w:color w:val="auto"/>
        </w:rPr>
        <w:t>promotion and sale of, or educational activities with respect to, the Praluent Product, and the content thereof, and shall include promotional literature, product support materials and promotional giveaways.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Publishing Party</w:t>
      </w:r>
      <w:r>
        <w:rPr>
          <w:rFonts w:ascii="Arial" w:cs="Arial" w:eastAsia="Arial" w:hAnsi="Arial"/>
          <w:sz w:val="22"/>
          <w:szCs w:val="22"/>
          <w:color w:val="auto"/>
        </w:rPr>
        <w:t>” shall have the meaning set forth in Section 13.5.</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u w:val="single" w:color="auto"/>
          <w:color w:val="auto"/>
        </w:rPr>
        <w:t>Recall Cost</w:t>
      </w:r>
      <w:r>
        <w:rPr>
          <w:rFonts w:ascii="Arial" w:cs="Arial" w:eastAsia="Arial" w:hAnsi="Arial"/>
          <w:sz w:val="22"/>
          <w:szCs w:val="22"/>
          <w:color w:val="auto"/>
        </w:rPr>
        <w:t>” shall mean, with respect to a recall, market suspension or market withdrawal, the product of (a) the number of FTEs used to carry out such recall, market suspension or market withdrawal and (b) the applicable FTE Rate(s), plus any Out-of-Pocket Costs incurred by the applicable Party or its Affiliates in respect of such recall, market suspension or market withdrawal.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1.128 “</w:t>
      </w:r>
      <w:r>
        <w:rPr>
          <w:rFonts w:ascii="Arial" w:cs="Arial" w:eastAsia="Arial" w:hAnsi="Arial"/>
          <w:sz w:val="22"/>
          <w:szCs w:val="22"/>
          <w:u w:val="single" w:color="auto"/>
          <w:color w:val="auto"/>
        </w:rPr>
        <w:t>Regeneron</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Regeneron Background Intellectual Property</w:t>
      </w:r>
      <w:r>
        <w:rPr>
          <w:rFonts w:ascii="Arial" w:cs="Arial" w:eastAsia="Arial" w:hAnsi="Arial"/>
          <w:sz w:val="22"/>
          <w:szCs w:val="22"/>
          <w:color w:val="auto"/>
        </w:rPr>
        <w:t>” shall mean the Regeneron Background Patents and the Regeneron Background Know-How.</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1.130 “</w:t>
      </w:r>
      <w:r>
        <w:rPr>
          <w:rFonts w:ascii="Arial" w:cs="Arial" w:eastAsia="Arial" w:hAnsi="Arial"/>
          <w:sz w:val="22"/>
          <w:szCs w:val="22"/>
          <w:u w:val="single" w:color="auto"/>
          <w:color w:val="auto"/>
        </w:rPr>
        <w:t>Regeneron Background Know-How</w:t>
      </w:r>
      <w:r>
        <w:rPr>
          <w:rFonts w:ascii="Arial" w:cs="Arial" w:eastAsia="Arial" w:hAnsi="Arial"/>
          <w:sz w:val="22"/>
          <w:szCs w:val="22"/>
          <w:color w:val="auto"/>
        </w:rPr>
        <w:t>” shall mean any and all Know-How Controlled by Regeneron or any of its Affiliates as of or after the Transition Date that is necessary or useful for the Development, Manufacturing or Commercialization of any Existing Praluent Product for any Existing Indication, excluding the Regeneron Core Know-How and the Joint Information.</w:t>
      </w:r>
    </w:p>
    <w:p>
      <w:pPr>
        <w:spacing w:after="0" w:line="188"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1.131 “</w:t>
      </w:r>
      <w:r>
        <w:rPr>
          <w:rFonts w:ascii="Arial" w:cs="Arial" w:eastAsia="Arial" w:hAnsi="Arial"/>
          <w:sz w:val="21"/>
          <w:szCs w:val="21"/>
          <w:u w:val="single" w:color="auto"/>
          <w:color w:val="auto"/>
        </w:rPr>
        <w:t>Regeneron Background Patents</w:t>
      </w:r>
      <w:r>
        <w:rPr>
          <w:rFonts w:ascii="Arial" w:cs="Arial" w:eastAsia="Arial" w:hAnsi="Arial"/>
          <w:sz w:val="21"/>
          <w:szCs w:val="21"/>
          <w:color w:val="auto"/>
        </w:rPr>
        <w:t>” shall mean any and all Patents Controlled by Regeneron or any of its Affiliates as of or after the Transition Date to the extent Covering the use, making, sale, offer for sale or import of any Existing Praluent Product for any Existing Indication, excluding the Regeneron Core Patents and the Joint Patents.</w:t>
      </w:r>
    </w:p>
    <w:p>
      <w:pPr>
        <w:spacing w:after="0" w:line="16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Regeneron Cell Media</w:t>
      </w:r>
      <w:r>
        <w:rPr>
          <w:rFonts w:ascii="Arial" w:cs="Arial" w:eastAsia="Arial" w:hAnsi="Arial"/>
          <w:sz w:val="22"/>
          <w:szCs w:val="22"/>
          <w:color w:val="auto"/>
        </w:rPr>
        <w:t>” shall mean any cell culture media that is proprietary to Regeneron and used by Regeneron or any of its Affiliates to Manufacture Formulated Drug Substance as of the Transition Date.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1.133 “</w:t>
      </w:r>
      <w:r>
        <w:rPr>
          <w:rFonts w:ascii="Arial" w:cs="Arial" w:eastAsia="Arial" w:hAnsi="Arial"/>
          <w:sz w:val="19"/>
          <w:szCs w:val="19"/>
          <w:u w:val="single" w:color="auto"/>
          <w:color w:val="auto"/>
        </w:rPr>
        <w:t>Regeneron Core Intellectual Property</w:t>
      </w:r>
      <w:r>
        <w:rPr>
          <w:rFonts w:ascii="Arial" w:cs="Arial" w:eastAsia="Arial" w:hAnsi="Arial"/>
          <w:sz w:val="19"/>
          <w:szCs w:val="19"/>
          <w:color w:val="auto"/>
        </w:rPr>
        <w:t>” shall mean the Regeneron Core Patents and the Regeneron Core Know-</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How.</w:t>
      </w:r>
    </w:p>
    <w:p>
      <w:pPr>
        <w:spacing w:after="0" w:line="202"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1.134 “</w:t>
      </w:r>
      <w:r>
        <w:rPr>
          <w:rFonts w:ascii="Arial" w:cs="Arial" w:eastAsia="Arial" w:hAnsi="Arial"/>
          <w:sz w:val="22"/>
          <w:szCs w:val="22"/>
          <w:u w:val="single" w:color="auto"/>
          <w:color w:val="auto"/>
        </w:rPr>
        <w:t>Regeneron Core Know-How</w:t>
      </w:r>
      <w:r>
        <w:rPr>
          <w:rFonts w:ascii="Arial" w:cs="Arial" w:eastAsia="Arial" w:hAnsi="Arial"/>
          <w:sz w:val="22"/>
          <w:szCs w:val="22"/>
          <w:color w:val="auto"/>
        </w:rPr>
        <w:t>” shall mean any and all Know-How Controlled by Regeneron or any of its Affiliates as of the Transition Date that was conceived or developed by Regeneron or any of its Affiliates under the LCA or the Discovery Agreement and that is related to any Praluent Product, including, for clarity, any Know-How Controlled by Regeneron or any of its Affiliates as of the Transition Date that is contained or referenced in the Transferred Approvals, Transferred Regulatory Documentation or other Transferred U.S. Assets, but excluding any Regeneron Manufacturing Know-How or Joint Information.</w:t>
      </w:r>
    </w:p>
    <w:p>
      <w:pPr>
        <w:spacing w:after="0" w:line="19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u w:val="single" w:color="auto"/>
          <w:color w:val="auto"/>
        </w:rPr>
        <w:t>Regeneron Core Patents</w:t>
      </w:r>
      <w:r>
        <w:rPr>
          <w:rFonts w:ascii="Arial" w:cs="Arial" w:eastAsia="Arial" w:hAnsi="Arial"/>
          <w:sz w:val="22"/>
          <w:szCs w:val="22"/>
          <w:color w:val="auto"/>
        </w:rPr>
        <w:t>” shall mean those Patents Controlled by Regeneron or any of its Affiliates as of or after the Transition Date that contain composition of matter, method of use or formulation claims for any Existing Praluent Product for any Existing Indication, including the Patents listed on Schedule 1.135.</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Regeneron Indemnitees</w:t>
      </w:r>
      <w:r>
        <w:rPr>
          <w:rFonts w:ascii="Arial" w:cs="Arial" w:eastAsia="Arial" w:hAnsi="Arial"/>
          <w:sz w:val="22"/>
          <w:szCs w:val="22"/>
          <w:color w:val="auto"/>
        </w:rPr>
        <w:t>” shall have the meaning set forth in Section 14.1(a).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19" w:name="page120"/>
    <w:bookmarkEnd w:id="119"/>
    <w:p>
      <w:pPr>
        <w:ind w:left="980"/>
        <w:spacing w:after="0"/>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Regeneron Managed Patents</w:t>
      </w:r>
      <w:r>
        <w:rPr>
          <w:rFonts w:ascii="Arial" w:cs="Arial" w:eastAsia="Arial" w:hAnsi="Arial"/>
          <w:sz w:val="22"/>
          <w:szCs w:val="22"/>
          <w:color w:val="auto"/>
        </w:rPr>
        <w:t>” shall have the meaning set forth in Section 10.2(a).</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Regeneron Manufacturing Know-How</w:t>
      </w:r>
      <w:r>
        <w:rPr>
          <w:rFonts w:ascii="Arial" w:cs="Arial" w:eastAsia="Arial" w:hAnsi="Arial"/>
          <w:sz w:val="22"/>
          <w:szCs w:val="22"/>
          <w:color w:val="auto"/>
        </w:rPr>
        <w:t>” shall mean any and all Know-How Controlled by Regeneron or any of its Affiliates as of or after the Transition Date that is related to the Manufacture of the Praluent Compound or any Praluent Product, including all CMC data for the Praluent Compound that is included or referenced in, or that otherwise supports, an Approval.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Regeneron Manufacturing Site Notice</w:t>
      </w:r>
      <w:r>
        <w:rPr>
          <w:rFonts w:ascii="Arial" w:cs="Arial" w:eastAsia="Arial" w:hAnsi="Arial"/>
          <w:sz w:val="22"/>
          <w:szCs w:val="22"/>
          <w:color w:val="auto"/>
        </w:rPr>
        <w:t>” shall have the meaning set forth in Section 7.2(a).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1.140 “</w:t>
      </w:r>
      <w:r>
        <w:rPr>
          <w:rFonts w:ascii="Arial" w:cs="Arial" w:eastAsia="Arial" w:hAnsi="Arial"/>
          <w:sz w:val="22"/>
          <w:szCs w:val="22"/>
          <w:u w:val="single" w:color="auto"/>
          <w:color w:val="auto"/>
        </w:rPr>
        <w:t>Regeneron Sole Inventions</w:t>
      </w:r>
      <w:r>
        <w:rPr>
          <w:rFonts w:ascii="Arial" w:cs="Arial" w:eastAsia="Arial" w:hAnsi="Arial"/>
          <w:sz w:val="22"/>
          <w:szCs w:val="22"/>
          <w:color w:val="auto"/>
        </w:rPr>
        <w:t>” shall have the meaning set forth in Section 10.1(a).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1.141 “</w:t>
      </w:r>
      <w:r>
        <w:rPr>
          <w:rFonts w:ascii="Arial" w:cs="Arial" w:eastAsia="Arial" w:hAnsi="Arial"/>
          <w:sz w:val="22"/>
          <w:szCs w:val="22"/>
          <w:u w:val="single" w:color="auto"/>
          <w:color w:val="auto"/>
        </w:rPr>
        <w:t>Regeneron Territory</w:t>
      </w:r>
      <w:r>
        <w:rPr>
          <w:rFonts w:ascii="Arial" w:cs="Arial" w:eastAsia="Arial" w:hAnsi="Arial"/>
          <w:sz w:val="22"/>
          <w:szCs w:val="22"/>
          <w:color w:val="auto"/>
        </w:rPr>
        <w:t>” shall mean the United States.</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1.142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with authority over the Development, Manufacture and Commercialization of any Praluent Product in a country in the Territory, including the FDA in the United States, the EMA in Europe and the PMDA in Japan.</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u w:val="single" w:color="auto"/>
          <w:color w:val="auto"/>
        </w:rPr>
        <w:t>Regulatory Filing</w:t>
      </w:r>
      <w:r>
        <w:rPr>
          <w:rFonts w:ascii="Arial" w:cs="Arial" w:eastAsia="Arial" w:hAnsi="Arial"/>
          <w:sz w:val="22"/>
          <w:szCs w:val="22"/>
          <w:color w:val="auto"/>
        </w:rPr>
        <w:t>” shall mean the application to the relevant Regulatory Authority for any Approval, and shall include any testing, marketing authorization application, marketing authorization renewal application, Annual Product Quality review application, device application, supplementary application or variation thereof.</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1.144 “</w:t>
      </w:r>
      <w:r>
        <w:rPr>
          <w:rFonts w:ascii="Arial" w:cs="Arial" w:eastAsia="Arial" w:hAnsi="Arial"/>
          <w:sz w:val="22"/>
          <w:szCs w:val="22"/>
          <w:u w:val="single" w:color="auto"/>
          <w:color w:val="auto"/>
        </w:rPr>
        <w:t>ROW CPI</w:t>
      </w:r>
      <w:r>
        <w:rPr>
          <w:rFonts w:ascii="Arial" w:cs="Arial" w:eastAsia="Arial" w:hAnsi="Arial"/>
          <w:sz w:val="22"/>
          <w:szCs w:val="22"/>
          <w:color w:val="auto"/>
        </w:rPr>
        <w:t>” shall mean the Harmonized Index of Consumer Prices, overall for working days as seasonally adjusted, referenced as ICP.M.U2.Y.000000.3.INX (or its successor equivalent index), which is published monthly and available via the European Central Bank internet site.</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1.145 “</w:t>
      </w:r>
      <w:r>
        <w:rPr>
          <w:rFonts w:ascii="Arial" w:cs="Arial" w:eastAsia="Arial" w:hAnsi="Arial"/>
          <w:sz w:val="22"/>
          <w:szCs w:val="22"/>
          <w:u w:val="single" w:color="auto"/>
          <w:color w:val="auto"/>
        </w:rPr>
        <w:t>ROW Praluent Product Business</w:t>
      </w:r>
      <w:r>
        <w:rPr>
          <w:rFonts w:ascii="Arial" w:cs="Arial" w:eastAsia="Arial" w:hAnsi="Arial"/>
          <w:sz w:val="22"/>
          <w:szCs w:val="22"/>
          <w:color w:val="auto"/>
        </w:rPr>
        <w:t>” shall mean the Development or Manufacture of the Praluent Products (including the Praluent Compound) anywhere in the Territory for the Sanofi Territory, or the Commercialization of the Praluent Products in the Sanofi Territory.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1.146 “</w:t>
      </w:r>
      <w:r>
        <w:rPr>
          <w:rFonts w:ascii="Arial" w:cs="Arial" w:eastAsia="Arial" w:hAnsi="Arial"/>
          <w:sz w:val="22"/>
          <w:szCs w:val="22"/>
          <w:u w:val="single" w:color="auto"/>
          <w:color w:val="auto"/>
        </w:rPr>
        <w:t>Royalty Report</w:t>
      </w:r>
      <w:r>
        <w:rPr>
          <w:rFonts w:ascii="Arial" w:cs="Arial" w:eastAsia="Arial" w:hAnsi="Arial"/>
          <w:sz w:val="22"/>
          <w:szCs w:val="22"/>
          <w:color w:val="auto"/>
        </w:rPr>
        <w:t>” shall have the meaning set forth in Section 8.3.</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1.147 “</w:t>
      </w:r>
      <w:r>
        <w:rPr>
          <w:rFonts w:ascii="Arial" w:cs="Arial" w:eastAsia="Arial" w:hAnsi="Arial"/>
          <w:sz w:val="22"/>
          <w:szCs w:val="22"/>
          <w:u w:val="single" w:color="auto"/>
          <w:color w:val="auto"/>
        </w:rPr>
        <w:t>Royalty Term</w:t>
      </w:r>
      <w:r>
        <w:rPr>
          <w:rFonts w:ascii="Arial" w:cs="Arial" w:eastAsia="Arial" w:hAnsi="Arial"/>
          <w:sz w:val="22"/>
          <w:szCs w:val="22"/>
          <w:color w:val="auto"/>
        </w:rPr>
        <w:t>” shall have the meaning set forth in Section 8.1(b).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1.148 “</w:t>
      </w:r>
      <w:r>
        <w:rPr>
          <w:rFonts w:ascii="Arial" w:cs="Arial" w:eastAsia="Arial" w:hAnsi="Arial"/>
          <w:sz w:val="22"/>
          <w:szCs w:val="22"/>
          <w:u w:val="single" w:color="auto"/>
          <w:color w:val="auto"/>
        </w:rPr>
        <w:t>Safety Data Exchange Agreement</w:t>
      </w:r>
      <w:r>
        <w:rPr>
          <w:rFonts w:ascii="Arial" w:cs="Arial" w:eastAsia="Arial" w:hAnsi="Arial"/>
          <w:sz w:val="22"/>
          <w:szCs w:val="22"/>
          <w:color w:val="auto"/>
        </w:rPr>
        <w:t>” shall have the meaning set forth in Section 6.4.</w:t>
      </w:r>
    </w:p>
    <w:p>
      <w:pPr>
        <w:spacing w:after="0" w:line="220"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1.149 “</w:t>
      </w:r>
      <w:r>
        <w:rPr>
          <w:rFonts w:ascii="Arial" w:cs="Arial" w:eastAsia="Arial" w:hAnsi="Arial"/>
          <w:sz w:val="22"/>
          <w:szCs w:val="22"/>
          <w:u w:val="single" w:color="auto"/>
          <w:color w:val="auto"/>
        </w:rPr>
        <w:t>Sales Deduction Costs</w:t>
      </w:r>
      <w:r>
        <w:rPr>
          <w:rFonts w:ascii="Arial" w:cs="Arial" w:eastAsia="Arial" w:hAnsi="Arial"/>
          <w:sz w:val="22"/>
          <w:szCs w:val="22"/>
          <w:color w:val="auto"/>
        </w:rPr>
        <w:t>” shall mean, with respect to any period, items deducted from gross sales, solely attributable to Praluent Products, but excluding the cost of recalls (such costs are allocated between the Parties in accordance with Section 6.6). As an example, Sales Deduction Costs include the types of deductions taken in the determination of Net Sales (excluding recalls), including the costs of returns, cash discounts, contracted discounts, rebates, chargebacks or wholesaler fees incurred by a Party or any of its Affiliates (whether paid out-of-pocket or taken as deductions from invoices collected by such Party during such period).</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1.150 “</w:t>
      </w:r>
      <w:r>
        <w:rPr>
          <w:rFonts w:ascii="Arial" w:cs="Arial" w:eastAsia="Arial" w:hAnsi="Arial"/>
          <w:sz w:val="22"/>
          <w:szCs w:val="22"/>
          <w:u w:val="single" w:color="auto"/>
          <w:color w:val="auto"/>
        </w:rPr>
        <w:t>Sanofi</w:t>
      </w:r>
      <w:r>
        <w:rPr>
          <w:rFonts w:ascii="Arial" w:cs="Arial" w:eastAsia="Arial" w:hAnsi="Arial"/>
          <w:sz w:val="22"/>
          <w:szCs w:val="22"/>
          <w:color w:val="auto"/>
        </w:rPr>
        <w:t>” shall have the meaning set forth in the introductory paragraph.</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28" w:right="339" w:bottom="1440" w:gutter="0" w:footer="0" w:header="0"/>
          <w:type w:val="continuous"/>
        </w:sectPr>
      </w:pPr>
    </w:p>
    <w:bookmarkStart w:id="120" w:name="page121"/>
    <w:bookmarkEnd w:id="120"/>
    <w:p>
      <w:pPr>
        <w:jc w:val="both"/>
        <w:ind w:firstLine="972"/>
        <w:spacing w:after="0" w:line="263" w:lineRule="auto"/>
        <w:rPr>
          <w:sz w:val="20"/>
          <w:szCs w:val="20"/>
          <w:color w:val="auto"/>
        </w:rPr>
      </w:pPr>
      <w:r>
        <w:rPr>
          <w:rFonts w:ascii="Arial" w:cs="Arial" w:eastAsia="Arial" w:hAnsi="Arial"/>
          <w:sz w:val="22"/>
          <w:szCs w:val="22"/>
          <w:color w:val="auto"/>
        </w:rPr>
        <w:t>1.151 “</w:t>
      </w:r>
      <w:r>
        <w:rPr>
          <w:rFonts w:ascii="Arial" w:cs="Arial" w:eastAsia="Arial" w:hAnsi="Arial"/>
          <w:sz w:val="22"/>
          <w:szCs w:val="22"/>
          <w:u w:val="single" w:color="auto"/>
          <w:color w:val="auto"/>
        </w:rPr>
        <w:t>Sanofi Background Intellectual Property</w:t>
      </w:r>
      <w:r>
        <w:rPr>
          <w:rFonts w:ascii="Arial" w:cs="Arial" w:eastAsia="Arial" w:hAnsi="Arial"/>
          <w:sz w:val="22"/>
          <w:szCs w:val="22"/>
          <w:color w:val="auto"/>
        </w:rPr>
        <w:t>” shall mean the Sanofi Background Patents and the Sanofi Background Know-How.</w:t>
      </w:r>
    </w:p>
    <w:p>
      <w:pPr>
        <w:spacing w:after="0" w:line="17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1.152 “</w:t>
      </w:r>
      <w:r>
        <w:rPr>
          <w:rFonts w:ascii="Arial" w:cs="Arial" w:eastAsia="Arial" w:hAnsi="Arial"/>
          <w:sz w:val="19"/>
          <w:szCs w:val="19"/>
          <w:u w:val="single" w:color="auto"/>
          <w:color w:val="auto"/>
        </w:rPr>
        <w:t>Sanofi Background Know-How</w:t>
      </w:r>
      <w:r>
        <w:rPr>
          <w:rFonts w:ascii="Arial" w:cs="Arial" w:eastAsia="Arial" w:hAnsi="Arial"/>
          <w:sz w:val="19"/>
          <w:szCs w:val="19"/>
          <w:color w:val="auto"/>
        </w:rPr>
        <w:t>” shall mean any and all Know-How Controlled by Sanofi or any of its Affiliates as of or after the Transition Date that is necessary or useful for the Development, Manufacturing or Commercialization of any Existing Praluent Product for any Existing Indication, excluding the Sanofi Core Know-How and the Joint Information.</w:t>
      </w:r>
    </w:p>
    <w:p>
      <w:pPr>
        <w:spacing w:after="0" w:line="13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1.153 “</w:t>
      </w:r>
      <w:r>
        <w:rPr>
          <w:rFonts w:ascii="Arial" w:cs="Arial" w:eastAsia="Arial" w:hAnsi="Arial"/>
          <w:sz w:val="22"/>
          <w:szCs w:val="22"/>
          <w:u w:val="single" w:color="auto"/>
          <w:color w:val="auto"/>
        </w:rPr>
        <w:t>Sanofi Background Patents</w:t>
      </w:r>
      <w:r>
        <w:rPr>
          <w:rFonts w:ascii="Arial" w:cs="Arial" w:eastAsia="Arial" w:hAnsi="Arial"/>
          <w:sz w:val="22"/>
          <w:szCs w:val="22"/>
          <w:color w:val="auto"/>
        </w:rPr>
        <w:t>” shall mean any and all Patents Controlled by Sanofi or any of its Affiliates as of or after the Transition Date to the extent Covering the use, making, sale, offer for sale or import of any Existing Praluent Product for any Existing Indication, excluding the Sanofi Core Patents and the Joint Patents.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1"/>
          <w:szCs w:val="21"/>
          <w:color w:val="auto"/>
        </w:rPr>
        <w:t>1.154 “</w:t>
      </w:r>
      <w:r>
        <w:rPr>
          <w:rFonts w:ascii="Arial" w:cs="Arial" w:eastAsia="Arial" w:hAnsi="Arial"/>
          <w:sz w:val="21"/>
          <w:szCs w:val="21"/>
          <w:u w:val="single" w:color="auto"/>
          <w:color w:val="auto"/>
        </w:rPr>
        <w:t>Sanofi Core Intellectual Property</w:t>
      </w:r>
      <w:r>
        <w:rPr>
          <w:rFonts w:ascii="Arial" w:cs="Arial" w:eastAsia="Arial" w:hAnsi="Arial"/>
          <w:sz w:val="21"/>
          <w:szCs w:val="21"/>
          <w:color w:val="auto"/>
        </w:rPr>
        <w:t>” shall mean the Sanofi Core Patents and Sanofi Core Know-How.</w:t>
      </w:r>
    </w:p>
    <w:p>
      <w:pPr>
        <w:spacing w:after="0" w:line="231"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1.155 “</w:t>
      </w:r>
      <w:r>
        <w:rPr>
          <w:rFonts w:ascii="Arial" w:cs="Arial" w:eastAsia="Arial" w:hAnsi="Arial"/>
          <w:sz w:val="19"/>
          <w:szCs w:val="19"/>
          <w:u w:val="single" w:color="auto"/>
          <w:color w:val="auto"/>
        </w:rPr>
        <w:t>Sanofi Core Know-How</w:t>
      </w:r>
      <w:r>
        <w:rPr>
          <w:rFonts w:ascii="Arial" w:cs="Arial" w:eastAsia="Arial" w:hAnsi="Arial"/>
          <w:sz w:val="19"/>
          <w:szCs w:val="19"/>
          <w:color w:val="auto"/>
        </w:rPr>
        <w:t>” shall mean any and all Know-How Controlled by Sanofi or any of its Affiliates as of the Transition Date that was conceived or developed by Sanofi or any of its Affiliates under the LCA or the Discovery Agreement and that is related to any Praluent Product, including, for clarity, any Know-How Controlled by Sanofi or any of its Affiliates as of the Transition Date that is contained or referenced in the Transferred Approvals, Transferred Regulatory Documentation or other Transferred U.S. Assets, but excluding any Sanofi Manufacturing Know-How or Joint Information.</w:t>
      </w:r>
    </w:p>
    <w:p>
      <w:pPr>
        <w:spacing w:after="0" w:line="147"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1.156 “</w:t>
      </w:r>
      <w:r>
        <w:rPr>
          <w:rFonts w:ascii="Arial" w:cs="Arial" w:eastAsia="Arial" w:hAnsi="Arial"/>
          <w:sz w:val="22"/>
          <w:szCs w:val="22"/>
          <w:u w:val="single" w:color="auto"/>
          <w:color w:val="auto"/>
        </w:rPr>
        <w:t>Sanofi Core Patents</w:t>
      </w:r>
      <w:r>
        <w:rPr>
          <w:rFonts w:ascii="Arial" w:cs="Arial" w:eastAsia="Arial" w:hAnsi="Arial"/>
          <w:sz w:val="22"/>
          <w:szCs w:val="22"/>
          <w:color w:val="auto"/>
        </w:rPr>
        <w:t>” shall mean those Patents Controlled by Sanofi or any of its Affiliates as of or after the Transition Date that contain composition of matter, method of use or formulation claims for any Existing Praluent Product for any Existing Indication, including the Patents listed on Schedule 1.156.</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1.157 “</w:t>
      </w:r>
      <w:r>
        <w:rPr>
          <w:rFonts w:ascii="Arial" w:cs="Arial" w:eastAsia="Arial" w:hAnsi="Arial"/>
          <w:sz w:val="22"/>
          <w:szCs w:val="22"/>
          <w:u w:val="single" w:color="auto"/>
          <w:color w:val="auto"/>
        </w:rPr>
        <w:t>Sanofi Indemnitees</w:t>
      </w:r>
      <w:r>
        <w:rPr>
          <w:rFonts w:ascii="Arial" w:cs="Arial" w:eastAsia="Arial" w:hAnsi="Arial"/>
          <w:sz w:val="22"/>
          <w:szCs w:val="22"/>
          <w:color w:val="auto"/>
        </w:rPr>
        <w:t>” shall have the meaning set forth in Section 14.1(b).</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1.158 “</w:t>
      </w:r>
      <w:r>
        <w:rPr>
          <w:rFonts w:ascii="Arial" w:cs="Arial" w:eastAsia="Arial" w:hAnsi="Arial"/>
          <w:sz w:val="22"/>
          <w:szCs w:val="22"/>
          <w:u w:val="single" w:color="auto"/>
          <w:color w:val="auto"/>
        </w:rPr>
        <w:t>Sanofi Managed Patents</w:t>
      </w:r>
      <w:r>
        <w:rPr>
          <w:rFonts w:ascii="Arial" w:cs="Arial" w:eastAsia="Arial" w:hAnsi="Arial"/>
          <w:sz w:val="22"/>
          <w:szCs w:val="22"/>
          <w:color w:val="auto"/>
        </w:rPr>
        <w:t>” shall have the meaning set forth in Section 10.2(b).</w:t>
      </w:r>
    </w:p>
    <w:p>
      <w:pPr>
        <w:spacing w:after="0" w:line="220"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1.159 “</w:t>
      </w:r>
      <w:r>
        <w:rPr>
          <w:rFonts w:ascii="Arial" w:cs="Arial" w:eastAsia="Arial" w:hAnsi="Arial"/>
          <w:sz w:val="19"/>
          <w:szCs w:val="19"/>
          <w:u w:val="single" w:color="auto"/>
          <w:color w:val="auto"/>
        </w:rPr>
        <w:t>Sanofi Manufacturing Know-How</w:t>
      </w:r>
      <w:r>
        <w:rPr>
          <w:rFonts w:ascii="Arial" w:cs="Arial" w:eastAsia="Arial" w:hAnsi="Arial"/>
          <w:sz w:val="19"/>
          <w:szCs w:val="19"/>
          <w:color w:val="auto"/>
        </w:rPr>
        <w:t>” shall mean any and all Know-How Controlled by Sanofi or any of its Affiliates as of or after the Transition Date that is related to Manufacture of the Praluent Compound or any Praluent Product.</w:t>
      </w:r>
    </w:p>
    <w:p>
      <w:pPr>
        <w:spacing w:after="0" w:line="10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1.160 “</w:t>
      </w:r>
      <w:r>
        <w:rPr>
          <w:rFonts w:ascii="Arial" w:cs="Arial" w:eastAsia="Arial" w:hAnsi="Arial"/>
          <w:sz w:val="22"/>
          <w:szCs w:val="22"/>
          <w:u w:val="single" w:color="auto"/>
          <w:color w:val="auto"/>
        </w:rPr>
        <w:t>Sanofi Parent</w:t>
      </w:r>
      <w:r>
        <w:rPr>
          <w:rFonts w:ascii="Arial" w:cs="Arial" w:eastAsia="Arial" w:hAnsi="Arial"/>
          <w:sz w:val="22"/>
          <w:szCs w:val="22"/>
          <w:color w:val="auto"/>
        </w:rPr>
        <w:t>” shall mean Sanofi, a société anonyme organized under the laws of France and having a registered office at 54 rue La Boétie, 75008 Paris, France.</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Sanofi ROR Authorization</w:t>
      </w:r>
      <w:r>
        <w:rPr>
          <w:rFonts w:ascii="Arial" w:cs="Arial" w:eastAsia="Arial" w:hAnsi="Arial"/>
          <w:sz w:val="22"/>
          <w:szCs w:val="22"/>
          <w:color w:val="auto"/>
        </w:rPr>
        <w:t>” shall mean any letter of authorization from a Third Party that permits Sanofi or any of its Affiliates to reference any regulatory documentation, data or information of such Third Party with respect to any Existing Praluent Product in any Existing Indication.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1.162 “</w:t>
      </w:r>
      <w:r>
        <w:rPr>
          <w:rFonts w:ascii="Arial" w:cs="Arial" w:eastAsia="Arial" w:hAnsi="Arial"/>
          <w:sz w:val="22"/>
          <w:szCs w:val="22"/>
          <w:u w:val="single" w:color="auto"/>
          <w:color w:val="auto"/>
        </w:rPr>
        <w:t>Sanofi Samples</w:t>
      </w:r>
      <w:r>
        <w:rPr>
          <w:rFonts w:ascii="Arial" w:cs="Arial" w:eastAsia="Arial" w:hAnsi="Arial"/>
          <w:sz w:val="22"/>
          <w:szCs w:val="22"/>
          <w:color w:val="auto"/>
        </w:rPr>
        <w:t>” shall have the meaning set forth in Section 4.7.</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1.163 “</w:t>
      </w:r>
      <w:r>
        <w:rPr>
          <w:rFonts w:ascii="Arial" w:cs="Arial" w:eastAsia="Arial" w:hAnsi="Arial"/>
          <w:sz w:val="22"/>
          <w:szCs w:val="22"/>
          <w:u w:val="single" w:color="auto"/>
          <w:color w:val="auto"/>
        </w:rPr>
        <w:t>Sanofi Sole Inventions</w:t>
      </w:r>
      <w:r>
        <w:rPr>
          <w:rFonts w:ascii="Arial" w:cs="Arial" w:eastAsia="Arial" w:hAnsi="Arial"/>
          <w:sz w:val="22"/>
          <w:szCs w:val="22"/>
          <w:color w:val="auto"/>
        </w:rPr>
        <w:t>” shall have the meaning set forth in Section 10.1(a).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21" w:name="page122"/>
    <w:bookmarkEnd w:id="121"/>
    <w:p>
      <w:pPr>
        <w:ind w:left="980"/>
        <w:spacing w:after="0"/>
        <w:rPr>
          <w:sz w:val="20"/>
          <w:szCs w:val="20"/>
          <w:color w:val="auto"/>
        </w:rPr>
      </w:pPr>
      <w:r>
        <w:rPr>
          <w:rFonts w:ascii="Arial" w:cs="Arial" w:eastAsia="Arial" w:hAnsi="Arial"/>
          <w:sz w:val="19"/>
          <w:szCs w:val="19"/>
          <w:color w:val="auto"/>
        </w:rPr>
        <w:t>1.164 “</w:t>
      </w:r>
      <w:r>
        <w:rPr>
          <w:rFonts w:ascii="Arial" w:cs="Arial" w:eastAsia="Arial" w:hAnsi="Arial"/>
          <w:sz w:val="19"/>
          <w:szCs w:val="19"/>
          <w:u w:val="single" w:color="auto"/>
          <w:color w:val="auto"/>
        </w:rPr>
        <w:t>Sanofi Territory</w:t>
      </w:r>
      <w:r>
        <w:rPr>
          <w:rFonts w:ascii="Arial" w:cs="Arial" w:eastAsia="Arial" w:hAnsi="Arial"/>
          <w:sz w:val="19"/>
          <w:szCs w:val="19"/>
          <w:color w:val="auto"/>
        </w:rPr>
        <w:t>” shall mean all of the countries and territories of the world other than the Regeneron Territory.</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1.165 “</w:t>
      </w:r>
      <w:r>
        <w:rPr>
          <w:rFonts w:ascii="Arial" w:cs="Arial" w:eastAsia="Arial" w:hAnsi="Arial"/>
          <w:sz w:val="22"/>
          <w:szCs w:val="22"/>
          <w:u w:val="single" w:color="auto"/>
          <w:color w:val="auto"/>
        </w:rPr>
        <w:t>Selected Recall</w:t>
      </w:r>
      <w:r>
        <w:rPr>
          <w:rFonts w:ascii="Arial" w:cs="Arial" w:eastAsia="Arial" w:hAnsi="Arial"/>
          <w:sz w:val="22"/>
          <w:szCs w:val="22"/>
          <w:color w:val="auto"/>
        </w:rPr>
        <w:t>” shall have the meaning set forth in Section 6.6(a).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1.166 “</w:t>
      </w:r>
      <w:r>
        <w:rPr>
          <w:rFonts w:ascii="Arial" w:cs="Arial" w:eastAsia="Arial" w:hAnsi="Arial"/>
          <w:sz w:val="22"/>
          <w:szCs w:val="22"/>
          <w:u w:val="single" w:color="auto"/>
          <w:color w:val="auto"/>
        </w:rPr>
        <w:t>Sole Inventions</w:t>
      </w:r>
      <w:r>
        <w:rPr>
          <w:rFonts w:ascii="Arial" w:cs="Arial" w:eastAsia="Arial" w:hAnsi="Arial"/>
          <w:sz w:val="22"/>
          <w:szCs w:val="22"/>
          <w:color w:val="auto"/>
        </w:rPr>
        <w:t>” shall have the meaning set forth in Section 10.1(a).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Special Claim</w:t>
      </w:r>
      <w:r>
        <w:rPr>
          <w:rFonts w:ascii="Arial" w:cs="Arial" w:eastAsia="Arial" w:hAnsi="Arial"/>
          <w:sz w:val="22"/>
          <w:szCs w:val="22"/>
          <w:color w:val="auto"/>
        </w:rPr>
        <w:t>” shall have the meaning set forth in Section 14.1(c).</w:t>
      </w:r>
    </w:p>
    <w:p>
      <w:pPr>
        <w:spacing w:after="0" w:line="220"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1.168 “</w:t>
      </w:r>
      <w:r>
        <w:rPr>
          <w:rFonts w:ascii="Arial" w:cs="Arial" w:eastAsia="Arial" w:hAnsi="Arial"/>
          <w:sz w:val="19"/>
          <w:szCs w:val="19"/>
          <w:u w:val="single" w:color="auto"/>
          <w:color w:val="auto"/>
        </w:rPr>
        <w:t>Sublicensee</w:t>
      </w:r>
      <w:r>
        <w:rPr>
          <w:rFonts w:ascii="Arial" w:cs="Arial" w:eastAsia="Arial" w:hAnsi="Arial"/>
          <w:sz w:val="19"/>
          <w:szCs w:val="19"/>
          <w:color w:val="auto"/>
        </w:rPr>
        <w:t>” shall mean a Third Party to whom a Party or its Affiliate will have granted (a) a license or sublicense to Manufacture, Develop or Commercialize Praluent Royalty Products in the Territory or (b) the right to distribute Praluent Royalty Products whereby such Third Party provides consideration to such Party or its Affiliate for such distribution rights or in connection with the sale of Praluent Royalty Products other than the supply price for Praluent Royalty Products sold to such Third Party by such Party or its Affiliate, irrespective of whether a license or sublicense or further right of reference is granted under Section 2.3. For clarity, “Sublicensee” shall not include any bona fide commercial distributor that pays to such Party or its Affiliate only a supply price for the Praluent Royalty Products ordered from such Party or its Affiliate.</w:t>
      </w:r>
    </w:p>
    <w:p>
      <w:pPr>
        <w:spacing w:after="0" w:line="151"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color w:val="auto"/>
        </w:rPr>
        <w:t>1.169 “</w:t>
      </w:r>
      <w:r>
        <w:rPr>
          <w:rFonts w:ascii="Arial" w:cs="Arial" w:eastAsia="Arial" w:hAnsi="Arial"/>
          <w:sz w:val="21"/>
          <w:szCs w:val="21"/>
          <w:u w:val="single" w:color="auto"/>
          <w:color w:val="auto"/>
        </w:rPr>
        <w:t>Tech Transfer FTE Cost</w:t>
      </w:r>
      <w:r>
        <w:rPr>
          <w:rFonts w:ascii="Arial" w:cs="Arial" w:eastAsia="Arial" w:hAnsi="Arial"/>
          <w:sz w:val="21"/>
          <w:szCs w:val="21"/>
          <w:color w:val="auto"/>
        </w:rPr>
        <w:t>” shall mean, for all activities performed by a Party in accordance with a Tech Transfer Plan, the product of (a) the number of FTEs used to carry out such activities and (b) the applicable FTE Rate(s).</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1.170 “</w:t>
      </w:r>
      <w:r>
        <w:rPr>
          <w:rFonts w:ascii="Arial" w:cs="Arial" w:eastAsia="Arial" w:hAnsi="Arial"/>
          <w:sz w:val="22"/>
          <w:szCs w:val="22"/>
          <w:u w:val="single" w:color="auto"/>
          <w:color w:val="auto"/>
        </w:rPr>
        <w:t>Tech Transfer Plan</w:t>
      </w:r>
      <w:r>
        <w:rPr>
          <w:rFonts w:ascii="Arial" w:cs="Arial" w:eastAsia="Arial" w:hAnsi="Arial"/>
          <w:sz w:val="22"/>
          <w:szCs w:val="22"/>
          <w:color w:val="auto"/>
        </w:rPr>
        <w:t>” shall have the meaning set forth in Section 7.4(a).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1.171 “</w:t>
      </w:r>
      <w:r>
        <w:rPr>
          <w:rFonts w:ascii="Arial" w:cs="Arial" w:eastAsia="Arial" w:hAnsi="Arial"/>
          <w:sz w:val="22"/>
          <w:szCs w:val="22"/>
          <w:u w:val="single" w:color="auto"/>
          <w:color w:val="auto"/>
        </w:rPr>
        <w:t>Technology Transfer Cost Report</w:t>
      </w:r>
      <w:r>
        <w:rPr>
          <w:rFonts w:ascii="Arial" w:cs="Arial" w:eastAsia="Arial" w:hAnsi="Arial"/>
          <w:sz w:val="22"/>
          <w:szCs w:val="22"/>
          <w:color w:val="auto"/>
        </w:rPr>
        <w:t>” shall have the meaning set forth in Section 7.4(c).</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1.172 “</w:t>
      </w:r>
      <w:r>
        <w:rPr>
          <w:rFonts w:ascii="Arial" w:cs="Arial" w:eastAsia="Arial" w:hAnsi="Arial"/>
          <w:sz w:val="22"/>
          <w:szCs w:val="22"/>
          <w:u w:val="single" w:color="auto"/>
          <w:color w:val="auto"/>
        </w:rPr>
        <w:t>Terminating Party</w:t>
      </w:r>
      <w:r>
        <w:rPr>
          <w:rFonts w:ascii="Arial" w:cs="Arial" w:eastAsia="Arial" w:hAnsi="Arial"/>
          <w:sz w:val="22"/>
          <w:szCs w:val="22"/>
          <w:color w:val="auto"/>
        </w:rPr>
        <w:t>” shall have the meaning set forth in Section 16.2.</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1.173 “</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either Sanofi Territory or Regeneron Territory or, as applicable, both of Sanofi Territory and Regeneron Territory.</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1.174 “</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Sanofi or Regeneron or any Affiliate of either Party.</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1.175 “</w:t>
      </w:r>
      <w:r>
        <w:rPr>
          <w:rFonts w:ascii="Arial" w:cs="Arial" w:eastAsia="Arial" w:hAnsi="Arial"/>
          <w:sz w:val="22"/>
          <w:szCs w:val="22"/>
          <w:u w:val="single" w:color="auto"/>
          <w:color w:val="auto"/>
        </w:rPr>
        <w:t>Third Party Claim</w:t>
      </w:r>
      <w:r>
        <w:rPr>
          <w:rFonts w:ascii="Arial" w:cs="Arial" w:eastAsia="Arial" w:hAnsi="Arial"/>
          <w:sz w:val="22"/>
          <w:szCs w:val="22"/>
          <w:color w:val="auto"/>
        </w:rPr>
        <w:t>” shall have the meaning set forth in Section 14.1(a).</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1.176 “</w:t>
      </w:r>
      <w:r>
        <w:rPr>
          <w:rFonts w:ascii="Arial" w:cs="Arial" w:eastAsia="Arial" w:hAnsi="Arial"/>
          <w:sz w:val="22"/>
          <w:szCs w:val="22"/>
          <w:u w:val="single" w:color="auto"/>
          <w:color w:val="auto"/>
        </w:rPr>
        <w:t>Third Party Invalidity Assertion</w:t>
      </w:r>
      <w:r>
        <w:rPr>
          <w:rFonts w:ascii="Arial" w:cs="Arial" w:eastAsia="Arial" w:hAnsi="Arial"/>
          <w:sz w:val="22"/>
          <w:szCs w:val="22"/>
          <w:color w:val="auto"/>
        </w:rPr>
        <w:t>” shall have the meaning set forth in Section 11.4(a).</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1.177 “</w:t>
      </w:r>
      <w:r>
        <w:rPr>
          <w:rFonts w:ascii="Arial" w:cs="Arial" w:eastAsia="Arial" w:hAnsi="Arial"/>
          <w:sz w:val="22"/>
          <w:szCs w:val="22"/>
          <w:u w:val="single" w:color="auto"/>
          <w:color w:val="auto"/>
        </w:rPr>
        <w:t>Trademark</w:t>
      </w:r>
      <w:r>
        <w:rPr>
          <w:rFonts w:ascii="Arial" w:cs="Arial" w:eastAsia="Arial" w:hAnsi="Arial"/>
          <w:sz w:val="22"/>
          <w:szCs w:val="22"/>
          <w:color w:val="auto"/>
        </w:rPr>
        <w:t>” shall mean any trademark, service mark, trade name, trade dress, logo, slogan, design or other designation that functions as an identifier of source, whether or not registered, and all statutory and common law rights therein, and all registrations and applications therefor and renewals thereof, together with all goodwill associated with, or symbolized by, any of the foregoing.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1.178 “</w:t>
      </w:r>
      <w:r>
        <w:rPr>
          <w:rFonts w:ascii="Arial" w:cs="Arial" w:eastAsia="Arial" w:hAnsi="Arial"/>
          <w:sz w:val="22"/>
          <w:szCs w:val="22"/>
          <w:u w:val="single" w:color="auto"/>
          <w:color w:val="auto"/>
        </w:rPr>
        <w:t>Transferee</w:t>
      </w:r>
      <w:r>
        <w:rPr>
          <w:rFonts w:ascii="Arial" w:cs="Arial" w:eastAsia="Arial" w:hAnsi="Arial"/>
          <w:sz w:val="22"/>
          <w:szCs w:val="22"/>
          <w:color w:val="auto"/>
        </w:rPr>
        <w:t>” shall have the meaning set forth in Section 7.4(a).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22" w:name="page123"/>
    <w:bookmarkEnd w:id="122"/>
    <w:p>
      <w:pPr>
        <w:ind w:left="980"/>
        <w:spacing w:after="0"/>
        <w:rPr>
          <w:sz w:val="20"/>
          <w:szCs w:val="20"/>
          <w:color w:val="auto"/>
        </w:rPr>
      </w:pPr>
      <w:r>
        <w:rPr>
          <w:rFonts w:ascii="Arial" w:cs="Arial" w:eastAsia="Arial" w:hAnsi="Arial"/>
          <w:sz w:val="22"/>
          <w:szCs w:val="22"/>
          <w:color w:val="auto"/>
        </w:rPr>
        <w:t>1.179 “</w:t>
      </w:r>
      <w:r>
        <w:rPr>
          <w:rFonts w:ascii="Arial" w:cs="Arial" w:eastAsia="Arial" w:hAnsi="Arial"/>
          <w:sz w:val="22"/>
          <w:szCs w:val="22"/>
          <w:u w:val="single" w:color="auto"/>
          <w:color w:val="auto"/>
        </w:rPr>
        <w:t>Transferor</w:t>
      </w:r>
      <w:r>
        <w:rPr>
          <w:rFonts w:ascii="Arial" w:cs="Arial" w:eastAsia="Arial" w:hAnsi="Arial"/>
          <w:sz w:val="22"/>
          <w:szCs w:val="22"/>
          <w:color w:val="auto"/>
        </w:rPr>
        <w:t>” shall have the meaning set forth in Section 7.4(a).</w:t>
      </w:r>
    </w:p>
    <w:p>
      <w:pPr>
        <w:spacing w:after="0" w:line="220"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1.180 “</w:t>
      </w:r>
      <w:r>
        <w:rPr>
          <w:rFonts w:ascii="Arial" w:cs="Arial" w:eastAsia="Arial" w:hAnsi="Arial"/>
          <w:sz w:val="22"/>
          <w:szCs w:val="22"/>
          <w:u w:val="single" w:color="auto"/>
          <w:color w:val="auto"/>
        </w:rPr>
        <w:t>Transferred Approvals</w:t>
      </w:r>
      <w:r>
        <w:rPr>
          <w:rFonts w:ascii="Arial" w:cs="Arial" w:eastAsia="Arial" w:hAnsi="Arial"/>
          <w:sz w:val="22"/>
          <w:szCs w:val="22"/>
          <w:color w:val="auto"/>
        </w:rPr>
        <w:t>” shall mean the Approvals set forth on Schedule 1.180. For clarity, the term “Transferred Approvals” shall only refer to the approvals, registrations, licenses or authorizations granted by the applicable Regulatory Authority and expressly excludes any Sanofi Core Know-How or any of Sanofi’s rights in or to the Existing Joint Know-How included or referenced therein, which shall be subject to the license grants in Section 2.2. The transfer to Regeneron of the Transferred Approvals under Section 2.6 shall not operate to vest or result in any assignment or transfer of any rights, title or interest in and to such Know-How.</w:t>
      </w:r>
    </w:p>
    <w:p>
      <w:pPr>
        <w:spacing w:after="0" w:line="19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1.181 “</w:t>
      </w:r>
      <w:r>
        <w:rPr>
          <w:rFonts w:ascii="Arial" w:cs="Arial" w:eastAsia="Arial" w:hAnsi="Arial"/>
          <w:sz w:val="22"/>
          <w:szCs w:val="22"/>
          <w:u w:val="single" w:color="auto"/>
          <w:color w:val="auto"/>
        </w:rPr>
        <w:t>Transferred Inventory</w:t>
      </w:r>
      <w:r>
        <w:rPr>
          <w:rFonts w:ascii="Arial" w:cs="Arial" w:eastAsia="Arial" w:hAnsi="Arial"/>
          <w:sz w:val="22"/>
          <w:szCs w:val="22"/>
          <w:color w:val="auto"/>
        </w:rPr>
        <w:t>” means all inventories of Finished Product intended for sale or distribution in the Regeneron Territory, including samples intended for distribution in the Regeneron Territory, that are held by Sanofi or any of its Affiliates and unsold (or, with respect to samples, undistributed) as of the Transition Date.</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1.182 “</w:t>
      </w:r>
      <w:r>
        <w:rPr>
          <w:rFonts w:ascii="Arial" w:cs="Arial" w:eastAsia="Arial" w:hAnsi="Arial"/>
          <w:sz w:val="22"/>
          <w:szCs w:val="22"/>
          <w:u w:val="single" w:color="auto"/>
          <w:color w:val="auto"/>
        </w:rPr>
        <w:t>Transferred Product Contracts</w:t>
      </w:r>
      <w:r>
        <w:rPr>
          <w:rFonts w:ascii="Arial" w:cs="Arial" w:eastAsia="Arial" w:hAnsi="Arial"/>
          <w:sz w:val="22"/>
          <w:szCs w:val="22"/>
          <w:color w:val="auto"/>
        </w:rPr>
        <w:t>” shall mean all rights and interests of Sanofi or its Affiliates under the contracts set forth on Schedule 1.182.</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1.183 “</w:t>
      </w:r>
      <w:r>
        <w:rPr>
          <w:rFonts w:ascii="Arial" w:cs="Arial" w:eastAsia="Arial" w:hAnsi="Arial"/>
          <w:sz w:val="22"/>
          <w:szCs w:val="22"/>
          <w:u w:val="single" w:color="auto"/>
          <w:color w:val="auto"/>
        </w:rPr>
        <w:t>Transferred Product Domain Names</w:t>
      </w:r>
      <w:r>
        <w:rPr>
          <w:rFonts w:ascii="Arial" w:cs="Arial" w:eastAsia="Arial" w:hAnsi="Arial"/>
          <w:sz w:val="22"/>
          <w:szCs w:val="22"/>
          <w:color w:val="auto"/>
        </w:rPr>
        <w:t>” shall mean the Domain Names set forth on Schedule 1.183 and all subdomains thereof.</w:t>
      </w:r>
    </w:p>
    <w:p>
      <w:pPr>
        <w:spacing w:after="0" w:line="175"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1.184 “</w:t>
      </w:r>
      <w:r>
        <w:rPr>
          <w:rFonts w:ascii="Arial" w:cs="Arial" w:eastAsia="Arial" w:hAnsi="Arial"/>
          <w:sz w:val="19"/>
          <w:szCs w:val="19"/>
          <w:u w:val="single" w:color="auto"/>
          <w:color w:val="auto"/>
        </w:rPr>
        <w:t>Transferred Product Records</w:t>
      </w:r>
      <w:r>
        <w:rPr>
          <w:rFonts w:ascii="Arial" w:cs="Arial" w:eastAsia="Arial" w:hAnsi="Arial"/>
          <w:sz w:val="19"/>
          <w:szCs w:val="19"/>
          <w:color w:val="auto"/>
        </w:rPr>
        <w:t>” shall mean all books and records (other than the Transferred Regulatory Documentation and any contracts or agreements) solely related to the Commercialization of Praluent Products in the Regeneron Territory, including all books and records that correspond to the items listed on Schedule 1.184 and that are solely related to the Commercialization of Praluent Products in the Regeneron Territory, owned by Sanofi or its Affiliates as of the Transition Date or during the Distribution Service Period (as defined in the Praluent Transition Services Agreement), including all information provided to Regeneron pursuant to the Schedules (as defined in the Praluent Transition Services Agreement).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1.185 “</w:t>
      </w:r>
      <w:r>
        <w:rPr>
          <w:rFonts w:ascii="Arial" w:cs="Arial" w:eastAsia="Arial" w:hAnsi="Arial"/>
          <w:sz w:val="22"/>
          <w:szCs w:val="22"/>
          <w:u w:val="single" w:color="auto"/>
          <w:color w:val="auto"/>
        </w:rPr>
        <w:t>Transferred Product Trademarks</w:t>
      </w:r>
      <w:r>
        <w:rPr>
          <w:rFonts w:ascii="Arial" w:cs="Arial" w:eastAsia="Arial" w:hAnsi="Arial"/>
          <w:sz w:val="22"/>
          <w:szCs w:val="22"/>
          <w:color w:val="auto"/>
        </w:rPr>
        <w:t>” shall mean the Trademarks set forth on Schedule 1.185.</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1.186 “</w:t>
      </w:r>
      <w:r>
        <w:rPr>
          <w:rFonts w:ascii="Arial" w:cs="Arial" w:eastAsia="Arial" w:hAnsi="Arial"/>
          <w:sz w:val="22"/>
          <w:szCs w:val="22"/>
          <w:u w:val="single" w:color="auto"/>
          <w:color w:val="auto"/>
        </w:rPr>
        <w:t>Transferred Product Trademarks Documentation</w:t>
      </w:r>
      <w:r>
        <w:rPr>
          <w:rFonts w:ascii="Arial" w:cs="Arial" w:eastAsia="Arial" w:hAnsi="Arial"/>
          <w:sz w:val="22"/>
          <w:szCs w:val="22"/>
          <w:color w:val="auto"/>
        </w:rPr>
        <w:t>” shall mean all trademark registration certificates and maintenance documents (Declaration of Use) and, as the case may be, prosecution files and trademark clearance search results, in each case, that may be in the possession or Control of Sanofi or its Affiliates or its or their outside Trademark counsel as of the Transition Date relating to the Transferred Product Trademarks.</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1.187 “</w:t>
      </w:r>
      <w:r>
        <w:rPr>
          <w:rFonts w:ascii="Arial" w:cs="Arial" w:eastAsia="Arial" w:hAnsi="Arial"/>
          <w:sz w:val="22"/>
          <w:szCs w:val="22"/>
          <w:u w:val="single" w:color="auto"/>
          <w:color w:val="auto"/>
        </w:rPr>
        <w:t>Transferred Promotional Materials</w:t>
      </w:r>
      <w:r>
        <w:rPr>
          <w:rFonts w:ascii="Arial" w:cs="Arial" w:eastAsia="Arial" w:hAnsi="Arial"/>
          <w:sz w:val="22"/>
          <w:szCs w:val="22"/>
          <w:color w:val="auto"/>
        </w:rPr>
        <w:t>” shall mean all Promotional Materials to the extent used or intended for use by either Party or its Affiliates for the Commercialization of the Existing Praluent Products in the Regeneron Territory and in the possession of Sanofi or its Affiliates as of the Transition Date.</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1.188 “</w:t>
      </w:r>
      <w:r>
        <w:rPr>
          <w:rFonts w:ascii="Arial" w:cs="Arial" w:eastAsia="Arial" w:hAnsi="Arial"/>
          <w:sz w:val="22"/>
          <w:szCs w:val="22"/>
          <w:u w:val="single" w:color="auto"/>
          <w:color w:val="auto"/>
        </w:rPr>
        <w:t>Transferred Regulatory Documentation</w:t>
      </w:r>
      <w:r>
        <w:rPr>
          <w:rFonts w:ascii="Arial" w:cs="Arial" w:eastAsia="Arial" w:hAnsi="Arial"/>
          <w:sz w:val="22"/>
          <w:szCs w:val="22"/>
          <w:color w:val="auto"/>
        </w:rPr>
        <w:t>” shall mean (a) all documentation comprising the Transferred Approvals, and all reports, regulatory applications, submissions and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87" w:lineRule="auto"/>
        <w:rPr>
          <w:sz w:val="20"/>
          <w:szCs w:val="20"/>
          <w:color w:val="auto"/>
        </w:rPr>
      </w:pPr>
      <w:r>
        <w:rPr>
          <w:rFonts w:ascii="Arial" w:cs="Arial" w:eastAsia="Arial" w:hAnsi="Arial"/>
          <w:sz w:val="19"/>
          <w:szCs w:val="19"/>
          <w:color w:val="auto"/>
        </w:rPr>
        <w:t>in connection therewith and (b) all correspondence and reports submitted to or received from Governmental Authorities in the Regeneron Territory to the extent related to any such Approvals or to the Commercialization of any Existing Praluent Product for any Existing Indication in the Regeneron Territory, and all relevant supporting documents with respect thereto, in each case ((a) and (b)), in the possession or Control of Sanofi or any of its Affiliates as of the Transition Date. For clarity, the term “Transferred Regulatory Documentation” shall only refer to the embodiments of such documentation, reports, applications, submissions, filings or correspondence and expressly excludes any Sanofi Core Know-How or any of Sanofi’s rights in or to the Existing Joint Know-How included or referenced therein, which shall be subject to the license grants in Section 2.2. The transfer to Regeneron of the Transferred Regulatory Documentation under Section 2.6 shall not operate to vest or result in any assignment or transfer of any rights, title or interest in and to such Know-How. For the avoidance of doubt, the term “Transferred Regulatory Documentation” shall not include any Trademark or Domain Name registration documentation, prosecution or enforcement files or Trademark clearance searches or conflict or opposition records and files.</w:t>
      </w:r>
    </w:p>
    <w:p>
      <w:pPr>
        <w:spacing w:after="0" w:line="16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1.189 “</w:t>
      </w:r>
      <w:r>
        <w:rPr>
          <w:rFonts w:ascii="Arial" w:cs="Arial" w:eastAsia="Arial" w:hAnsi="Arial"/>
          <w:sz w:val="21"/>
          <w:szCs w:val="21"/>
          <w:u w:val="single" w:color="auto"/>
          <w:color w:val="auto"/>
        </w:rPr>
        <w:t>Transferred U.S. Assets</w:t>
      </w:r>
      <w:r>
        <w:rPr>
          <w:rFonts w:ascii="Arial" w:cs="Arial" w:eastAsia="Arial" w:hAnsi="Arial"/>
          <w:sz w:val="21"/>
          <w:szCs w:val="21"/>
          <w:color w:val="auto"/>
        </w:rPr>
        <w:t>” shall mean the following rights and assets: (a) the Transferred Approvals, (b) Transferred Inventory, (c) the Transferred Product Contracts, (d) the Transferred Product Domain Names, (e) the Transferred Product Records, (f) the Transferred Product Trademarks, (g) the Transferred Promotional Materials, (h) the Transferred Regulatory Documentation, and (i) Transferred Product Trademarks Documentation.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1.190 “</w:t>
      </w:r>
      <w:r>
        <w:rPr>
          <w:rFonts w:ascii="Arial" w:cs="Arial" w:eastAsia="Arial" w:hAnsi="Arial"/>
          <w:sz w:val="22"/>
          <w:szCs w:val="22"/>
          <w:u w:val="single" w:color="auto"/>
          <w:color w:val="auto"/>
        </w:rPr>
        <w:t>Transition Date</w:t>
      </w:r>
      <w:r>
        <w:rPr>
          <w:rFonts w:ascii="Arial" w:cs="Arial" w:eastAsia="Arial" w:hAnsi="Arial"/>
          <w:sz w:val="22"/>
          <w:szCs w:val="22"/>
          <w:color w:val="auto"/>
        </w:rPr>
        <w:t>” shall have the meaning set forth in the recitals hereto.</w:t>
      </w:r>
    </w:p>
    <w:p>
      <w:pPr>
        <w:spacing w:after="0" w:line="220"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1.191 “</w:t>
      </w:r>
      <w:r>
        <w:rPr>
          <w:rFonts w:ascii="Arial" w:cs="Arial" w:eastAsia="Arial" w:hAnsi="Arial"/>
          <w:sz w:val="22"/>
          <w:szCs w:val="22"/>
          <w:u w:val="single" w:color="auto"/>
          <w:color w:val="auto"/>
        </w:rPr>
        <w:t>Triggering Event</w:t>
      </w:r>
      <w:r>
        <w:rPr>
          <w:rFonts w:ascii="Arial" w:cs="Arial" w:eastAsia="Arial" w:hAnsi="Arial"/>
          <w:sz w:val="22"/>
          <w:szCs w:val="22"/>
          <w:color w:val="auto"/>
        </w:rPr>
        <w:t>” shall mean, (a) with respect to any Third Party Claim alleging [* * *] or (b) with respect to any [* * *] Third Party Claim alleging [* * *].</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1.192 “</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 (including its territories and possessions and its military bases and commissaries, and any other federal government purchasers, wherever located in the Territory) and Puerto Rico.</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1.193 “</w:t>
      </w:r>
      <w:r>
        <w:rPr>
          <w:rFonts w:ascii="Arial" w:cs="Arial" w:eastAsia="Arial" w:hAnsi="Arial"/>
          <w:sz w:val="22"/>
          <w:szCs w:val="22"/>
          <w:u w:val="single" w:color="auto"/>
          <w:color w:val="auto"/>
        </w:rPr>
        <w:t>U.S. CPI</w:t>
      </w:r>
      <w:r>
        <w:rPr>
          <w:rFonts w:ascii="Arial" w:cs="Arial" w:eastAsia="Arial" w:hAnsi="Arial"/>
          <w:sz w:val="22"/>
          <w:szCs w:val="22"/>
          <w:color w:val="auto"/>
        </w:rPr>
        <w:t>” shall mean the Consumer Price Index – All Urban Consumers published by the United States Department of Labor, Bureau of Statistics (or its successor equivalent index).</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1.194 “</w:t>
      </w:r>
      <w:r>
        <w:rPr>
          <w:rFonts w:ascii="Arial" w:cs="Arial" w:eastAsia="Arial" w:hAnsi="Arial"/>
          <w:sz w:val="22"/>
          <w:szCs w:val="22"/>
          <w:u w:val="single" w:color="auto"/>
          <w:color w:val="auto"/>
        </w:rPr>
        <w:t>U.S. Praluent Product Business</w:t>
      </w:r>
      <w:r>
        <w:rPr>
          <w:rFonts w:ascii="Arial" w:cs="Arial" w:eastAsia="Arial" w:hAnsi="Arial"/>
          <w:sz w:val="22"/>
          <w:szCs w:val="22"/>
          <w:color w:val="auto"/>
        </w:rPr>
        <w:t>” shall mean the Development or Manufacture of the Praluent Products (including the Praluent Compound) anywhere in the Territory for the Regeneron Territory, or the Commercialization of the Praluent Products in the Regeneron Territory.</w:t>
      </w:r>
    </w:p>
    <w:p>
      <w:pPr>
        <w:spacing w:after="0" w:line="18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1.195 “</w:t>
      </w:r>
      <w:r>
        <w:rPr>
          <w:rFonts w:ascii="Arial" w:cs="Arial" w:eastAsia="Arial" w:hAnsi="Arial"/>
          <w:sz w:val="19"/>
          <w:szCs w:val="19"/>
          <w:u w:val="single" w:color="auto"/>
          <w:color w:val="auto"/>
        </w:rPr>
        <w:t>U.S.-Related Praluent Agreements</w:t>
      </w:r>
      <w:r>
        <w:rPr>
          <w:rFonts w:ascii="Arial" w:cs="Arial" w:eastAsia="Arial" w:hAnsi="Arial"/>
          <w:sz w:val="19"/>
          <w:szCs w:val="19"/>
          <w:color w:val="auto"/>
        </w:rPr>
        <w:t>” shall mean the agreements, including all amendments thereto existing as of the Transition Date to which Sanofi or its Affiliates are a party that relate to the Commercialization of any Existing Praluent Product for any Existing Indication in the Regeneron Territory, excluding the Transferred Product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GRANTS; LIMITED ASSET TRANSFER; TRANSITION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24" w:name="page125"/>
    <w:bookmarkEnd w:id="124"/>
    <w:p>
      <w:pPr>
        <w:ind w:firstLine="972"/>
        <w:spacing w:after="0" w:line="26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Regeneron License Grants</w:t>
      </w:r>
      <w:r>
        <w:rPr>
          <w:rFonts w:ascii="Arial" w:cs="Arial" w:eastAsia="Arial" w:hAnsi="Arial"/>
          <w:sz w:val="22"/>
          <w:szCs w:val="22"/>
          <w:color w:val="auto"/>
        </w:rPr>
        <w:t>. Subject to the terms and conditions of this Agreement, Regeneron (on behalf of itself and its Affiliates) hereby grants to Sanofi and its Affiliates:</w:t>
      </w:r>
    </w:p>
    <w:p>
      <w:pPr>
        <w:spacing w:after="0" w:line="175" w:lineRule="exact"/>
        <w:rPr>
          <w:sz w:val="20"/>
          <w:szCs w:val="20"/>
          <w:color w:val="auto"/>
        </w:rPr>
      </w:pPr>
    </w:p>
    <w:p>
      <w:pPr>
        <w:jc w:val="both"/>
        <w:ind w:firstLine="1304"/>
        <w:spacing w:after="0" w:line="250"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 exclusive (including with regard to Regeneron and its Affiliates), royalty-bearing, sublicensable (pursuant to Section 2.3), transferable (pursuant to Section 18.10) right and license under the Regeneron Core Intellectual Property, the Regeneron Background Intellectual Property and Regeneron’s interest in the Joint Intellectual Property to Commercialize the Praluent Royalty Products in the Sanofi Territory;</w:t>
      </w:r>
    </w:p>
    <w:p>
      <w:pPr>
        <w:spacing w:after="0" w:line="187" w:lineRule="exact"/>
        <w:rPr>
          <w:rFonts w:ascii="Arial" w:cs="Arial" w:eastAsia="Arial" w:hAnsi="Arial"/>
          <w:sz w:val="22"/>
          <w:szCs w:val="22"/>
          <w:color w:val="auto"/>
        </w:rPr>
      </w:pPr>
    </w:p>
    <w:p>
      <w:pPr>
        <w:jc w:val="both"/>
        <w:ind w:firstLine="1304"/>
        <w:spacing w:after="0" w:line="263" w:lineRule="auto"/>
        <w:tabs>
          <w:tab w:leader="none" w:pos="1939" w:val="left"/>
        </w:tabs>
        <w:numPr>
          <w:ilvl w:val="0"/>
          <w:numId w:val="53"/>
        </w:numPr>
        <w:rPr>
          <w:rFonts w:ascii="Arial" w:cs="Arial" w:eastAsia="Arial" w:hAnsi="Arial"/>
          <w:sz w:val="21"/>
          <w:szCs w:val="21"/>
          <w:color w:val="auto"/>
        </w:rPr>
      </w:pPr>
      <w:r>
        <w:rPr>
          <w:rFonts w:ascii="Arial" w:cs="Arial" w:eastAsia="Arial" w:hAnsi="Arial"/>
          <w:sz w:val="21"/>
          <w:szCs w:val="21"/>
          <w:color w:val="auto"/>
        </w:rPr>
        <w:t>a co-exclusive, royalty-bearing, sublicensable (pursuant to Section 2.3), transferable (pursuant to Section 18.10) right and license under the Regeneron Core Intellectual Property, the Regeneron Background Intellectual Property, and Regeneron’s interest in the Joint Intellectual Property to use (other than to Commercialize), Develop and Manufacture the Praluent Royalty Products (including the Praluent Compound) anywhere in the Territory, solely to support Commercialization of the Praluent Royalty Products in the Sanofi Territory;</w:t>
      </w:r>
    </w:p>
    <w:p>
      <w:pPr>
        <w:spacing w:after="0" w:line="175" w:lineRule="exact"/>
        <w:rPr>
          <w:rFonts w:ascii="Arial" w:cs="Arial" w:eastAsia="Arial" w:hAnsi="Arial"/>
          <w:sz w:val="21"/>
          <w:szCs w:val="21"/>
          <w:color w:val="auto"/>
        </w:rPr>
      </w:pPr>
    </w:p>
    <w:p>
      <w:pPr>
        <w:jc w:val="both"/>
        <w:ind w:firstLine="1304"/>
        <w:spacing w:after="0" w:line="265" w:lineRule="auto"/>
        <w:tabs>
          <w:tab w:leader="none" w:pos="1941" w:val="left"/>
        </w:tabs>
        <w:numPr>
          <w:ilvl w:val="0"/>
          <w:numId w:val="53"/>
        </w:numPr>
        <w:rPr>
          <w:rFonts w:ascii="Arial" w:cs="Arial" w:eastAsia="Arial" w:hAnsi="Arial"/>
          <w:sz w:val="21"/>
          <w:szCs w:val="21"/>
          <w:color w:val="auto"/>
        </w:rPr>
      </w:pPr>
      <w:r>
        <w:rPr>
          <w:rFonts w:ascii="Arial" w:cs="Arial" w:eastAsia="Arial" w:hAnsi="Arial"/>
          <w:sz w:val="21"/>
          <w:szCs w:val="21"/>
          <w:color w:val="auto"/>
        </w:rPr>
        <w:t>a co-exclusive, royalty-free, sublicensable (pursuant to Section 2.3), transferable (pursuant to Section 18.10) right and license to reproduce, modify, distribute, create derivative works based on, including translations of, publicly perform, publicly display, publish and otherwise use the Praluent Product Regeneron Copyrights, in all forms and media, now known or hereafter invented, solely to support the ROW Praluent Product Business;</w:t>
      </w:r>
    </w:p>
    <w:p>
      <w:pPr>
        <w:spacing w:after="0" w:line="175" w:lineRule="exact"/>
        <w:rPr>
          <w:rFonts w:ascii="Arial" w:cs="Arial" w:eastAsia="Arial" w:hAnsi="Arial"/>
          <w:sz w:val="21"/>
          <w:szCs w:val="21"/>
          <w:color w:val="auto"/>
        </w:rPr>
      </w:pPr>
    </w:p>
    <w:p>
      <w:pPr>
        <w:jc w:val="both"/>
        <w:ind w:firstLine="1304"/>
        <w:spacing w:after="0" w:line="312" w:lineRule="auto"/>
        <w:tabs>
          <w:tab w:leader="none" w:pos="1939"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subject to Section 9.3(b), a co-exclusive, royalty-free, fully paid-up, sublicensable (pursuant to Section 2.3), transferable (pursuant to Section 18.10) license to use the Praluent Product U.S. Trademarks to Develop and Manufacture the Praluent Products in the Regeneron Territory solely to support the ROW Praluent Product Business; and</w:t>
      </w:r>
    </w:p>
    <w:p>
      <w:pPr>
        <w:spacing w:after="0" w:line="133" w:lineRule="exact"/>
        <w:rPr>
          <w:rFonts w:ascii="Arial" w:cs="Arial" w:eastAsia="Arial" w:hAnsi="Arial"/>
          <w:sz w:val="19"/>
          <w:szCs w:val="19"/>
          <w:color w:val="auto"/>
        </w:rPr>
      </w:pPr>
    </w:p>
    <w:p>
      <w:pPr>
        <w:jc w:val="both"/>
        <w:ind w:firstLine="1304"/>
        <w:spacing w:after="0" w:line="288" w:lineRule="auto"/>
        <w:tabs>
          <w:tab w:leader="none" w:pos="19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subject to Section 9.4(b), the right, free of charge, to use the name or logo of Regeneron or its Affiliate (i) on product labels, package inserts, packaging, trade packaging, samples and all Promotional Materials that are being used for the Commercialization of the Praluent Products in the Sanofi Territory as of the Transition Date, only for the time period (which in any case may not exceed [* * *] years after the Transition Date or such other maximum period as may be agreed by the Parties) and solely to the extent necessary to exhaust the inventory of such product labels, package inserts, packaging, trade packaging, samples and Promotional Materials, in each case existing as of the Transition Date and containing such name or logo or (ii) as necessary to identify, to the extent required under any applicable Law, Regeneron (or its Affiliate) as the Manufacturer of Formulated Drug Substance on any product labels, package inserts, packaging, trade packaging or samples of Praluent Products to be used by Sanofi or its Affiliates or its or their Sublicensees in the ROW Praluent Product Business that incorporate Formulated Drug Substance Manufactured by Regeneron (or its Affiliate).</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Sanofi License Grants</w:t>
      </w:r>
      <w:r>
        <w:rPr>
          <w:rFonts w:ascii="Arial" w:cs="Arial" w:eastAsia="Arial" w:hAnsi="Arial"/>
          <w:sz w:val="19"/>
          <w:szCs w:val="19"/>
          <w:color w:val="auto"/>
        </w:rPr>
        <w:t>. Subject to the terms and conditions of this Agreement, Sanofi (on behalf of itself and its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Affiliates) hereby grants to Regeneron and its Affiliates:</w:t>
      </w:r>
    </w:p>
    <w:p>
      <w:pPr>
        <w:spacing w:after="0" w:line="202" w:lineRule="exact"/>
        <w:rPr>
          <w:sz w:val="20"/>
          <w:szCs w:val="20"/>
          <w:color w:val="auto"/>
        </w:rPr>
      </w:pPr>
    </w:p>
    <w:p>
      <w:pPr>
        <w:ind w:right="20" w:firstLine="1304"/>
        <w:spacing w:after="0" w:line="263" w:lineRule="auto"/>
        <w:tabs>
          <w:tab w:leader="none" w:pos="1941"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exclusive (including with regard to Sanofi and its Affiliates), fully paid-up, royalty-free, sublicensable (pursuant to Section 2.3), transferable (pursuant to Section 18.10)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25" w:name="page126"/>
    <w:bookmarkEnd w:id="125"/>
    <w:p>
      <w:pPr>
        <w:spacing w:after="0" w:line="343" w:lineRule="auto"/>
        <w:rPr>
          <w:sz w:val="20"/>
          <w:szCs w:val="20"/>
          <w:color w:val="auto"/>
        </w:rPr>
      </w:pPr>
      <w:r>
        <w:rPr>
          <w:rFonts w:ascii="Arial" w:cs="Arial" w:eastAsia="Arial" w:hAnsi="Arial"/>
          <w:sz w:val="19"/>
          <w:szCs w:val="19"/>
          <w:color w:val="auto"/>
        </w:rPr>
        <w:t>right and license under the Sanofi Core Intellectual Property, the Sanofi Background Intellectual Property and Sanofi’s interest in the Joint Intellectual Property to Commercialize the Praluent Products or any biosimilar thereof in the Regeneron Territory;</w:t>
      </w:r>
    </w:p>
    <w:p>
      <w:pPr>
        <w:spacing w:after="0" w:line="104" w:lineRule="exact"/>
        <w:rPr>
          <w:sz w:val="20"/>
          <w:szCs w:val="20"/>
          <w:color w:val="auto"/>
        </w:rPr>
      </w:pPr>
    </w:p>
    <w:p>
      <w:pPr>
        <w:jc w:val="both"/>
        <w:ind w:firstLine="1304"/>
        <w:spacing w:after="0" w:line="297" w:lineRule="auto"/>
        <w:tabs>
          <w:tab w:leader="none" w:pos="1939"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co-exclusive, fully paid-up, royalty-free, sublicensable (pursuant to Section 2.3), transferable (pursuant to Section 18.10) right and license under the Sanofi Core Intellectual Property, the Sanofi Background Intellectual Property and Sanofi’s interest in the Joint Intellectual Property to use (other than to Commercialize), Develop and Manufacture the Praluent Products (including the Praluent Compound) or any biosimilar thereof anywhere in the Territory, solely to support Commercialization of the Praluent Products or any biosimilar thereof in the Regeneron Territory;</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4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co-exclusive, royalty-free, sublicensable (pursuant to Section 2.3), transferable (pursuant to Section 18.10) right and license to reproduce, modify, distribute, create derivative works based on, including translations of, publicly perform, publicly display, publish and otherwise use the Praluent Product Sanofi Copyrights, in all forms and media, now known or hereafter invented, solely to support the U.S. Praluent Product Business;</w:t>
      </w:r>
    </w:p>
    <w:p>
      <w:pPr>
        <w:spacing w:after="0" w:line="187" w:lineRule="exact"/>
        <w:rPr>
          <w:rFonts w:ascii="Arial" w:cs="Arial" w:eastAsia="Arial" w:hAnsi="Arial"/>
          <w:sz w:val="22"/>
          <w:szCs w:val="22"/>
          <w:color w:val="auto"/>
        </w:rPr>
      </w:pPr>
    </w:p>
    <w:p>
      <w:pPr>
        <w:jc w:val="both"/>
        <w:ind w:firstLine="1304"/>
        <w:spacing w:after="0" w:line="271" w:lineRule="auto"/>
        <w:tabs>
          <w:tab w:leader="none" w:pos="1939"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subject to Section 9.3(b), a co-exclusive, royalty-free, fully paid-up, sublicensable (pursuant to Section 2.3), transferable (pursuant to Section 18.10), license to use the Praluent Product ROW Trademarks to Develop and Manufacture the Praluent Products in the Sanofi Territory solely to support the U.S. Praluent Product Business; and</w:t>
      </w:r>
    </w:p>
    <w:p>
      <w:pPr>
        <w:spacing w:after="0" w:line="167" w:lineRule="exact"/>
        <w:rPr>
          <w:rFonts w:ascii="Arial" w:cs="Arial" w:eastAsia="Arial" w:hAnsi="Arial"/>
          <w:sz w:val="21"/>
          <w:szCs w:val="21"/>
          <w:color w:val="auto"/>
        </w:rPr>
      </w:pPr>
    </w:p>
    <w:p>
      <w:pPr>
        <w:jc w:val="both"/>
        <w:ind w:firstLine="1304"/>
        <w:spacing w:after="0" w:line="258" w:lineRule="auto"/>
        <w:tabs>
          <w:tab w:leader="none" w:pos="1941"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subject to Section 9.4(b), the right, free of charge, to use the name or logo of Sanofi or its Affiliate (i) on product labels, package inserts, packaging, trade packaging, samples and all Transferred Promotional Materials, only for the time period (which in any case may not exceed [* * *] years after the Transition Date or such other maximum period as may be agreed by the Parties) and solely to the extent necessary to exhaust the inventory of such product labels, package inserts, packaging, trade packaging, samples and Promotional Materials existing as of the expiration of the Distribution Service Period (as defined in the Praluent Transition Services Agreement) and containing such name or logo or (ii) as necessary to identify, to the extent required under any applicable Law, Sanofi (or its Affiliate) as the Manufacturer of Finished Product on any product labels, package inserts, packaging, trade packaging or samples of Praluent Products to be used by Regeneron or its Affiliates or its or their Sublicensees in the U.S. Praluent Product Business that incorporate Finished Product Manufactured by Sanofi (or its Affiliate).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Sublicensing and Subcontracting</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7" w:lineRule="auto"/>
        <w:tabs>
          <w:tab w:leader="none" w:pos="1941"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Subject to Section 2.3(c), (i) the licenses granted by Regeneron to Sanofi in Section 2.1 and the rights of reference granted by Regeneron to Sanofi in Section 6.2(a) may be freely sublicensed, or further rights of reference may be granted, by Sanofi or its Affiliates to Third Parties through one or multiple tiers and (ii) the licenses granted by Sanofi to Regeneron in Section 2.2 and the rights of reference granted by Sanofi to Regeneron in Section 6.2(b) and Section 6.2(c) may be freely sublicensed, or further rights of reference may be granted, by Regeneron or its Affiliates to Third Parties through one or multiple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1304"/>
        <w:spacing w:after="0" w:line="250" w:lineRule="auto"/>
        <w:tabs>
          <w:tab w:leader="none" w:pos="1939"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Subject to Section 2.3(c), either Party may, as such Party deems appropriate, delegate any of its obligations hereunder or subcontract the performance of all or part of such Party’s activities with respect to the U.S. Praluent Product Business, in the case of Regeneron, or the ROW Praluent Product Business, in the case of Sanofi, in each case to its Affiliates or Third Parties.</w:t>
      </w:r>
    </w:p>
    <w:p>
      <w:pPr>
        <w:spacing w:after="0" w:line="187" w:lineRule="exact"/>
        <w:rPr>
          <w:rFonts w:ascii="Arial" w:cs="Arial" w:eastAsia="Arial" w:hAnsi="Arial"/>
          <w:sz w:val="22"/>
          <w:szCs w:val="22"/>
          <w:color w:val="auto"/>
        </w:rPr>
      </w:pPr>
    </w:p>
    <w:p>
      <w:pPr>
        <w:jc w:val="both"/>
        <w:ind w:firstLine="1304"/>
        <w:spacing w:after="0" w:line="263" w:lineRule="auto"/>
        <w:tabs>
          <w:tab w:leader="none" w:pos="1941" w:val="left"/>
        </w:tabs>
        <w:numPr>
          <w:ilvl w:val="0"/>
          <w:numId w:val="57"/>
        </w:numPr>
        <w:rPr>
          <w:rFonts w:ascii="Arial" w:cs="Arial" w:eastAsia="Arial" w:hAnsi="Arial"/>
          <w:sz w:val="21"/>
          <w:szCs w:val="21"/>
          <w:color w:val="auto"/>
        </w:rPr>
      </w:pPr>
      <w:r>
        <w:rPr>
          <w:rFonts w:ascii="Arial" w:cs="Arial" w:eastAsia="Arial" w:hAnsi="Arial"/>
          <w:sz w:val="21"/>
          <w:szCs w:val="21"/>
          <w:color w:val="auto"/>
        </w:rPr>
        <w:t>Sublicensing or subcontracting by either Party or its Affiliates (the “</w:t>
      </w:r>
      <w:r>
        <w:rPr>
          <w:rFonts w:ascii="Arial" w:cs="Arial" w:eastAsia="Arial" w:hAnsi="Arial"/>
          <w:sz w:val="21"/>
          <w:szCs w:val="21"/>
          <w:u w:val="single" w:color="auto"/>
          <w:color w:val="auto"/>
        </w:rPr>
        <w:t>Grantee</w:t>
      </w:r>
      <w:r>
        <w:rPr>
          <w:rFonts w:ascii="Arial" w:cs="Arial" w:eastAsia="Arial" w:hAnsi="Arial"/>
          <w:sz w:val="21"/>
          <w:szCs w:val="21"/>
          <w:color w:val="auto"/>
        </w:rPr>
        <w:t>”) of any Manufacturing rights granted by the other Party (the “</w:t>
      </w:r>
      <w:r>
        <w:rPr>
          <w:rFonts w:ascii="Arial" w:cs="Arial" w:eastAsia="Arial" w:hAnsi="Arial"/>
          <w:sz w:val="21"/>
          <w:szCs w:val="21"/>
          <w:u w:val="single" w:color="auto"/>
          <w:color w:val="auto"/>
        </w:rPr>
        <w:t>Grantor</w:t>
      </w:r>
      <w:r>
        <w:rPr>
          <w:rFonts w:ascii="Arial" w:cs="Arial" w:eastAsia="Arial" w:hAnsi="Arial"/>
          <w:sz w:val="21"/>
          <w:szCs w:val="21"/>
          <w:color w:val="auto"/>
        </w:rPr>
        <w:t>”) hereunder (or any agreement under which any Third Party will Manufacture Praluent Compound or Praluent Products on behalf of the Grantee) (i) shall require the Grantor’s consent, not to be unreasonably withheld, conditioned or delayed and (ii) without limiting clause (i), shall [* * *]. Each Party acknowledges and agrees that it would be reasonable for the other Party to [* * *]. For the avoidance of doubt, [* * *].</w:t>
      </w:r>
    </w:p>
    <w:p>
      <w:pPr>
        <w:spacing w:after="0" w:line="175" w:lineRule="exact"/>
        <w:rPr>
          <w:rFonts w:ascii="Arial" w:cs="Arial" w:eastAsia="Arial" w:hAnsi="Arial"/>
          <w:sz w:val="21"/>
          <w:szCs w:val="21"/>
          <w:color w:val="auto"/>
        </w:rPr>
      </w:pPr>
    </w:p>
    <w:p>
      <w:pPr>
        <w:jc w:val="both"/>
        <w:ind w:firstLine="1304"/>
        <w:spacing w:after="0" w:line="287" w:lineRule="auto"/>
        <w:tabs>
          <w:tab w:leader="none" w:pos="1939"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sublicensing, subcontracting or delegating Party shall ensure that its sublicensees (including Sublicensees), subcontractors and delegatees are bound by terms and conditions that are consistent with the applicable terms and conditions of this Agreement, including the confidentiality and non-use obligations set forth in Article 13, and such terms and conditions must include, with respect to a Sublicensee of Sanofi or its Affiliate, an obligation of the Sublicensee to account for and report its sales of Praluent Products to Sanofi or such Affiliate on the same basis as if such sales were Net Sales by Sanofi or its Affiliate. For the avoidance of doubt, Regeneron shall be entitled to receive royalties under this Agreement based on Net Sales of Praluent Products sold by Sanofi’s or its Affiliates’ Sublicensees. Each Party shall notify the other Party within thirty (30) days of the grant of any sublicense or the appointment of any Sublicensee by such Party or its Affiliates or its or their Sublicensees pursuant to this Section 2.3. Each Party shall remain liable for any action or failure to act by its Affiliates, sublicensees (including Sublicensees), subcontractors or delegatees to whom such Party’s rights and obligations under this Agreement have been delegated, subcontracted or sublicensed and which action or failure to act would constitute a breach of this Agreement if such action or failure to act were committed by such Party.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1940" w:hanging="636"/>
        <w:spacing w:after="0"/>
        <w:tabs>
          <w:tab w:leader="none" w:pos="19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clarity, each Party may freely (sub)license any of its retained rights under Section 2.5 through one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multiple tiers.</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Limitations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Implied License</w:t>
      </w:r>
      <w:r>
        <w:rPr>
          <w:rFonts w:ascii="Arial" w:cs="Arial" w:eastAsia="Arial" w:hAnsi="Arial"/>
          <w:sz w:val="19"/>
          <w:szCs w:val="19"/>
          <w:color w:val="auto"/>
        </w:rPr>
        <w:t>. Except as expressly provided herein, neither Party will be deemed by this Agreement to have been granted any license or other rights in or to the other Party’s Patents, Know-How, Party Information or the other Party’s interest in the Joint Intellectual Property either expressly or by implication, estoppel or otherwise.</w:t>
      </w:r>
    </w:p>
    <w:p>
      <w:pPr>
        <w:spacing w:after="0" w:line="133" w:lineRule="exact"/>
        <w:rPr>
          <w:rFonts w:ascii="Arial" w:cs="Arial" w:eastAsia="Arial" w:hAnsi="Arial"/>
          <w:sz w:val="19"/>
          <w:szCs w:val="19"/>
          <w:color w:val="auto"/>
        </w:rPr>
      </w:pPr>
    </w:p>
    <w:p>
      <w:pPr>
        <w:jc w:val="both"/>
        <w:ind w:firstLine="1304"/>
        <w:spacing w:after="0" w:line="312"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Sequencing or Reverse Engineering</w:t>
      </w:r>
      <w:r>
        <w:rPr>
          <w:rFonts w:ascii="Arial" w:cs="Arial" w:eastAsia="Arial" w:hAnsi="Arial"/>
          <w:sz w:val="19"/>
          <w:szCs w:val="19"/>
          <w:color w:val="auto"/>
        </w:rPr>
        <w:t>. Sanofi shall not, and shall ensure that its Affiliates and its and their Sublicensees do not, reverse engineer any cell lines, media or feeds or any other proprietary materials in the Regeneron Manufacturing Know-How, including Regeneron Cell Media, Praluent Working Cell Bank or Praluent Master Cell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27" w:name="page128"/>
    <w:bookmarkEnd w:id="127"/>
    <w:p>
      <w:pPr>
        <w:ind w:left="980"/>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Retained Rights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0" w:lineRule="auto"/>
        <w:tabs>
          <w:tab w:leader="none" w:pos="1941" w:val="left"/>
        </w:tabs>
        <w:numPr>
          <w:ilvl w:val="0"/>
          <w:numId w:val="59"/>
        </w:numPr>
        <w:rPr>
          <w:rFonts w:ascii="Arial" w:cs="Arial" w:eastAsia="Arial" w:hAnsi="Arial"/>
          <w:sz w:val="21"/>
          <w:szCs w:val="21"/>
          <w:color w:val="auto"/>
        </w:rPr>
      </w:pPr>
      <w:r>
        <w:rPr>
          <w:rFonts w:ascii="Arial" w:cs="Arial" w:eastAsia="Arial" w:hAnsi="Arial"/>
          <w:sz w:val="21"/>
          <w:szCs w:val="21"/>
          <w:color w:val="auto"/>
        </w:rPr>
        <w:t>For the avoidance of doubt, Regeneron expressly reserves for itself and its Affiliates and its and their Third Party (sub)licensees under the Regeneron Core Intellectual Property, the Regeneron Background Intellectual Property and Regeneron’s interest in the Joint Intellectual Property the right to (i) fulfill its Manufacturing obligations under the Praluent Supply Agreements and (ii) Develop and Commercialize any product that is owned or controlled by Regeneron or any of its Affiliates for use with Praluent Products in the Sanofi Territory. For the further avoidance of doubt, Regeneron retains all rights in Regeneron Core Intellectual Property, Regeneron Background Intellectual Property and Regeneron’s interest in the Joint Intellectual Property not expressly licensed hereunder.</w:t>
      </w:r>
    </w:p>
    <w:p>
      <w:pPr>
        <w:spacing w:after="0" w:line="180" w:lineRule="exact"/>
        <w:rPr>
          <w:rFonts w:ascii="Arial" w:cs="Arial" w:eastAsia="Arial" w:hAnsi="Arial"/>
          <w:sz w:val="21"/>
          <w:szCs w:val="21"/>
          <w:color w:val="auto"/>
        </w:rPr>
      </w:pPr>
    </w:p>
    <w:p>
      <w:pPr>
        <w:jc w:val="both"/>
        <w:ind w:firstLine="1304"/>
        <w:spacing w:after="0" w:line="246" w:lineRule="auto"/>
        <w:tabs>
          <w:tab w:leader="none" w:pos="1939"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the avoidance of doubt, Sanofi expressly reserves for itself and its Affiliates and its and their Third Party (sub)licensees under the Sanofi Core Intellectual Property, the Sanofi Background Intellectual Property and Sanofi’s interest in the Joint Intellectual Property the right to (i) fulfill its Manufacturing obligations under the Praluent Supply Agreements and (ii) Develop and Commercialize any product that is owned or controlled by Sanofi or any of its Affiliates for use with Praluent Products in the Regeneron Territory. For the further avoidance of doubt, Sanofi retains all rights in Sanofi Core Intellectual Property, Sanofi Background Intellectual Property and Sanofi’s interest in the Joint Intellectual Property not expressly licensed hereunder.</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Limited Asset Transfer</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60"/>
        </w:numPr>
        <w:rPr>
          <w:rFonts w:ascii="Arial" w:cs="Arial" w:eastAsia="Arial" w:hAnsi="Arial"/>
          <w:sz w:val="19"/>
          <w:szCs w:val="19"/>
          <w:color w:val="auto"/>
        </w:rPr>
      </w:pPr>
      <w:r>
        <w:rPr>
          <w:rFonts w:ascii="Arial" w:cs="Arial" w:eastAsia="Arial" w:hAnsi="Arial"/>
          <w:sz w:val="19"/>
          <w:szCs w:val="19"/>
          <w:color w:val="auto"/>
        </w:rPr>
        <w:t>Sanofi shall, and shall cause its Affiliates to, and does hereby, assign to Regeneron all of its right, title and interest in and to, and transfer to Regeneron (or its designee), the Transferred U.S. Assets free and clear of any encumbrance, lien or claim of ownership of any Third Party. Without limiting the foregoing, the Parties shall commence the transfer of all Transferred U.S. Assets to Regeneron immediately after the Transition Date or such other time as may be specified in the schedules to the Praluent Transition Services Agreement or as the Parties may otherwise agree in writing with respect to certain Transferred U.S. Assets. For clarity, other than in respect of the Transferred Product Trademarks, this Agreement shall not vest in Regeneron ownership of, or result in any assignment or transfer by Sanofi or its Affiliates to Regeneron of, any rights, title or interest in and to any Patents, Know-How or other intellectual property rights owned or controlled by Sanofi or its Affiliates as of the Transition Date in respect of any Praluent Product, including the Sanofi Background Intellectual Property, Sanofi Core Intellectual Property and any interest of Sanofi in the Joint Intellectual Property, other than pursuant to the Sanofi license grants under Section 2.2 or the rights of reference granted by Sanofi under Section 6.2.</w:t>
      </w:r>
    </w:p>
    <w:p>
      <w:pPr>
        <w:spacing w:after="0" w:line="163"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From time to time after the transfer of the Transferred U.S. Assets to Regeneron in accordance with Section 2.6(a), and for no further consideration except as otherwise provided in the Praluent Transition Services Agreement, Sanofi shall, and shall (i) cause its Affiliates and (ii) use commercially reasonable efforts to cause applicable Third Parties to, execute, acknowledge and deliver such assignments, transfers, consents, assumptions and other documents and instruments and take such other actions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28" w:name="page129"/>
    <w:bookmarkEnd w:id="128"/>
    <w:p>
      <w:pPr>
        <w:ind w:right="20"/>
        <w:spacing w:after="0" w:line="263" w:lineRule="auto"/>
        <w:rPr>
          <w:sz w:val="20"/>
          <w:szCs w:val="20"/>
          <w:color w:val="auto"/>
        </w:rPr>
      </w:pPr>
      <w:r>
        <w:rPr>
          <w:rFonts w:ascii="Arial" w:cs="Arial" w:eastAsia="Arial" w:hAnsi="Arial"/>
          <w:sz w:val="22"/>
          <w:szCs w:val="22"/>
          <w:color w:val="auto"/>
        </w:rPr>
        <w:t>reasonably be requested by Regeneron to more effectively assign, convey or transfer to or vest in Regeneron and its designee(s), all right, title and interest in and to the Transferred U.S. Assets.</w:t>
      </w:r>
    </w:p>
    <w:p>
      <w:pPr>
        <w:spacing w:after="0" w:line="175" w:lineRule="exact"/>
        <w:rPr>
          <w:sz w:val="20"/>
          <w:szCs w:val="20"/>
          <w:color w:val="auto"/>
        </w:rPr>
      </w:pPr>
    </w:p>
    <w:p>
      <w:pPr>
        <w:ind w:left="1940" w:hanging="636"/>
        <w:spacing w:after="0"/>
        <w:tabs>
          <w:tab w:leader="none" w:pos="19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Maintenance of Transferred U.S. Assets Prior to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661" w:val="left"/>
        </w:tabs>
        <w:numPr>
          <w:ilvl w:val="1"/>
          <w:numId w:val="61"/>
        </w:numPr>
        <w:rPr>
          <w:rFonts w:ascii="Arial" w:cs="Arial" w:eastAsia="Arial" w:hAnsi="Arial"/>
          <w:sz w:val="22"/>
          <w:szCs w:val="22"/>
          <w:color w:val="auto"/>
        </w:rPr>
      </w:pPr>
      <w:r>
        <w:rPr>
          <w:rFonts w:ascii="Arial" w:cs="Arial" w:eastAsia="Arial" w:hAnsi="Arial"/>
          <w:sz w:val="22"/>
          <w:szCs w:val="22"/>
          <w:color w:val="auto"/>
        </w:rPr>
        <w:t>Except as may be required or prohibited by applicable Law or as may be required under any Ancillary Agreement, prior to the transfer of the applicable Transferred U.S. Asset to Regeneron, Sanofi shall, and shall cause its Affiliates and shall use commercially reasonable efforts to cause applicable Third Parties to:</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229" w:val="left"/>
        </w:tabs>
        <w:numPr>
          <w:ilvl w:val="2"/>
          <w:numId w:val="61"/>
        </w:numPr>
        <w:rPr>
          <w:rFonts w:ascii="Arial" w:cs="Arial" w:eastAsia="Arial" w:hAnsi="Arial"/>
          <w:sz w:val="22"/>
          <w:szCs w:val="22"/>
          <w:color w:val="auto"/>
        </w:rPr>
      </w:pPr>
      <w:r>
        <w:rPr>
          <w:rFonts w:ascii="Arial" w:cs="Arial" w:eastAsia="Arial" w:hAnsi="Arial"/>
          <w:sz w:val="22"/>
          <w:szCs w:val="22"/>
          <w:color w:val="auto"/>
        </w:rPr>
        <w:t>maintain each Transferred U.S. Asset until such time as such Transferred U.S. Asset is transferred to Regeneron pursuant to this Section 2.6, in each case, in substantially the same manner as maintained by or on behalf of Sanofi immediately prior to the Transition Date;</w:t>
      </w:r>
    </w:p>
    <w:p>
      <w:pPr>
        <w:spacing w:after="0" w:line="185" w:lineRule="exact"/>
        <w:rPr>
          <w:rFonts w:ascii="Arial" w:cs="Arial" w:eastAsia="Arial" w:hAnsi="Arial"/>
          <w:sz w:val="22"/>
          <w:szCs w:val="22"/>
          <w:color w:val="auto"/>
        </w:rPr>
      </w:pPr>
    </w:p>
    <w:p>
      <w:pPr>
        <w:ind w:firstLine="2600"/>
        <w:spacing w:after="0" w:line="343" w:lineRule="auto"/>
        <w:tabs>
          <w:tab w:leader="none" w:pos="3231" w:val="left"/>
        </w:tabs>
        <w:numPr>
          <w:ilvl w:val="2"/>
          <w:numId w:val="61"/>
        </w:numPr>
        <w:rPr>
          <w:rFonts w:ascii="Arial" w:cs="Arial" w:eastAsia="Arial" w:hAnsi="Arial"/>
          <w:sz w:val="19"/>
          <w:szCs w:val="19"/>
          <w:color w:val="auto"/>
        </w:rPr>
      </w:pPr>
      <w:r>
        <w:rPr>
          <w:rFonts w:ascii="Arial" w:cs="Arial" w:eastAsia="Arial" w:hAnsi="Arial"/>
          <w:sz w:val="19"/>
          <w:szCs w:val="19"/>
          <w:color w:val="auto"/>
        </w:rPr>
        <w:t>not take or omit to take any action that would reasonably be expected to have a materially adverse effect on any Transferred Approvals or any Regulatory Filings in the Transferred Regulatory Documentation;</w:t>
      </w:r>
    </w:p>
    <w:p>
      <w:pPr>
        <w:spacing w:after="0" w:line="104" w:lineRule="exact"/>
        <w:rPr>
          <w:rFonts w:ascii="Arial" w:cs="Arial" w:eastAsia="Arial" w:hAnsi="Arial"/>
          <w:sz w:val="19"/>
          <w:szCs w:val="19"/>
          <w:color w:val="auto"/>
        </w:rPr>
      </w:pPr>
    </w:p>
    <w:p>
      <w:pPr>
        <w:ind w:firstLine="2600"/>
        <w:spacing w:after="0" w:line="263" w:lineRule="auto"/>
        <w:tabs>
          <w:tab w:leader="none" w:pos="3231" w:val="left"/>
        </w:tabs>
        <w:numPr>
          <w:ilvl w:val="2"/>
          <w:numId w:val="61"/>
        </w:numPr>
        <w:rPr>
          <w:rFonts w:ascii="Arial" w:cs="Arial" w:eastAsia="Arial" w:hAnsi="Arial"/>
          <w:sz w:val="22"/>
          <w:szCs w:val="22"/>
          <w:color w:val="auto"/>
        </w:rPr>
      </w:pPr>
      <w:r>
        <w:rPr>
          <w:rFonts w:ascii="Arial" w:cs="Arial" w:eastAsia="Arial" w:hAnsi="Arial"/>
          <w:sz w:val="22"/>
          <w:szCs w:val="22"/>
          <w:color w:val="auto"/>
        </w:rPr>
        <w:t>not commence, compromise or settle any action, claim, action, suit, audit, assessment, arbitration or proceeding related to the Transferred U.S. Assets; and</w:t>
      </w:r>
    </w:p>
    <w:p>
      <w:pPr>
        <w:spacing w:after="0" w:line="174" w:lineRule="exact"/>
        <w:rPr>
          <w:rFonts w:ascii="Arial" w:cs="Arial" w:eastAsia="Arial" w:hAnsi="Arial"/>
          <w:sz w:val="22"/>
          <w:szCs w:val="22"/>
          <w:color w:val="auto"/>
        </w:rPr>
      </w:pPr>
    </w:p>
    <w:p>
      <w:pPr>
        <w:ind w:firstLine="2600"/>
        <w:spacing w:after="0" w:line="343" w:lineRule="auto"/>
        <w:tabs>
          <w:tab w:leader="none" w:pos="3229" w:val="left"/>
        </w:tabs>
        <w:numPr>
          <w:ilvl w:val="2"/>
          <w:numId w:val="61"/>
        </w:numPr>
        <w:rPr>
          <w:rFonts w:ascii="Arial" w:cs="Arial" w:eastAsia="Arial" w:hAnsi="Arial"/>
          <w:sz w:val="19"/>
          <w:szCs w:val="19"/>
          <w:color w:val="auto"/>
        </w:rPr>
      </w:pPr>
      <w:r>
        <w:rPr>
          <w:rFonts w:ascii="Arial" w:cs="Arial" w:eastAsia="Arial" w:hAnsi="Arial"/>
          <w:sz w:val="19"/>
          <w:szCs w:val="19"/>
          <w:color w:val="auto"/>
        </w:rPr>
        <w:t>not enter into any agreements, make any commitments or make any offer (in writing or otherwise) to take any of the actions described in this Section 2.6(c), except as may be agreed to in writing by the Parties.</w:t>
      </w:r>
    </w:p>
    <w:p>
      <w:pPr>
        <w:spacing w:after="0" w:line="104" w:lineRule="exact"/>
        <w:rPr>
          <w:rFonts w:ascii="Arial" w:cs="Arial" w:eastAsia="Arial" w:hAnsi="Arial"/>
          <w:sz w:val="19"/>
          <w:szCs w:val="19"/>
          <w:color w:val="auto"/>
        </w:rPr>
      </w:pPr>
    </w:p>
    <w:p>
      <w:pPr>
        <w:jc w:val="both"/>
        <w:ind w:firstLine="1952"/>
        <w:spacing w:after="0" w:line="292" w:lineRule="auto"/>
        <w:tabs>
          <w:tab w:leader="none" w:pos="26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2.6(c)(i), Sanofi may, and may cause its Affiliates and applicable Third Parties to, take reasonable actions in compliance with applicable Laws or, to the extent consistent with Sanofi’s actions in respect of its business generally, as necessary to respond to operational emergencies (including any measures in response to any Force Majeure event) or immediate and material threats to the health or safety of natural Persons or the overall economic stability of the businesses of Sanofi, its Affiliates or such applicable Third Parties, as the case may be, provided that such actions taken in respect of such emergencies, events or threats shall not relieve Sanofi of its obligations under Section 2.6(c)(i) for any longer time than is necessary in light of such emergencies, events or threats.</w:t>
      </w:r>
    </w:p>
    <w:p>
      <w:pPr>
        <w:spacing w:after="0" w:line="150" w:lineRule="exact"/>
        <w:rPr>
          <w:rFonts w:ascii="Arial" w:cs="Arial" w:eastAsia="Arial" w:hAnsi="Arial"/>
          <w:sz w:val="19"/>
          <w:szCs w:val="19"/>
          <w:color w:val="auto"/>
        </w:rPr>
      </w:pPr>
    </w:p>
    <w:p>
      <w:pPr>
        <w:jc w:val="both"/>
        <w:ind w:firstLine="1304"/>
        <w:spacing w:after="0" w:line="294" w:lineRule="auto"/>
        <w:tabs>
          <w:tab w:leader="none" w:pos="193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Wrong Pockets</w:t>
      </w:r>
      <w:r>
        <w:rPr>
          <w:rFonts w:ascii="Arial" w:cs="Arial" w:eastAsia="Arial" w:hAnsi="Arial"/>
          <w:sz w:val="19"/>
          <w:szCs w:val="19"/>
          <w:color w:val="auto"/>
        </w:rPr>
        <w:t>. If either Regeneron or Sanofi becomes aware that (i) any of the Transferred U.S. Assets has not been transferred to Regeneron or (ii) any right, record or other asset owned by Sanofi or any of its Affiliates, including any contract, Trademark, Approval, Domain Name, physical inventory, or Regulatory Filing (for clarity, other than any Patents, Know-How or Copyrights) that (A) exclusively relates to the Existing Praluent Product in the Regeneron Territory, (B) is not contained in the Transferred U.S. Assets and (C) is not otherwise transferred hereunder or under any Ancillary Agreements, in each case ((i) and (ii)) it shall promptly notify the other Party in writing and the Parties shall, as soon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288" w:lineRule="auto"/>
        <w:rPr>
          <w:sz w:val="20"/>
          <w:szCs w:val="20"/>
          <w:color w:val="auto"/>
        </w:rPr>
      </w:pPr>
      <w:r>
        <w:rPr>
          <w:rFonts w:ascii="Arial" w:cs="Arial" w:eastAsia="Arial" w:hAnsi="Arial"/>
          <w:sz w:val="19"/>
          <w:szCs w:val="19"/>
          <w:color w:val="auto"/>
        </w:rPr>
        <w:t>practicable, take all actions reasonably necessary to ensure that such right, asset or record is assigned and transferred, with any reasonably necessary prior Third Party consent or approval, to Regeneron. Without limiting the foregoing, if either Regeneron or Sanofi becomes aware that any right, record or other asset owned or Controlled by Sanofi or any of its Affiliates that relates (but does not exclusively relate) to the Existing Praluent Product in the Regeneron Territory and has not otherwise been transferred or made available to Regeneron, it shall notify the other Party in writing and the Parties shall take all actions reasonably necessary to provide Regeneron with the benefit of such right, record or other asset to the extent necessary for the U.S. Praluent Product Business and Sanofi shall provide Regeneron a copy of such record, which may be redacted as necessary to remove information that does not relate to the Existing Praluent Product in the Regeneron Territory. Notwithstanding anything to the contrary in this Agreement, this Section 2.6(d) sets forth Regeneron’s sole and exclusive remedy for Sanofi’s inadvertent failure to identify or transfer any Transferred U.S. Asset to Regeneron under this Section 2.6.</w:t>
      </w:r>
    </w:p>
    <w:p>
      <w:pPr>
        <w:spacing w:after="0" w:line="159"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Transition Costs</w:t>
      </w:r>
      <w:r>
        <w:rPr>
          <w:rFonts w:ascii="Arial" w:cs="Arial" w:eastAsia="Arial" w:hAnsi="Arial"/>
          <w:sz w:val="22"/>
          <w:szCs w:val="22"/>
          <w:color w:val="auto"/>
        </w:rPr>
        <w:t>. Except as expressly set forth in the Praluent Transition Services Agreement, each Party shall bear its own costs and expenses incurred in connection with its or its vendors’ and collaborators’ transition of activities (including any necessary termination of any agreement between such Party or any of its Affiliates and a Third Party relating to the Commercialization of the Praluent Products in the Regeneron Territory) and responsibilities pursuant to this Agreement and the schedules to the Praluent Transition Services Agreement.</w:t>
      </w:r>
    </w:p>
    <w:p>
      <w:pPr>
        <w:spacing w:after="0" w:line="192"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Certain Contract Services</w:t>
      </w:r>
      <w:r>
        <w:rPr>
          <w:rFonts w:ascii="Arial" w:cs="Arial" w:eastAsia="Arial" w:hAnsi="Arial"/>
          <w:sz w:val="22"/>
          <w:szCs w:val="22"/>
          <w:color w:val="auto"/>
        </w:rPr>
        <w:t>. On the request of either Party, the Parties shall negotiate in good faith the terms of one or more commercial services agreements (each, a “</w:t>
      </w:r>
      <w:r>
        <w:rPr>
          <w:rFonts w:ascii="Arial" w:cs="Arial" w:eastAsia="Arial" w:hAnsi="Arial"/>
          <w:sz w:val="22"/>
          <w:szCs w:val="22"/>
          <w:u w:val="single" w:color="auto"/>
          <w:color w:val="auto"/>
        </w:rPr>
        <w:t>Praluent Services Agreement</w:t>
      </w:r>
      <w:r>
        <w:rPr>
          <w:rFonts w:ascii="Arial" w:cs="Arial" w:eastAsia="Arial" w:hAnsi="Arial"/>
          <w:sz w:val="22"/>
          <w:szCs w:val="22"/>
          <w:color w:val="auto"/>
        </w:rPr>
        <w:t>”) pursuant to which a Party may, to the extent provided for under this Agreement, perform certain services for the other Party with respect to the Praluent Products, including Regeneron providing the bioanalytical testing services contemplated in Section 4.7 or a Party conducting certain Other Existing Trials for the other Party. The Parties’ FTE-based costs and Out-of-Pocket Costs in connection with any such services shall be [* *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ALLIANCE MANAGEMENT AND JOINT PRALUENT COMMITTEE</w:t>
      </w:r>
    </w:p>
    <w:p>
      <w:pPr>
        <w:spacing w:after="0" w:line="202"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Alliance Management</w:t>
      </w:r>
      <w:r>
        <w:rPr>
          <w:rFonts w:ascii="Arial" w:cs="Arial" w:eastAsia="Arial" w:hAnsi="Arial"/>
          <w:sz w:val="22"/>
          <w:szCs w:val="22"/>
          <w:color w:val="auto"/>
        </w:rPr>
        <w:t>. Each of the Parties shall appoint a single individual to act as a single point of contact between the Parties for matters requiring coordination under this Agreement (each, an “</w:t>
      </w:r>
      <w:r>
        <w:rPr>
          <w:rFonts w:ascii="Arial" w:cs="Arial" w:eastAsia="Arial" w:hAnsi="Arial"/>
          <w:sz w:val="22"/>
          <w:szCs w:val="22"/>
          <w:u w:val="single" w:color="auto"/>
          <w:color w:val="auto"/>
        </w:rPr>
        <w:t>Alliance Manager</w:t>
      </w:r>
      <w:r>
        <w:rPr>
          <w:rFonts w:ascii="Arial" w:cs="Arial" w:eastAsia="Arial" w:hAnsi="Arial"/>
          <w:sz w:val="22"/>
          <w:szCs w:val="22"/>
          <w:color w:val="auto"/>
        </w:rPr>
        <w:t>”) during the Royalty Term. The Alliance Managers: (a) will be the point of first referral in all matters of conflict resolution with respect to this Agreement; (b) will identify and bring issues and potential disputes to the attention of the Parties’ in a timely manner; (c) will work together to manage and facilitate communication between the Parties under this Agreement; and (d) shall have such other responsibilities as the Parties may agree in writing. A Party may replace the individual serving as its Alliance Manager at any time by notice in writing to the other Party. The Alliance Managers shall not have final decision-making authority with respect to any matter under this Agreement.</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Joint Praluent Committee</w:t>
      </w:r>
      <w:r>
        <w:rPr>
          <w:rFonts w:ascii="Arial" w:cs="Arial" w:eastAsia="Arial" w:hAnsi="Arial"/>
          <w:sz w:val="19"/>
          <w:szCs w:val="19"/>
          <w:color w:val="auto"/>
        </w:rPr>
        <w:t>. Within thirty (30) days after the Execution Date, the Parties shall establish a joint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Praluent committee (the “</w:t>
      </w:r>
      <w:r>
        <w:rPr>
          <w:rFonts w:ascii="Arial" w:cs="Arial" w:eastAsia="Arial" w:hAnsi="Arial"/>
          <w:sz w:val="22"/>
          <w:szCs w:val="22"/>
          <w:u w:val="single" w:color="auto"/>
          <w:color w:val="auto"/>
        </w:rPr>
        <w:t>Joint Praluent Committee</w:t>
      </w:r>
      <w:r>
        <w:rPr>
          <w:rFonts w:ascii="Arial" w:cs="Arial" w:eastAsia="Arial" w:hAnsi="Arial"/>
          <w:sz w:val="22"/>
          <w:szCs w:val="22"/>
          <w:color w:val="auto"/>
        </w:rPr>
        <w:t>” or “</w:t>
      </w:r>
      <w:r>
        <w:rPr>
          <w:rFonts w:ascii="Arial" w:cs="Arial" w:eastAsia="Arial" w:hAnsi="Arial"/>
          <w:sz w:val="22"/>
          <w:szCs w:val="22"/>
          <w:u w:val="single" w:color="auto"/>
          <w:color w:val="auto"/>
        </w:rPr>
        <w:t>JPC</w:t>
      </w:r>
      <w:r>
        <w:rPr>
          <w:rFonts w:ascii="Arial" w:cs="Arial" w:eastAsia="Arial" w:hAnsi="Arial"/>
          <w:sz w:val="22"/>
          <w:szCs w:val="22"/>
          <w:color w:val="auto"/>
        </w:rPr>
        <w:t>”), which shall have the following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30" w:name="page131"/>
    <w:bookmarkEnd w:id="130"/>
    <w:p>
      <w:pPr>
        <w:ind w:firstLine="1304"/>
        <w:spacing w:after="0" w:line="263" w:lineRule="auto"/>
        <w:tabs>
          <w:tab w:leader="none" w:pos="1941" w:val="left"/>
        </w:tabs>
        <w:numPr>
          <w:ilvl w:val="0"/>
          <w:numId w:val="62"/>
        </w:numPr>
        <w:rPr>
          <w:rFonts w:ascii="Arial" w:cs="Arial" w:eastAsia="Arial" w:hAnsi="Arial"/>
          <w:sz w:val="22"/>
          <w:szCs w:val="22"/>
          <w:color w:val="auto"/>
        </w:rPr>
      </w:pPr>
      <w:r>
        <w:rPr>
          <w:rFonts w:ascii="Arial" w:cs="Arial" w:eastAsia="Arial" w:hAnsi="Arial"/>
          <w:sz w:val="22"/>
          <w:szCs w:val="22"/>
          <w:color w:val="auto"/>
        </w:rPr>
        <w:t>overseeing the performance of the Global Clinical Trials and serving as a forum for the Parties to discuss matters with respect thereto;</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serving as a forum for the Parties to exchange and discuss Existing Trials Information;</w:t>
      </w:r>
    </w:p>
    <w:p>
      <w:pPr>
        <w:spacing w:after="0" w:line="219" w:lineRule="exact"/>
        <w:rPr>
          <w:rFonts w:ascii="Arial" w:cs="Arial" w:eastAsia="Arial" w:hAnsi="Arial"/>
          <w:sz w:val="22"/>
          <w:szCs w:val="22"/>
          <w:color w:val="auto"/>
        </w:rPr>
      </w:pPr>
    </w:p>
    <w:p>
      <w:pPr>
        <w:ind w:firstLine="1304"/>
        <w:spacing w:after="0" w:line="263" w:lineRule="auto"/>
        <w:tabs>
          <w:tab w:leader="none" w:pos="1941"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serving as a forum for the Parties to provide the clinical trial and Commercialization updates contemplated by Section 4.8 and Section 5.3, respectively; and</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62"/>
        </w:numPr>
        <w:rPr>
          <w:rFonts w:ascii="Arial" w:cs="Arial" w:eastAsia="Arial" w:hAnsi="Arial"/>
          <w:sz w:val="22"/>
          <w:szCs w:val="22"/>
          <w:color w:val="auto"/>
        </w:rPr>
      </w:pPr>
      <w:r>
        <w:rPr>
          <w:rFonts w:ascii="Arial" w:cs="Arial" w:eastAsia="Arial" w:hAnsi="Arial"/>
          <w:sz w:val="22"/>
          <w:szCs w:val="22"/>
          <w:color w:val="auto"/>
        </w:rPr>
        <w:t>performing such other functions as are set forth herein or as the Parties may mutually agree in writing, except where in conflict with any provision of this Agreement.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Composition; Meetings; Disbandment; Limitations on Authority</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Composition</w:t>
      </w:r>
      <w:r>
        <w:rPr>
          <w:rFonts w:ascii="Arial" w:cs="Arial" w:eastAsia="Arial" w:hAnsi="Arial"/>
          <w:sz w:val="22"/>
          <w:szCs w:val="22"/>
          <w:color w:val="auto"/>
        </w:rPr>
        <w:t>. The JPC shall be comprised of three (3) representatives from each of Sanofi and Regeneron or such other number of representatives from each Party as the Parties may agree from time to time, provided that the Parties shall provide an equal number of representatives. A Party may change any of its representatives at any time by giving written notice to the other Party.</w:t>
      </w:r>
    </w:p>
    <w:p>
      <w:pPr>
        <w:spacing w:after="0" w:line="187" w:lineRule="exact"/>
        <w:rPr>
          <w:rFonts w:ascii="Arial" w:cs="Arial" w:eastAsia="Arial" w:hAnsi="Arial"/>
          <w:sz w:val="22"/>
          <w:szCs w:val="22"/>
          <w:color w:val="auto"/>
        </w:rPr>
      </w:pPr>
    </w:p>
    <w:p>
      <w:pPr>
        <w:jc w:val="both"/>
        <w:ind w:firstLine="1304"/>
        <w:spacing w:after="0" w:line="284" w:lineRule="auto"/>
        <w:tabs>
          <w:tab w:leader="none" w:pos="1939"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Meetings</w:t>
      </w:r>
      <w:r>
        <w:rPr>
          <w:rFonts w:ascii="Arial" w:cs="Arial" w:eastAsia="Arial" w:hAnsi="Arial"/>
          <w:sz w:val="19"/>
          <w:szCs w:val="19"/>
          <w:color w:val="auto"/>
        </w:rPr>
        <w:t>. The JPC shall meet whenever any Alliance Manager shall make such a request in writing to the other Party; provided, however, that the JPC shall in no event meet less frequently than (i) once every [* * *] while any of the Global Clinical Trials is ongoing or (ii) thereafter, once per Calendar Year or with such other frequency as may be agreed by the Parties. Each Party shall be responsible for all of its own costs and expenses of participating in the JPC. Subject to appropriate confidentiality undertakings where applicable, additional participants may be invited by any member of the JPC to attend meetings where appropriate (e.g., representatives of industrial affairs, regulatory affairs or outside consultants). The Alliance Managers shall (A) set meeting agendas, provided that the agenda shall include any matter reasonably requested by either Party,</w:t>
      </w:r>
    </w:p>
    <w:p>
      <w:pPr>
        <w:spacing w:after="0" w:line="3" w:lineRule="exact"/>
        <w:rPr>
          <w:rFonts w:ascii="Arial" w:cs="Arial" w:eastAsia="Arial" w:hAnsi="Arial"/>
          <w:sz w:val="19"/>
          <w:szCs w:val="19"/>
          <w:color w:val="auto"/>
        </w:rPr>
      </w:pPr>
    </w:p>
    <w:p>
      <w:pPr>
        <w:ind w:right="20" w:firstLine="8"/>
        <w:spacing w:after="0" w:line="246" w:lineRule="auto"/>
        <w:tabs>
          <w:tab w:leader="none" w:pos="359" w:val="left"/>
        </w:tabs>
        <w:numPr>
          <w:ilvl w:val="0"/>
          <w:numId w:val="64"/>
        </w:numPr>
        <w:rPr>
          <w:rFonts w:ascii="Arial" w:cs="Arial" w:eastAsia="Arial" w:hAnsi="Arial"/>
          <w:sz w:val="22"/>
          <w:szCs w:val="22"/>
          <w:color w:val="auto"/>
        </w:rPr>
      </w:pPr>
      <w:r>
        <w:rPr>
          <w:rFonts w:ascii="Arial" w:cs="Arial" w:eastAsia="Arial" w:hAnsi="Arial"/>
          <w:sz w:val="22"/>
          <w:szCs w:val="22"/>
          <w:color w:val="auto"/>
        </w:rPr>
        <w:t>call emergency meetings of the JPC at the request of a Party and (C) be responsible for recording, preparing and, within a reasonable time, issuing minutes of the JPC meetings.</w:t>
      </w:r>
    </w:p>
    <w:p>
      <w:pPr>
        <w:spacing w:after="0" w:line="192" w:lineRule="exact"/>
        <w:rPr>
          <w:rFonts w:ascii="Arial" w:cs="Arial" w:eastAsia="Arial" w:hAnsi="Arial"/>
          <w:sz w:val="22"/>
          <w:szCs w:val="22"/>
          <w:color w:val="auto"/>
        </w:rPr>
      </w:pPr>
    </w:p>
    <w:p>
      <w:pPr>
        <w:jc w:val="both"/>
        <w:ind w:firstLine="1304"/>
        <w:spacing w:after="0" w:line="302" w:lineRule="auto"/>
        <w:tabs>
          <w:tab w:leader="none" w:pos="1941"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Disbandment</w:t>
      </w:r>
      <w:r>
        <w:rPr>
          <w:rFonts w:ascii="Arial" w:cs="Arial" w:eastAsia="Arial" w:hAnsi="Arial"/>
          <w:sz w:val="19"/>
          <w:szCs w:val="19"/>
          <w:color w:val="auto"/>
        </w:rPr>
        <w:t>. Upon completion of all activities in connection with Global Clinical Trials, either Party shall have the right to request that the other Party consent to the disbandment of the JPC, such consent not to be unreasonably withheld, conditioned or delayed. Following disbandment of the JPC, any coordination activities or updates between the Parties will be supervised and handled through the Alliance Managers through appropriate written reports or other materials.</w:t>
      </w:r>
    </w:p>
    <w:p>
      <w:pPr>
        <w:spacing w:after="0" w:line="142" w:lineRule="exact"/>
        <w:rPr>
          <w:rFonts w:ascii="Arial" w:cs="Arial" w:eastAsia="Arial" w:hAnsi="Arial"/>
          <w:sz w:val="19"/>
          <w:szCs w:val="19"/>
          <w:color w:val="auto"/>
        </w:rPr>
      </w:pPr>
    </w:p>
    <w:p>
      <w:pPr>
        <w:jc w:val="both"/>
        <w:ind w:firstLine="1304"/>
        <w:spacing w:after="0" w:line="248" w:lineRule="auto"/>
        <w:tabs>
          <w:tab w:leader="none" w:pos="193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Limitations on Authority</w:t>
      </w:r>
      <w:r>
        <w:rPr>
          <w:rFonts w:ascii="Arial" w:cs="Arial" w:eastAsia="Arial" w:hAnsi="Arial"/>
          <w:sz w:val="22"/>
          <w:szCs w:val="22"/>
          <w:color w:val="auto"/>
        </w:rPr>
        <w:t>. The JPC shall be a consultative body and shall not have any independent decision-making authority. Without limiting the generality of the foregoing, the JPC shall not have any authority to: (i) amend, modify, or waive compliance with this Agreement or any Ancillary Agreements, any of which shall require mutual written agreement of the Parties; (ii) interpret this Agreement or any Ancillary Agreement, or determine whether or not a Party has met its obligations under this Agreement or any Ancillary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31" w:name="page132"/>
    <w:bookmarkEnd w:id="131"/>
    <w:p>
      <w:pPr>
        <w:jc w:val="both"/>
        <w:ind w:right="20"/>
        <w:spacing w:after="0" w:line="263" w:lineRule="auto"/>
        <w:rPr>
          <w:sz w:val="20"/>
          <w:szCs w:val="20"/>
          <w:color w:val="auto"/>
        </w:rPr>
      </w:pPr>
      <w:r>
        <w:rPr>
          <w:rFonts w:ascii="Arial" w:cs="Arial" w:eastAsia="Arial" w:hAnsi="Arial"/>
          <w:sz w:val="22"/>
          <w:szCs w:val="22"/>
          <w:color w:val="auto"/>
        </w:rPr>
        <w:t>or whether or not a breach of this Agreement or any Ancillary Agreement has occurred; or (iii) require either Party to pay, or otherwise expend resources on any Development, Manufacturing or Commercialization activities.</w:t>
      </w:r>
    </w:p>
    <w:p>
      <w:pPr>
        <w:spacing w:after="0" w:line="175"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Cooperation Generally</w:t>
      </w:r>
      <w:r>
        <w:rPr>
          <w:rFonts w:ascii="Arial" w:cs="Arial" w:eastAsia="Arial" w:hAnsi="Arial"/>
          <w:sz w:val="19"/>
          <w:szCs w:val="19"/>
          <w:color w:val="auto"/>
        </w:rPr>
        <w:t>. As long as a Party, its Affiliates or its or their Sublicensees Develop, Manufacture or Commercialize the Praluent Compound or any Praluent Product, such Party shall cooperate in good faith and timely answer any reasonable request for information, or reasonable solicitation, by the other Party in connection with such first Party’s Development, Manufacturing or Commercialization activities, either through or outside the Joint Praluent Committee, including after the disbandment thereof, to the extent that such request or solicitation reasonably relates to (a) if the requesting Party is Regeneron, the U.S. Praluent Product Business or (b) if the requesting Party is Sanofi, the ROW Praluent Product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0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Development of Praluent Products</w:t>
      </w:r>
      <w:r>
        <w:rPr>
          <w:rFonts w:ascii="Arial" w:cs="Arial" w:eastAsia="Arial" w:hAnsi="Arial"/>
          <w:sz w:val="21"/>
          <w:szCs w:val="21"/>
          <w:color w:val="auto"/>
        </w:rPr>
        <w:t>. Subject to the terms and conditions of this Agreement and the Praluent Transition Services Agreement and the Praluent Pharmacovigilance Transition Services Agreement, other than the Global Clinical Trials or as set forth for the Other Existing Trials on Schedule 4.3, each Party shall be solely responsible and have decision-making authority for all aspects of the Development of the Praluent Products undertaken in connection with (a) if such Party is Regeneron, the U.S. Praluent Product Business or (b) if such Party is Sanofi, the ROW Praluent Product Business, and shall bear all costs and expenses related thereto. Without limiting either Party’s obligations under any Safety Data Exchange Agreement contemplated by Section 6.4 that is then in effect, and other than with respect to Global Clinical Trials pursuant to Section 4.2, neither Party shall have the obligation to pursue the Development of any Praluent Product in its Territory and may discontinue such Development at its sole discretion.</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Global Clinical Trials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2" w:lineRule="auto"/>
        <w:tabs>
          <w:tab w:leader="none" w:pos="1941" w:val="left"/>
        </w:tabs>
        <w:numPr>
          <w:ilvl w:val="0"/>
          <w:numId w:val="65"/>
        </w:numPr>
        <w:rPr>
          <w:rFonts w:ascii="Arial" w:cs="Arial" w:eastAsia="Arial" w:hAnsi="Arial"/>
          <w:sz w:val="19"/>
          <w:szCs w:val="19"/>
          <w:color w:val="auto"/>
        </w:rPr>
      </w:pPr>
      <w:r>
        <w:rPr>
          <w:rFonts w:ascii="Arial" w:cs="Arial" w:eastAsia="Arial" w:hAnsi="Arial"/>
          <w:sz w:val="19"/>
          <w:szCs w:val="19"/>
          <w:color w:val="auto"/>
        </w:rPr>
        <w:t>Schedule 4.2(a) lists the global clinical trials ongoing as of the Transition Date that the Parties shall jointly complete (the “</w:t>
      </w:r>
      <w:r>
        <w:rPr>
          <w:rFonts w:ascii="Arial" w:cs="Arial" w:eastAsia="Arial" w:hAnsi="Arial"/>
          <w:sz w:val="19"/>
          <w:szCs w:val="19"/>
          <w:u w:val="single" w:color="auto"/>
          <w:color w:val="auto"/>
        </w:rPr>
        <w:t>Global Clinical Trials</w:t>
      </w:r>
      <w:r>
        <w:rPr>
          <w:rFonts w:ascii="Arial" w:cs="Arial" w:eastAsia="Arial" w:hAnsi="Arial"/>
          <w:sz w:val="19"/>
          <w:szCs w:val="19"/>
          <w:color w:val="auto"/>
        </w:rPr>
        <w:t>”) in accordance with any applicable Global Development Plans (as defined under the LCA) in effect under the LCA immediately prior to the Transition Date. Each Party shall use commercially reasonable efforts to carry out the Development activities assigned to it under such Global Development Plans in connection with such Global Clinical Trials in a timely manner and conduct all such activities in compliance with applicable Laws, including Good Practices, and applicable protocols and budgets for such Global Clinical Trials as in effect as of immediately prior to the Transition Date. Amendments to any such Global Development Plan or Global Clinical Trial protocol or budget shall [* * *].</w:t>
      </w:r>
    </w:p>
    <w:p>
      <w:pPr>
        <w:spacing w:after="0" w:line="150" w:lineRule="exact"/>
        <w:rPr>
          <w:rFonts w:ascii="Arial" w:cs="Arial" w:eastAsia="Arial" w:hAnsi="Arial"/>
          <w:sz w:val="19"/>
          <w:szCs w:val="19"/>
          <w:color w:val="auto"/>
        </w:rPr>
      </w:pPr>
    </w:p>
    <w:p>
      <w:pPr>
        <w:jc w:val="both"/>
        <w:ind w:firstLine="1304"/>
        <w:spacing w:after="0" w:line="265" w:lineRule="auto"/>
        <w:tabs>
          <w:tab w:leader="none" w:pos="1939"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Parties agree to share Global Trial Costs incurred by or on behalf of either Party in connection with the Global Clinical Trials after the Transition Date on a [* * *] basis such that the owing Party will pay such amounts to the other Party so that, after such payment, each Party has incurred its share of the Global Trial Costs for the considered period. Within twenty (20) days following the end of each Calendar Quarter during which a Party incurs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any Global Trial Costs in connection with a Global Clinical Trial, such Party shall deliver to the other Party an estimate of such Global Trial Costs. Within thirty (30) days following the end of each Calendar Quarter during which a Party incurs any Global Trial Costs in connection with a Global Clinical Trial, such Party shall deliver to the other Party a report providing detail in respect of such Global Trial Costs sufficient to enable the other Party to verify the amount of such Global Trial Costs (a “</w:t>
      </w:r>
      <w:r>
        <w:rPr>
          <w:rFonts w:ascii="Arial" w:cs="Arial" w:eastAsia="Arial" w:hAnsi="Arial"/>
          <w:sz w:val="22"/>
          <w:szCs w:val="22"/>
          <w:u w:val="single" w:color="auto"/>
          <w:color w:val="auto"/>
        </w:rPr>
        <w:t>Global</w:t>
      </w:r>
      <w:r>
        <w:rPr>
          <w:rFonts w:ascii="Arial" w:cs="Arial" w:eastAsia="Arial" w:hAnsi="Arial"/>
          <w:sz w:val="22"/>
          <w:szCs w:val="22"/>
          <w:color w:val="auto"/>
        </w:rPr>
        <w:t xml:space="preserve"> </w:t>
      </w:r>
      <w:r>
        <w:rPr>
          <w:rFonts w:ascii="Arial" w:cs="Arial" w:eastAsia="Arial" w:hAnsi="Arial"/>
          <w:sz w:val="22"/>
          <w:szCs w:val="22"/>
          <w:u w:val="single" w:color="auto"/>
          <w:color w:val="auto"/>
        </w:rPr>
        <w:t>Trial Cost Report</w:t>
      </w:r>
      <w:r>
        <w:rPr>
          <w:rFonts w:ascii="Arial" w:cs="Arial" w:eastAsia="Arial" w:hAnsi="Arial"/>
          <w:sz w:val="22"/>
          <w:szCs w:val="22"/>
          <w:color w:val="auto"/>
        </w:rPr>
        <w:t>”).</w:t>
      </w:r>
    </w:p>
    <w:p>
      <w:pPr>
        <w:spacing w:after="0" w:line="192" w:lineRule="exact"/>
        <w:rPr>
          <w:sz w:val="20"/>
          <w:szCs w:val="20"/>
          <w:color w:val="auto"/>
        </w:rPr>
      </w:pPr>
    </w:p>
    <w:p>
      <w:pPr>
        <w:jc w:val="both"/>
        <w:ind w:firstLine="1304"/>
        <w:spacing w:after="0" w:line="248" w:lineRule="auto"/>
        <w:tabs>
          <w:tab w:leader="none" w:pos="1941" w:val="left"/>
        </w:tabs>
        <w:numPr>
          <w:ilvl w:val="0"/>
          <w:numId w:val="66"/>
        </w:numPr>
        <w:rPr>
          <w:rFonts w:ascii="Arial" w:cs="Arial" w:eastAsia="Arial" w:hAnsi="Arial"/>
          <w:sz w:val="22"/>
          <w:szCs w:val="22"/>
          <w:color w:val="auto"/>
        </w:rPr>
      </w:pPr>
      <w:r>
        <w:rPr>
          <w:rFonts w:ascii="Arial" w:cs="Arial" w:eastAsia="Arial" w:hAnsi="Arial"/>
          <w:sz w:val="22"/>
          <w:szCs w:val="22"/>
          <w:color w:val="auto"/>
        </w:rPr>
        <w:t>Based on the applicable Global Trial Cost Report, the Party having a credit over the other Party shall submit an invoice to such other Party for the total amount that such other Party is obligated, pursuant to Section 4.2(b), to pay to such Party in respect of the Global Trial Costs reflected in such Global Trial Cost Report, and such other Party shall pay such invoice no later than forty-five (45) days after receipt thereof. Each such payment shall be subject to the provisions of Section 8.7 through Section 8.12.</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Other Existing Trials</w:t>
      </w:r>
      <w:r>
        <w:rPr>
          <w:rFonts w:ascii="Arial" w:cs="Arial" w:eastAsia="Arial" w:hAnsi="Arial"/>
          <w:sz w:val="19"/>
          <w:szCs w:val="19"/>
          <w:color w:val="auto"/>
        </w:rPr>
        <w:t>. Schedule 4.3 sets forth, for each Other Existing Trial that is active as of the Transition Date,</w:t>
      </w:r>
    </w:p>
    <w:p>
      <w:pPr>
        <w:spacing w:after="0" w:line="56" w:lineRule="exact"/>
        <w:rPr>
          <w:sz w:val="20"/>
          <w:szCs w:val="20"/>
          <w:color w:val="auto"/>
        </w:rPr>
      </w:pPr>
    </w:p>
    <w:p>
      <w:pPr>
        <w:jc w:val="both"/>
        <w:ind w:firstLine="8"/>
        <w:spacing w:after="0" w:line="285" w:lineRule="auto"/>
        <w:tabs>
          <w:tab w:leader="none" w:pos="317"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whether such Other Existing Trial shall be continued following the Transition Date or wound-down, (b) which Party shall have the right or responsibility to continue or wind-down, as applicable, such Other Existing Trial, (c) the allocation between the Parties of any costs and expenses with respect to the activities described in clause (b) and (d) whether sponsorship of such Other Existing Trial will be transferred from one Party to the other Party. Each Party shall conduct its activities, if any, with respect to each Other Existing Trial set forth in Schedule 4.3 in accordance with applicable Law and, in the case of any Other Existing Trial that is to be wound-down, with due regard for patient safety and the rights of any subjects that are participants in such Other Existing Trial. Except as otherwise set forth on Schedule 4.3 with respect to allocation of applicable costs and expenses, for any Other Existing Trial in respect of which a Party continues to perform activities on behalf of the other Party after the Transition Date, the terms and conditions set forth in Sections 4.2(b) and 4.2(c)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reporting and payment of FTE-based costs by one Party to the other Party in respect of such Other Existing Trial. For any Other Existing Trial for which sponsorship is, as set forth in Schedule 4.3, to be transferred from one Party to the other Party, each Party shall, at its own cost and expense, reasonably cooperate with the other Party in order to effect such transfer, including to notify the relevant hospital authority that such sponsorship has changed.</w:t>
      </w:r>
    </w:p>
    <w:p>
      <w:pPr>
        <w:spacing w:after="0" w:line="200" w:lineRule="exact"/>
        <w:rPr>
          <w:sz w:val="20"/>
          <w:szCs w:val="20"/>
          <w:color w:val="auto"/>
        </w:rPr>
      </w:pPr>
    </w:p>
    <w:p>
      <w:pPr>
        <w:spacing w:after="0" w:line="219"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Supply for Certain Investigator-Initiated Studies</w:t>
      </w:r>
      <w:r>
        <w:rPr>
          <w:rFonts w:ascii="Arial" w:cs="Arial" w:eastAsia="Arial" w:hAnsi="Arial"/>
          <w:sz w:val="21"/>
          <w:szCs w:val="21"/>
          <w:color w:val="auto"/>
        </w:rPr>
        <w:t>. Regeneron shall be responsible for the Manufacture and supply of Finished Clinical Product for use as clinical trial material in the Other Existing Trials listed on Schedule 4.4 consistent with the practices observed by Regeneron immediately prior to the Transition Date and in accordance with the terms and conditions applicable to the supply of such Finished Product prior to the Transition Date.</w:t>
      </w:r>
    </w:p>
    <w:p>
      <w:pPr>
        <w:spacing w:after="0" w:line="175"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Development Records</w:t>
      </w:r>
      <w:r>
        <w:rPr>
          <w:rFonts w:ascii="Arial" w:cs="Arial" w:eastAsia="Arial" w:hAnsi="Arial"/>
          <w:sz w:val="21"/>
          <w:szCs w:val="21"/>
          <w:color w:val="auto"/>
        </w:rPr>
        <w:t>. Each Party shall, and shall cause its Affiliates and its and their Sublicensees to, maintain, in good scientific manner in accordance with its internal practices and standard operating procedures, complete and accurate Development records with respect to activities initiated under the LCA in respect of the Praluent Compound or the Praluent Products, including with respect to the Existing Trials; provided that neither Party shall be deemed to have breached its obligations under this Section 4.5 with respect to periods prior to the Transition Date to the extent that such obligations would not have applied to such Party under the LCA. Such records shall (a)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86" w:lineRule="auto"/>
        <w:rPr>
          <w:sz w:val="20"/>
          <w:szCs w:val="20"/>
          <w:color w:val="auto"/>
        </w:rPr>
      </w:pPr>
      <w:r>
        <w:rPr>
          <w:rFonts w:ascii="Arial" w:cs="Arial" w:eastAsia="Arial" w:hAnsi="Arial"/>
          <w:sz w:val="19"/>
          <w:szCs w:val="19"/>
          <w:color w:val="auto"/>
        </w:rPr>
        <w:t>sufficient detail to verify compliance with such Party’s obligations under this Agreement or the LCA, as applicable, (b) be appropriate for patent and regulatory purposes, (c) be in compliance with applicable Law, (d) properly reflect all work done and results achieved in the performance of such Development activities and (e) in the case of such records as relate to a clinical trial, record only activities relating to such clinical trial and not include or be commingled with records of activities outside the scope of such clinical trial. Either Party shall have the right, during normal business hours and upon reasonable notice, to inspect and copy all such records maintained pursuant to this Section 4.5 to the extent that such review is consistent with the licenses and rights of reference granted to such Party under Section 2.1, Section 2.2 or Section 6.2, as applicable; provided, however, that such Party shall maintain such records so disclosed in confidence in accordance with Article 13. Without limiting the foregoing, upon a Party’s reasonable request for the other Party to provide copies of any particular items within such records, such other Party shall provide such copies to such first Party to the extent that doing so is consistent with the licenses and rights of reference granted to such Party under Section 2.1, Section 2.2 or Section 6.2, as applicable; provided, however, that such Party shall maintain such copies so disclosed in confidence in accordance with Article 13. If either Party desires to no longer maintain any such records in such Party’s custody, then such Party shall notify the other Party of such desire, and such other Party shall have thirty (30) days after receipt of such notice to take custody of any such records at such other Party’s sole cost and expense. If such other Party does not take custody of such records within such thirty (30)-day period, then such first Party shall have the right to destroy such records.</w:t>
      </w:r>
    </w:p>
    <w:p>
      <w:pPr>
        <w:spacing w:after="0" w:line="200" w:lineRule="exact"/>
        <w:rPr>
          <w:sz w:val="20"/>
          <w:szCs w:val="20"/>
          <w:color w:val="auto"/>
        </w:rPr>
      </w:pPr>
    </w:p>
    <w:p>
      <w:pPr>
        <w:spacing w:after="0" w:line="21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Human Biological Materials</w:t>
      </w:r>
      <w:r>
        <w:rPr>
          <w:rFonts w:ascii="Arial" w:cs="Arial" w:eastAsia="Arial" w:hAnsi="Arial"/>
          <w:sz w:val="19"/>
          <w:szCs w:val="19"/>
          <w:color w:val="auto"/>
        </w:rPr>
        <w:t>. Promptly following the Transition Date, the Parties shall discuss in good faith procedures and allocation of Out-of-Pocket Costs for the storage, and provision by one Party to the other Party, of any biological materials of human origin in the custody of such first Party that were collected or otherwise obtained in connection with (a) any clinical activities with respect to any Praluent Product conducted under the LCA prior to the Transition Date or (b) any Existing Trials (whether prior to or on or after the Transition Date) (“</w:t>
      </w:r>
      <w:r>
        <w:rPr>
          <w:rFonts w:ascii="Arial" w:cs="Arial" w:eastAsia="Arial" w:hAnsi="Arial"/>
          <w:sz w:val="19"/>
          <w:szCs w:val="19"/>
          <w:u w:val="single" w:color="auto"/>
          <w:color w:val="auto"/>
        </w:rPr>
        <w:t>Human Biological Materials</w:t>
      </w:r>
      <w:r>
        <w:rPr>
          <w:rFonts w:ascii="Arial" w:cs="Arial" w:eastAsia="Arial" w:hAnsi="Arial"/>
          <w:sz w:val="19"/>
          <w:szCs w:val="19"/>
          <w:color w:val="auto"/>
        </w:rPr>
        <w:t>”). Each Party shall, upon the other Party’s reasonable request and to the extent not prohibited by any applicable informed consent form or Law, make available to the requesting Party a reasonable quantity (which shall be determined based on the Parties’ needs with respect to such materials), of any Human Biological Materials in the custody of such Party. The Party making such a request to receive Human Biological Materials shall pay any and all Out-of-Pocket Costs to be incurred by the shipping Party or its Affiliates in connection with the shipment of the Human Biological Materials, based on a quote for such shipping services provided by the shipping Party to the requesting Party. Each Party agrees that it shall use the Human Biological Materials in compliance with applicable Law and any applicable informed consent form. If either Party desires to no longer maintain any Human Biological Materials in such Party’s custody, then, subject to applicable Law and any applicable informed consent form, such Party shall notify the other Party of such desire, and such other Party shall have sixty (60) days after receipt of such notice, or such longer period agreed between the Parties, to notify such Party that such other Party desires to take custody of such Human Biological Materials. If such other Party provides such notice within such period, then the Parties shall, subject to applicable Law and any applicable informed consent form, cooperate in good faith to transfer such Human Biological Materials into such other Party’s custody at such other Party’s sole cost and expense. If such other Party does not provide such notice within such sixty (60) day period (or such longer period as may be agreed by the Parties), the first Party shall from and after the end of such period have the right, subject to applicable Law and any applicable informed consent form, to destroy such Human Biological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134" w:name="page135"/>
    <w:bookmarkEnd w:id="134"/>
    <w:p>
      <w:pPr>
        <w:jc w:val="both"/>
        <w:ind w:firstLine="972"/>
        <w:spacing w:after="0" w:line="26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Bioanalytical Testing of Sanofi Samples</w:t>
      </w:r>
      <w:r>
        <w:rPr>
          <w:rFonts w:ascii="Arial" w:cs="Arial" w:eastAsia="Arial" w:hAnsi="Arial"/>
          <w:sz w:val="22"/>
          <w:szCs w:val="22"/>
          <w:color w:val="auto"/>
        </w:rPr>
        <w:t>. Notwithstanding anything to the contrary in this Agreement (including Section 4.1(b)), as between the Parties, [* * *].</w:t>
      </w:r>
    </w:p>
    <w:p>
      <w:pPr>
        <w:spacing w:after="0" w:line="17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Clinical Trial Updates and Notices</w:t>
      </w:r>
      <w:r>
        <w:rPr>
          <w:rFonts w:ascii="Arial" w:cs="Arial" w:eastAsia="Arial" w:hAnsi="Arial"/>
          <w:sz w:val="19"/>
          <w:szCs w:val="19"/>
          <w:color w:val="auto"/>
        </w:rPr>
        <w:t>. Each Party will, in connection with meetings of the JPC, provide updates on any Existing Trials and notice, to the extent not previously provided, of any clinical trials in respect of the Praluent Compound or Praluent Products expected to be initiated by it and its Affiliates during the following [* * *] period in the Territory. Each such update shall also contain information regarding (a) the status of Marketing Approvals of each Existing Praluent Product in the Territory and (b) the results of any Existing Trial not previously exchanged between the Parties.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20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Commercialization of Praluent Products</w:t>
      </w:r>
      <w:r>
        <w:rPr>
          <w:rFonts w:ascii="Arial" w:cs="Arial" w:eastAsia="Arial" w:hAnsi="Arial"/>
          <w:sz w:val="21"/>
          <w:szCs w:val="21"/>
          <w:color w:val="auto"/>
        </w:rPr>
        <w:t>. Subject to the terms and conditions of this Agreement, each Party shall have the sole responsibility and decision-making authority with respect to the Commercialization of the Praluent Products in such Party’s Territory, at such Party’s sole cost and expense. For clarity, neither Party shall have an obligation to Commercialize any Praluent Product anywhere in the Territory and neither Party shall be obligated to participate in any joint or global Commercialization activities for any Praluent Product. Each Party shall retain the right to attend any medical congress or similar events in the other Party’s Territory and nothing herein shall be construed to prohibit either Party from attending any such medical congress or similar event anywhere in the Territory.</w:t>
      </w:r>
    </w:p>
    <w:p>
      <w:pPr>
        <w:spacing w:after="0" w:line="18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Booking of Sales and Praluent Product Distribution</w:t>
      </w:r>
      <w:r>
        <w:rPr>
          <w:rFonts w:ascii="Arial" w:cs="Arial" w:eastAsia="Arial" w:hAnsi="Arial"/>
          <w:sz w:val="21"/>
          <w:szCs w:val="21"/>
          <w:color w:val="auto"/>
        </w:rPr>
        <w:t>. As of the Transition Date, subject to the Praluent Transition Services Agreement, (a) each Party, its Affiliates and its and their Sublicensees shall invoice and book, and appropriately record, all sales of Praluent Products in such Party’s Territory and (b) each Party (or its Affiliate) shall also be responsible for (i) the distribution of Praluent Products in its Territory and for paying Medicaid (if applicable) and any and all other governmental rebates that are due and owing with respect to the Praluent Products distributed by or on behalf of such Party, its Affiliates or its or their Sublicensees in its Territory, (ii) handling all other rebates, returns or chargebacks of Praluent Product sold under this Agreement in its Territory and (iii) handling all aspects of ordering, processing, invoicing, collection, receivables and returns with respect to Praluent Product in its Territory.</w:t>
      </w:r>
    </w:p>
    <w:p>
      <w:pPr>
        <w:spacing w:after="0" w:line="183"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Commercialization Updates</w:t>
      </w:r>
      <w:r>
        <w:rPr>
          <w:rFonts w:ascii="Arial" w:cs="Arial" w:eastAsia="Arial" w:hAnsi="Arial"/>
          <w:sz w:val="19"/>
          <w:szCs w:val="19"/>
          <w:color w:val="auto"/>
        </w:rPr>
        <w:t>. Each Party will, in connection with meetings of the JPC, provide updates on any Commercialization activities undertaken by or on behalf of such Party with respect to the Praluent Products in [* * *] since the preceding meeting (or, in the case of the first meeting of the JPC, since the Transition Date) that such Party reasonably determines could have a material impact on the other Party’s Development or Commercialization of any Praluent Product or on any Marketing Approvals in such other Party’s Territory. Without limiting the foregoing, if a Party plans to withdraw a Marketing Approval for a Praluent Product in the Regeneron Territory, in the case of Regeneron, or in [* * *], in the case of Sanofi, such Party shall provide prior written notice of such withdrawal to the other Party at least [* * *] days in advance of such withdrawal. For the avoidance of doubt, the updates and notices provided pursuant to this Section 5.3 are for informational purposes only and do not grant the receiving Party the right to comment on, approve or object to the update 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provided by the other Party. A Party’s inadvertent failure to provide to the other Party any update or notice described in this Section 5.3 shall not be grounds for termination by such other Party.</w:t>
      </w:r>
    </w:p>
    <w:p>
      <w:pPr>
        <w:spacing w:after="0" w:line="17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Medical and Consumer Inquiries</w:t>
      </w:r>
      <w:r>
        <w:rPr>
          <w:rFonts w:ascii="Arial" w:cs="Arial" w:eastAsia="Arial" w:hAnsi="Arial"/>
          <w:sz w:val="19"/>
          <w:szCs w:val="19"/>
          <w:color w:val="auto"/>
        </w:rPr>
        <w:t>. Subject to the Praluent Transition Services Agreement or Praluent Pharmacovigilance Transition Services Agreement, and except to the extent related to Development responsibilities allocated to a Party pursuant to Article 4, each Party shall have sole responsibility for responding to medical questions or inquiries from members of the medical and paramedical professions and consumers regarding Praluent Products in such Party’s Territory. Subject to the Praluent Pharmacovigilance Transition Services Agreement or Praluent Transition Services Agreement, each Party shall refer to the other Party all such questions or inquiries that it receives about any Praluent Product pertaining to the other Party’s Territory (other than with respect to the Development responsibilities allocated to such first Party pursuant to Article 4) or relating to Development responsibilities allocated to such other Party pursuant to Article 4.</w:t>
      </w:r>
    </w:p>
    <w:p>
      <w:pPr>
        <w:spacing w:after="0" w:line="15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Market Exclusivity Extensions</w:t>
      </w:r>
      <w:r>
        <w:rPr>
          <w:rFonts w:ascii="Arial" w:cs="Arial" w:eastAsia="Arial" w:hAnsi="Arial"/>
          <w:sz w:val="21"/>
          <w:szCs w:val="21"/>
          <w:color w:val="auto"/>
        </w:rPr>
        <w:t>. Each Party shall have the exclusive right but not the obligation to maintain, and, to the extent available, legally extend, the period of time during which, in any country in such Party’s Territory, (a) such Party, or any of its Affiliates or its or their Sublicensees, has the exclusive legal right, whether by means of a Patent or through other rights granted by a Governmental Authority in such country, to Commercialize the Praluent Products in such country, and (b) no generic equivalent of any Praluent Product is marketed in such country.</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Without limiting Section 2.1 or Section 2.2, each Party shall have the right to use any Promotional Materials in such Party’s possession as of the Transition Date (or, in the case of Regeneron, that are transferred to Regeneron as part of the Transferred U.S. Assets) solely for the purpose of Commercializing the Praluent Products in such Party’s Territory.</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Except with respect to any Transferred Promotional Materials, each Party shall be responsible, at its sole cost and expense, for preparing and producing Promotional Materials for use in its Territory and such Promotional Materials shall bear the corporate name and logo of the promoting Party only.</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For clarity, neither Party shall have any right or obligation to review Promotional Materials of the other Party and neither Party shall be entitled to reproduce, distribute, create derivative works based on (including translations thereof), publicly perform, publicly display or otherwise use any Promotional Materials, educational or training materials or other materials relating to the Commercialization of the Praluent Products that are created by or on behalf of the other Party after the Transition Date.</w:t>
      </w:r>
    </w:p>
    <w:p>
      <w:pPr>
        <w:spacing w:after="0" w:line="192"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Market Access; Pricing Approvals; Re-Sale Price</w:t>
      </w:r>
      <w:r>
        <w:rPr>
          <w:rFonts w:ascii="Arial" w:cs="Arial" w:eastAsia="Arial" w:hAnsi="Arial"/>
          <w:sz w:val="19"/>
          <w:szCs w:val="19"/>
          <w:color w:val="auto"/>
        </w:rPr>
        <w:t>. Each Party shall be solely responsible for market access activities and shall be free to file for NDCs and Pricing Approvals and determine the price(s) at which Praluent Products shall be sold in such Party’s Territory, subject to any NDCs, Pricing Approvals or other requirements imposed by any applicable Law.</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Cross-Territory Sales</w:t>
      </w:r>
      <w:r>
        <w:rPr>
          <w:rFonts w:ascii="Arial" w:cs="Arial" w:eastAsia="Arial" w:hAnsi="Arial"/>
          <w:sz w:val="22"/>
          <w:szCs w:val="22"/>
          <w:color w:val="auto"/>
        </w:rPr>
        <w:t>. During the Royalty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7" w:right="339" w:bottom="1440" w:gutter="0" w:footer="0" w:header="0"/>
        </w:sectPr>
      </w:pPr>
    </w:p>
    <w:bookmarkStart w:id="136" w:name="page137"/>
    <w:bookmarkEnd w:id="136"/>
    <w:p>
      <w:pPr>
        <w:ind w:right="20" w:firstLine="1304"/>
        <w:spacing w:after="0" w:line="343" w:lineRule="auto"/>
        <w:tabs>
          <w:tab w:leader="none" w:pos="19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Each Party undertakes and covenants, for itself, its Affiliates, (sub)licensees and distributors not to directly solicit, advertise, sell, distribute, consign for sale, or otherwise promote the Praluent Products outside its Territory.</w:t>
      </w:r>
    </w:p>
    <w:p>
      <w:pPr>
        <w:spacing w:after="0" w:line="104" w:lineRule="exact"/>
        <w:rPr>
          <w:rFonts w:ascii="Arial" w:cs="Arial" w:eastAsia="Arial" w:hAnsi="Arial"/>
          <w:sz w:val="19"/>
          <w:szCs w:val="19"/>
          <w:color w:val="auto"/>
        </w:rPr>
      </w:pPr>
    </w:p>
    <w:p>
      <w:pPr>
        <w:ind w:firstLine="1304"/>
        <w:spacing w:after="0" w:line="263" w:lineRule="auto"/>
        <w:tabs>
          <w:tab w:leader="none" w:pos="19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Party shall use commercially reasonable efforts to ensure that the quantities of Praluent Product sold in its Territory are not exported outside its Territory.</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41" w:val="left"/>
        </w:tabs>
        <w:numPr>
          <w:ilvl w:val="0"/>
          <w:numId w:val="69"/>
        </w:numPr>
        <w:rPr>
          <w:rFonts w:ascii="Arial" w:cs="Arial" w:eastAsia="Arial" w:hAnsi="Arial"/>
          <w:sz w:val="21"/>
          <w:szCs w:val="21"/>
          <w:color w:val="auto"/>
        </w:rPr>
      </w:pPr>
      <w:r>
        <w:rPr>
          <w:rFonts w:ascii="Arial" w:cs="Arial" w:eastAsia="Arial" w:hAnsi="Arial"/>
          <w:sz w:val="21"/>
          <w:szCs w:val="21"/>
          <w:color w:val="auto"/>
        </w:rPr>
        <w:t>Without limiting the generality of the foregoing, neither Party shall sell any quantity of Praluent Product to a distributor if it knows, or has reason to believe, that such distributor intends to export such Praluent Product into the other Party’s Territory or otherwise intends to facilitate the use of such Praluent Product outside its Territory.</w:t>
      </w:r>
    </w:p>
    <w:p>
      <w:pPr>
        <w:spacing w:after="0" w:line="167" w:lineRule="exact"/>
        <w:rPr>
          <w:rFonts w:ascii="Arial" w:cs="Arial" w:eastAsia="Arial" w:hAnsi="Arial"/>
          <w:sz w:val="21"/>
          <w:szCs w:val="21"/>
          <w:color w:val="auto"/>
        </w:rPr>
      </w:pPr>
    </w:p>
    <w:p>
      <w:pPr>
        <w:jc w:val="both"/>
        <w:ind w:firstLine="1304"/>
        <w:spacing w:after="0" w:line="260" w:lineRule="auto"/>
        <w:tabs>
          <w:tab w:leader="none" w:pos="1939"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 the event that Regeneron, its Affiliates or its or their Sublicensees [* * *]. For clarity, this Section 5.8(d) does not grant Regeneron, its Affiliates and its and their Sublicensees any license rights under the Sanofi Background Intellectual Property, the Sanofi Core Intellectual Property or Sanofi’s interest in the Joint Intellectual Property in the Sanofi Territory beyond the license grants expressly set forth in Section 2.2. [* * *]. For clarity, this Section 5.8(d) does not grant Sanofi, its Affiliates and its and their Sublicensees any license rights under the Regeneron Background Intellectual Property, the Regeneron Core Intellectual Property or Regeneron’s interest in the Joint Intellectual Property in the Regeneron Territory beyond the license grants expressly set forth in Section 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AFFAIRS</w:t>
      </w:r>
    </w:p>
    <w:p>
      <w:pPr>
        <w:spacing w:after="0" w:line="202"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Ownership of Approvals and Regulatory Filings</w:t>
      </w:r>
      <w:r>
        <w:rPr>
          <w:rFonts w:ascii="Arial" w:cs="Arial" w:eastAsia="Arial" w:hAnsi="Arial"/>
          <w:sz w:val="22"/>
          <w:szCs w:val="22"/>
          <w:color w:val="auto"/>
        </w:rPr>
        <w:t>. Except to the extent prohibited by applicable Law or as provided in any Praluent Supply Agreement, as between the Parties, each Party shall own all Approvals and Regulatory Filings with respect to its Manufacture, Development or Commercialization of Praluent Products (including the Praluent Compound) conducted in accordance with the terms and conditions of this Agreement (including the licenses and other rights granted to such Party).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Rights of Reference; Sanofi ROR Authorizations; DAI Design History File; Separate INDs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9" w:lineRule="auto"/>
        <w:tabs>
          <w:tab w:leader="none" w:pos="1941" w:val="left"/>
        </w:tabs>
        <w:numPr>
          <w:ilvl w:val="0"/>
          <w:numId w:val="70"/>
        </w:numPr>
        <w:rPr>
          <w:rFonts w:ascii="Arial" w:cs="Arial" w:eastAsia="Arial" w:hAnsi="Arial"/>
          <w:sz w:val="21"/>
          <w:szCs w:val="21"/>
          <w:color w:val="auto"/>
        </w:rPr>
      </w:pPr>
      <w:r>
        <w:rPr>
          <w:rFonts w:ascii="Arial" w:cs="Arial" w:eastAsia="Arial" w:hAnsi="Arial"/>
          <w:sz w:val="21"/>
          <w:szCs w:val="21"/>
          <w:color w:val="auto"/>
        </w:rPr>
        <w:t>Sanofi and its Affiliates shall have, and Regeneron (on behalf of itself and its Affiliates) hereby grants to Sanofi and its Affiliates, the right to access and reference (with the right to grant further rights of reference pursuant to Section 2.3) all regulatory documentation (including all Regulatory Filings and Approvals) Controlled by Regeneron (or its Affiliates) that is related to any Existing Praluent Product for any Existing Indication solely as necessary to exercise Sanofi’s rights under the license grants set forth in Section 2.1 or necessary or useful to obtain Approval for any of Sanofi’s or its Affiliates’ products for use in combination with any Existing Praluent Product. Promptly upon the request of Sanofi, Regeneron or its Affiliate shall, to the extent such request is consistent with the foregoing rights to access and reference, submit a letter of authorization to the applicable Regulatory Authority (and take such actions or make such other filings) in order to permit any such regulatory documentation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7" w:right="339" w:bottom="1440" w:gutter="0" w:footer="0" w:header="0"/>
        </w:sectPr>
      </w:pPr>
    </w:p>
    <w:bookmarkStart w:id="137" w:name="page138"/>
    <w:bookmarkEnd w:id="137"/>
    <w:p>
      <w:pPr>
        <w:ind w:right="20"/>
        <w:spacing w:after="0" w:line="263" w:lineRule="auto"/>
        <w:rPr>
          <w:sz w:val="20"/>
          <w:szCs w:val="20"/>
          <w:color w:val="auto"/>
        </w:rPr>
      </w:pPr>
      <w:r>
        <w:rPr>
          <w:rFonts w:ascii="Arial" w:cs="Arial" w:eastAsia="Arial" w:hAnsi="Arial"/>
          <w:sz w:val="22"/>
          <w:szCs w:val="22"/>
          <w:color w:val="auto"/>
        </w:rPr>
        <w:t>Regulatory Filings and Approvals) to be incorporated by reference by Sanofi, its Affiliates or its or their Sublicensees in their Regulatory Filings.</w:t>
      </w:r>
    </w:p>
    <w:p>
      <w:pPr>
        <w:spacing w:after="0" w:line="175" w:lineRule="exact"/>
        <w:rPr>
          <w:sz w:val="20"/>
          <w:szCs w:val="20"/>
          <w:color w:val="auto"/>
        </w:rPr>
      </w:pPr>
    </w:p>
    <w:p>
      <w:pPr>
        <w:jc w:val="both"/>
        <w:ind w:firstLine="1304"/>
        <w:spacing w:after="0" w:line="288" w:lineRule="auto"/>
        <w:tabs>
          <w:tab w:leader="none" w:pos="1939"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Regeneron and its Affiliates shall have, and Sanofi (on behalf of itself and its Affiliates) hereby grants to Regeneron and its Affiliates, the right to access and reference (with the right to grant further rights of reference pursuant to Section 2.3) all regulatory documentation (including all Regulatory Filings and Approvals) Controlled by Sanofi (or its Affiliates) that is related to any Existing Praluent Product for any Existing Indication solely as necessary to exercise Regeneron’s rights under the license grants set forth in Section 2.2 or necessary or useful to obtain Approval for any of Regeneron’s or its Affiliates’ products for use in combination with any Existing Praluent Product. Promptly upon the request of Regeneron, Sanofi or its Affiliate shall, to the extent such request is consistent with the foregoing rights to access and reference, submit a letter of authorization to the applicable Regulatory Authority (and take such actions or make such other filings) in order to permit any such regulatory documentation (including all Regulatory Filings and Approvals) to be incorporated by reference by Regeneron, its Affiliates or its or their Sublicensees in their Regulatory Filings.</w:t>
      </w:r>
    </w:p>
    <w:p>
      <w:pPr>
        <w:spacing w:after="0" w:line="159" w:lineRule="exact"/>
        <w:rPr>
          <w:rFonts w:ascii="Arial" w:cs="Arial" w:eastAsia="Arial" w:hAnsi="Arial"/>
          <w:sz w:val="19"/>
          <w:szCs w:val="19"/>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Sanofi ROR Authorizations; DAI Design History File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302" w:lineRule="auto"/>
        <w:tabs>
          <w:tab w:leader="none" w:pos="2661" w:val="left"/>
        </w:tabs>
        <w:numPr>
          <w:ilvl w:val="1"/>
          <w:numId w:val="71"/>
        </w:numPr>
        <w:rPr>
          <w:rFonts w:ascii="Arial" w:cs="Arial" w:eastAsia="Arial" w:hAnsi="Arial"/>
          <w:sz w:val="19"/>
          <w:szCs w:val="19"/>
          <w:color w:val="auto"/>
        </w:rPr>
      </w:pPr>
      <w:r>
        <w:rPr>
          <w:rFonts w:ascii="Arial" w:cs="Arial" w:eastAsia="Arial" w:hAnsi="Arial"/>
          <w:sz w:val="19"/>
          <w:szCs w:val="19"/>
          <w:color w:val="auto"/>
        </w:rPr>
        <w:t>With respect to each Sanofi ROR Authorization on which the BLA relies that is not partially assignable or transferable to Regeneron for use in connection with the U.S. Praluent Product Business (or entirely to the extent exclusively relating to the U.S. Praluent Product Business) without the consent of a Third Party, Sanofi shall use diligent efforts to facilitate Regeneron obtaining a corresponding right to access and reference directly from the applicable Third Party.</w:t>
      </w:r>
    </w:p>
    <w:p>
      <w:pPr>
        <w:spacing w:after="0" w:line="142" w:lineRule="exact"/>
        <w:rPr>
          <w:rFonts w:ascii="Arial" w:cs="Arial" w:eastAsia="Arial" w:hAnsi="Arial"/>
          <w:sz w:val="19"/>
          <w:szCs w:val="19"/>
          <w:color w:val="auto"/>
        </w:rPr>
      </w:pPr>
    </w:p>
    <w:p>
      <w:pPr>
        <w:jc w:val="both"/>
        <w:ind w:firstLine="1952"/>
        <w:spacing w:after="0" w:line="297" w:lineRule="auto"/>
        <w:tabs>
          <w:tab w:leader="none" w:pos="2640" w:val="left"/>
        </w:tabs>
        <w:numPr>
          <w:ilvl w:val="1"/>
          <w:numId w:val="71"/>
        </w:numPr>
        <w:rPr>
          <w:rFonts w:ascii="Arial" w:cs="Arial" w:eastAsia="Arial" w:hAnsi="Arial"/>
          <w:sz w:val="19"/>
          <w:szCs w:val="19"/>
          <w:color w:val="auto"/>
        </w:rPr>
      </w:pPr>
      <w:r>
        <w:rPr>
          <w:rFonts w:ascii="Arial" w:cs="Arial" w:eastAsia="Arial" w:hAnsi="Arial"/>
          <w:sz w:val="19"/>
          <w:szCs w:val="19"/>
          <w:color w:val="auto"/>
        </w:rPr>
        <w:t>Without limiting Section 6.2(c)(i), if any Sanofi ROR Authorization that is necessary or useful for the Manufacture or use of [* * *]. Promptly upon the request of Regeneron, Sanofi or its Affiliate shall, to the extent such request is consistent with the foregoing rights to access and reference, submit a letter of authorization to the applicable Regulatory Authority (and take such actions or make such other filings) as necessary in order to permit any such regulatory documentation to be incorporated by reference by Regeneron, its Affiliates or its or their Sublicensees in their Regulatory Filings.</w:t>
      </w:r>
    </w:p>
    <w:p>
      <w:pPr>
        <w:spacing w:after="0" w:line="146" w:lineRule="exact"/>
        <w:rPr>
          <w:rFonts w:ascii="Arial" w:cs="Arial" w:eastAsia="Arial" w:hAnsi="Arial"/>
          <w:sz w:val="19"/>
          <w:szCs w:val="19"/>
          <w:color w:val="auto"/>
        </w:rPr>
      </w:pPr>
    </w:p>
    <w:p>
      <w:pPr>
        <w:ind w:left="2660" w:hanging="708"/>
        <w:spacing w:after="0"/>
        <w:tabs>
          <w:tab w:leader="none" w:pos="26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For the avoidance of doubt, nothing in this Section 6.2(c) shall be construed to require Sanofi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transfer to Regeneron [* * *].</w:t>
      </w:r>
    </w:p>
    <w:p>
      <w:pPr>
        <w:spacing w:after="0" w:line="201" w:lineRule="exact"/>
        <w:rPr>
          <w:rFonts w:ascii="Arial" w:cs="Arial" w:eastAsia="Arial" w:hAnsi="Arial"/>
          <w:sz w:val="19"/>
          <w:szCs w:val="19"/>
          <w:color w:val="auto"/>
        </w:rPr>
      </w:pPr>
    </w:p>
    <w:p>
      <w:pPr>
        <w:jc w:val="both"/>
        <w:ind w:firstLine="1304"/>
        <w:spacing w:after="0" w:line="297" w:lineRule="auto"/>
        <w:tabs>
          <w:tab w:leader="none" w:pos="1939"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the rights of reference granted under this Section 6.2, each Party shall be solely responsible for obtaining and maintaining any IND or other Approval required for such Party to conduct any Development activities performed by such Party, including with respect to any Development activities permitted to be conducted in the other Party’s Territory, it being understood, however, that Regeneron shall be responsible for maintaining the IND or any other Transferred Approvals required for either Party to conduct Development activities relating to or in connection with the Existing Trials.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Regulatory Activities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7" w:right="339" w:bottom="1440" w:gutter="0" w:footer="0" w:header="0"/>
        </w:sectPr>
      </w:pPr>
    </w:p>
    <w:bookmarkStart w:id="138" w:name="page139"/>
    <w:bookmarkEnd w:id="138"/>
    <w:p>
      <w:pPr>
        <w:jc w:val="both"/>
        <w:ind w:firstLine="1304"/>
        <w:spacing w:after="0" w:line="285" w:lineRule="auto"/>
        <w:tabs>
          <w:tab w:leader="none" w:pos="1941"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the remainder of this Section 6.3 and Section 13.3(c) and subject to the Praluent Transition Services Agreement and the Praluent Pharmacovigilance Transition Services Agreement, each Party shall be solely responsible for, and shall have sole decision-making authority with respect to, all regulatory strategy and actions, including preparing communications and filings with and submissions (including supplements and amendments thereto) to, and attending meetings with, the applicable Regulatory Authority(ies), in each case with respect to such Party’s Development and Commercialization activities conducted in accordance with the terms and conditions of this Agreement (including the licenses and other rights granted to such Party), provided that Regeneron may not, until the [* * *] anniversary of the Transition Date, [* * *]. Each Party shall provide the other Party (i) copies of all material submissions with respect to any Praluent Product to the FDA, in respect of Regeneron’s submissions, and the EMA or PMDA, in respect of Sanofi’s submissions, in each case reasonably in advance of such Party’s submission thereof and (ii) copies of all material correspondence with respect to any Praluent Product received from such Regulatory Authorities promptly following receipt of such correspondence. If a Party becomes aware that a copy of any such submission or correspondence has not been provided in accordance with the foregoing sentence, it shall promptly notify the other Party in writing and the applicable Party shall, as soon as reasonably practicable, provide such copy to the Party to whom such copy is owed. Notwithstanding anything to the contrary in this Agreement, the immediately preceding sentence sets forth each Party’s sole and exclusive remedy for the other Party’s inadvertent failure to provide such copies. With respect to any filing, correspondence or communications by a Party with a Regulatory Authority anywhere in the Territory, including submission of additional data regarding a Praluent Product, that would reasonably be expected to materially impact (i) if the other Party is Regeneron, the U.S. Praluent Product Business or (ii) if the other Party is Sanofi, the ROW Praluent Product Business, in either case ((i) or (ii)), the Parties shall cooperate in good faith to coordinate with each other to ensure consistent messaging with respect thereto.</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86" w:lineRule="auto"/>
        <w:tabs>
          <w:tab w:leader="none" w:pos="1939"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the remainder of this Section 6.3(b) and Section 13.3(c) and subject to any applicable Praluent Supply Agreement, each Party shall be solely responsible for, and shall have sole decision-making authority with respect to, all regulatory strategy and actions, including preparing communications and filings with and submissions (including supplements and amendments thereto) to, and attending meetings with, the applicable Regulatory Authority(ies) anywhere in the Territory, in each case, with respect to such Party’s Manufacturing activities with respect to any Praluent Compound or Praluent Product. For purposes of this Section 6.3(b), “</w:t>
      </w:r>
      <w:r>
        <w:rPr>
          <w:rFonts w:ascii="Arial" w:cs="Arial" w:eastAsia="Arial" w:hAnsi="Arial"/>
          <w:sz w:val="19"/>
          <w:szCs w:val="19"/>
          <w:u w:val="single" w:color="auto"/>
          <w:color w:val="auto"/>
        </w:rPr>
        <w:t>Manufacturing Party</w:t>
      </w:r>
      <w:r>
        <w:rPr>
          <w:rFonts w:ascii="Arial" w:cs="Arial" w:eastAsia="Arial" w:hAnsi="Arial"/>
          <w:sz w:val="19"/>
          <w:szCs w:val="19"/>
          <w:color w:val="auto"/>
        </w:rPr>
        <w:t>” shall mean, (i) Regeneron for so long as Regeneron is Manufacturing and supplying Formulated Drug Substance to Sanofi pursuant to the Praluent Substance Supply Agreement and (ii) Sanofi for so long as Sanofi is Manufacturing and supplying Finished Product to Regeneron pursuant to the Finished Product Supply Agreement. Notwithstanding the foregoing, with respect to each Manufacturing Party, for so long as such Manufacturing Party is a Manufacturing Party, the other Party (the “</w:t>
      </w:r>
      <w:r>
        <w:rPr>
          <w:rFonts w:ascii="Arial" w:cs="Arial" w:eastAsia="Arial" w:hAnsi="Arial"/>
          <w:sz w:val="19"/>
          <w:szCs w:val="19"/>
          <w:u w:val="single" w:color="auto"/>
          <w:color w:val="auto"/>
        </w:rPr>
        <w:t>Non-Manufacturing Party</w:t>
      </w:r>
      <w:r>
        <w:rPr>
          <w:rFonts w:ascii="Arial" w:cs="Arial" w:eastAsia="Arial" w:hAnsi="Arial"/>
          <w:sz w:val="19"/>
          <w:szCs w:val="19"/>
          <w:color w:val="auto"/>
        </w:rPr>
        <w:t>”) shall consult with the Manufacturing Party with respect to any portion of any Regulatory Filing, submission or other communication (including any response to a question from a Regulatory Authority) anywhere in the Territory by or on behalf of the Non-Manufacturing Party relating to the Manufacturing Party’s Manufacture of, with respect to Regeneron as the Manufacturing Party, Formulated Drug Substance pursuant to the Praluent Substance Supply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7" w:right="339" w:bottom="1440" w:gutter="0" w:footer="0" w:header="0"/>
        </w:sectPr>
      </w:pPr>
    </w:p>
    <w:bookmarkStart w:id="139" w:name="page140"/>
    <w:bookmarkEnd w:id="139"/>
    <w:p>
      <w:pPr>
        <w:spacing w:after="0" w:line="291" w:lineRule="auto"/>
        <w:rPr>
          <w:sz w:val="20"/>
          <w:szCs w:val="20"/>
          <w:color w:val="auto"/>
        </w:rPr>
      </w:pPr>
      <w:r>
        <w:rPr>
          <w:rFonts w:ascii="Arial" w:cs="Arial" w:eastAsia="Arial" w:hAnsi="Arial"/>
          <w:sz w:val="19"/>
          <w:szCs w:val="19"/>
          <w:color w:val="auto"/>
        </w:rPr>
        <w:t>with respect to Sanofi as the Manufacturing Party, Finished Product pursuant to the Finished Product Supply Agreement and shall provide a draft thereof to the Manufacturing Party (including an English translation if such draft is not in English) at least thirty</w:t>
      </w:r>
    </w:p>
    <w:p>
      <w:pPr>
        <w:spacing w:after="0" w:line="1" w:lineRule="exact"/>
        <w:rPr>
          <w:sz w:val="20"/>
          <w:szCs w:val="20"/>
          <w:color w:val="auto"/>
        </w:rPr>
      </w:pPr>
    </w:p>
    <w:p>
      <w:pPr>
        <w:jc w:val="both"/>
        <w:ind w:firstLine="8"/>
        <w:spacing w:after="0" w:line="244" w:lineRule="auto"/>
        <w:tabs>
          <w:tab w:leader="none" w:pos="4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days (or, with respect to a submission or communication other than a Regulatory Filing, ten (10) days or such shorter period as may be required with respect to any question from a Regulatory Authority) prior to the date that such submission or communication is required to be made to the applicable Regulatory Authority for the Manufacturing Party’s review and comment and shall consider in good faith any comments timely provided by the Manufacturing Party to the Non-Manufacturing Party in respect of such draft.</w:t>
      </w:r>
    </w:p>
    <w:p>
      <w:pPr>
        <w:spacing w:after="0" w:line="195"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Pharmacovigilance and Safety Data Exchange</w:t>
      </w:r>
      <w:r>
        <w:rPr>
          <w:rFonts w:ascii="Arial" w:cs="Arial" w:eastAsia="Arial" w:hAnsi="Arial"/>
          <w:sz w:val="19"/>
          <w:szCs w:val="19"/>
          <w:color w:val="auto"/>
        </w:rPr>
        <w:t>. To ensure continuity in the exchange of necessary safety and pharmacovigilance information regarding the Praluent Products Developed and Commercialized under this Agreement and prompt communication of notifications and compliance with reporting obligations to Regulatory Authorities, the Parties have entered, on the Execution Date, into the Praluent Pharmacovigilance Transition Services Agreement and the new Safety Data Exchange Agreement in the form attached hereto as Exhibit 6.4 (the “</w:t>
      </w:r>
      <w:r>
        <w:rPr>
          <w:rFonts w:ascii="Arial" w:cs="Arial" w:eastAsia="Arial" w:hAnsi="Arial"/>
          <w:sz w:val="19"/>
          <w:szCs w:val="19"/>
          <w:u w:val="single" w:color="auto"/>
          <w:color w:val="auto"/>
        </w:rPr>
        <w:t>Safety Data Exchange Agreement</w:t>
      </w:r>
      <w:r>
        <w:rPr>
          <w:rFonts w:ascii="Arial" w:cs="Arial" w:eastAsia="Arial" w:hAnsi="Arial"/>
          <w:sz w:val="19"/>
          <w:szCs w:val="19"/>
          <w:color w:val="auto"/>
        </w:rPr>
        <w:t>”). Subject to the terms and conditions of the Praluent Pharmacovigilance Transition Services Agreement, the Parties shall comply with their respective obligations and responsibilities assigned under the Safety Data Exchange Agreement.</w:t>
      </w:r>
    </w:p>
    <w:p>
      <w:pPr>
        <w:spacing w:after="0" w:line="15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Regulatory Inspection or Audit</w:t>
      </w:r>
      <w:r>
        <w:rPr>
          <w:rFonts w:ascii="Arial" w:cs="Arial" w:eastAsia="Arial" w:hAnsi="Arial"/>
          <w:sz w:val="19"/>
          <w:szCs w:val="19"/>
          <w:color w:val="auto"/>
        </w:rPr>
        <w:t>. Each Party shall cooperate with the other Party and any Regulatory Authority in the Territory during an inspection or audit to the extent relating to (a) any of the Existing Trials or (b) any other clinical Development under the LCA in respect of the Praluent Compound or the Praluent Products, in each case including by allowing, to the extent practicable, a representative of the other Party to be present during the applicable portions of such inspection or audit. Following receipt of the inspection or audit observations of such Regulatory Authority (a copy of which the receiving Party will immediately provide to the other Party), the Party in receipt of the observations will prepare any appropriate responses that concern the Praluent Products, provided that the other Party shall have the right to review and comment on such responses, except to the extent such responses contain information for which the Party in receipt of the observation owes an obligation of confidentiality to a Third Party, and such Party shall consider in good faith the comments made by such other Party. In the event that the Parties disagree concerning the form or content of a response, the Party that received the observations shall decide the appropriate form and content of the response. Regulatory inspections and audits pertaining to either Party’s Manufacturing facilities shall be governed by the Praluent Substance Supply Agreement or the Finished Product Supply Agreement, as applicable. Without limiting the foregoing, each Party (and its Third Party subcontractors) shall, for so long as Manufacture under an applicable Praluent Supply Agreement is ongoing, notify the other Party within twenty-four (24) hours after receipt of notification from a Regulatory Authority of the intention of such Regulatory Authority to audit or inspect facilities being used or proposed to be used for the Manufacture of Praluent Product by or on behalf of such Party for such other Party under such Praluent Supply Agreement.</w:t>
      </w:r>
    </w:p>
    <w:p>
      <w:pPr>
        <w:spacing w:after="0" w:line="200" w:lineRule="exact"/>
        <w:rPr>
          <w:sz w:val="20"/>
          <w:szCs w:val="20"/>
          <w:color w:val="auto"/>
        </w:r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Recalls and Other Corrective Actions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7" w:right="339" w:bottom="1440" w:gutter="0" w:footer="0" w:header="0"/>
        </w:sectPr>
      </w:pPr>
    </w:p>
    <w:bookmarkStart w:id="140" w:name="page141"/>
    <w:bookmarkEnd w:id="140"/>
    <w:p>
      <w:pPr>
        <w:jc w:val="both"/>
        <w:ind w:firstLine="1304"/>
        <w:spacing w:after="0" w:line="288" w:lineRule="auto"/>
        <w:tabs>
          <w:tab w:leader="none" w:pos="1941"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Each Party shall notify the other Party promptly (but in no event later than forty-eight (48) hours) following its determination that any event, incident or circumstance has occurred that may result in the need for a recall, market suspension or market withdrawal of any Praluent Product in such Party’s Territory that (i) would reasonably be expected to materially impact (A) if such other Party is Regeneron, the U.S. Praluent Product Business or (B) if such other Party is Sanofi, the ROW Praluent Product Business, (ii) relates to Praluent Product sold before the Transition Date or (iii) (A) if such other Party is Regeneron, is being implemented with respect to Formulated Drug Substance supplied by Regeneron to Sanofi under the Praluent Substance Supply Agreement or (B) if such other Party is Sanofi, is being implemented with respect to Finished Product supplied by Sanofi to Regeneron under the Finished Product Supply Agreement (any recall, market suspension or market withdrawal described in clauses (i), (ii) or (iii), a “</w:t>
      </w:r>
      <w:r>
        <w:rPr>
          <w:rFonts w:ascii="Arial" w:cs="Arial" w:eastAsia="Arial" w:hAnsi="Arial"/>
          <w:sz w:val="19"/>
          <w:szCs w:val="19"/>
          <w:u w:val="single" w:color="auto"/>
          <w:color w:val="auto"/>
        </w:rPr>
        <w:t>Selected Recall</w:t>
      </w:r>
      <w:r>
        <w:rPr>
          <w:rFonts w:ascii="Arial" w:cs="Arial" w:eastAsia="Arial" w:hAnsi="Arial"/>
          <w:sz w:val="19"/>
          <w:szCs w:val="19"/>
          <w:color w:val="auto"/>
        </w:rPr>
        <w:t>”), and, in any case ((i), (ii) or (iii)), shall include in such notice the reasoning behind such determination and any supporting facts.</w:t>
      </w:r>
    </w:p>
    <w:p>
      <w:pPr>
        <w:spacing w:after="0" w:line="159" w:lineRule="exact"/>
        <w:rPr>
          <w:rFonts w:ascii="Arial" w:cs="Arial" w:eastAsia="Arial" w:hAnsi="Arial"/>
          <w:sz w:val="19"/>
          <w:szCs w:val="19"/>
          <w:color w:val="auto"/>
        </w:rPr>
      </w:pPr>
    </w:p>
    <w:p>
      <w:pPr>
        <w:jc w:val="both"/>
        <w:ind w:firstLine="1304"/>
        <w:spacing w:after="0" w:line="289" w:lineRule="auto"/>
        <w:tabs>
          <w:tab w:leader="none" w:pos="1939"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Implementation</w:t>
      </w:r>
      <w:r>
        <w:rPr>
          <w:rFonts w:ascii="Arial" w:cs="Arial" w:eastAsia="Arial" w:hAnsi="Arial"/>
          <w:sz w:val="19"/>
          <w:szCs w:val="19"/>
          <w:color w:val="auto"/>
        </w:rPr>
        <w:t>. As between the Parties, a Party shall have the right to make the final determination whether to voluntarily implement, and shall have operational responsibility for implementation of, any recall, market suspension or market withdrawal of Praluent Product in its Territory; provided that operational responsibility for implementation of any recall, market suspension or market withdrawal of any Praluent Product in the Regeneron Territory bearing Sanofi’s NDC shall be governed by the Praluent Transition Services Agreement or the Praluent Pharmacovigilance Transition Services Agreement; provided further that, prior to any implementation of a Selected Recall, such Party shall consult with the other Party and shall consider the other Party’s comments in good faith. If a recall, market suspension or market withdrawal is mandated by a Regulatory Authority in a Party’s Territory, as between the Parties, such Party shall have the right to make the final determination to implement such recall, market suspension or market withdrawal.</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Costs</w:t>
      </w:r>
      <w:r>
        <w:rPr>
          <w:rFonts w:ascii="Arial" w:cs="Arial" w:eastAsia="Arial" w:hAnsi="Arial"/>
          <w:sz w:val="19"/>
          <w:szCs w:val="19"/>
          <w:color w:val="auto"/>
        </w:rPr>
        <w:t>. For all recalls, market suspensions or market withdrawals undertaken pursuant to this Section 6.6,</w:t>
      </w:r>
    </w:p>
    <w:p>
      <w:pPr>
        <w:spacing w:after="0" w:line="55" w:lineRule="exact"/>
        <w:rPr>
          <w:rFonts w:ascii="Arial" w:cs="Arial" w:eastAsia="Arial" w:hAnsi="Arial"/>
          <w:sz w:val="19"/>
          <w:szCs w:val="19"/>
          <w:color w:val="auto"/>
        </w:rPr>
      </w:pPr>
    </w:p>
    <w:p>
      <w:pPr>
        <w:jc w:val="both"/>
        <w:ind w:firstLine="8"/>
        <w:spacing w:after="0" w:line="286" w:lineRule="auto"/>
        <w:tabs>
          <w:tab w:leader="none" w:pos="272" w:val="left"/>
        </w:tabs>
        <w:numPr>
          <w:ilvl w:val="0"/>
          <w:numId w:val="75"/>
        </w:numPr>
        <w:rPr>
          <w:rFonts w:ascii="Arial" w:cs="Arial" w:eastAsia="Arial" w:hAnsi="Arial"/>
          <w:sz w:val="19"/>
          <w:szCs w:val="19"/>
          <w:color w:val="auto"/>
        </w:rPr>
      </w:pPr>
      <w:r>
        <w:rPr>
          <w:rFonts w:ascii="Arial" w:cs="Arial" w:eastAsia="Arial" w:hAnsi="Arial"/>
          <w:sz w:val="19"/>
          <w:szCs w:val="19"/>
          <w:color w:val="auto"/>
        </w:rPr>
        <w:t>to the extent such recall, market suspension or market withdrawal is attributable to conduct occurring prior to the Transition Date, the Recall Costs of any recall, market suspension or market withdrawal will be shared in the same proportions as if such Recall Costs were Other Shared Expenses (as defined in the LCA) under the LCA as of immediately prior to the Transition Date and (ii) subject to any further allocation under any applicable Praluent Supply Agreement, to the extent such recall, market suspension or market withdrawal is attributable to conduct occurring after the Transition Date and to the extent not constituting Third Party Claims covered by Section 14.1, the Recall Costs of any recall, market suspension or market withdrawal will be borne [* * *]. The payment of such Recall Costs shall be subject to the provisions of Section 8.7 through Section 8.12, except to the extent addressed in the Praluent Transition Services Agreement or the Praluent Pharmacovigilance Transition Services Agreement, in which case it shall be subject to the applicable provisions thereof.</w:t>
      </w:r>
    </w:p>
    <w:p>
      <w:pPr>
        <w:spacing w:after="0" w:line="163" w:lineRule="exact"/>
        <w:rPr>
          <w:rFonts w:ascii="Arial" w:cs="Arial" w:eastAsia="Arial" w:hAnsi="Arial"/>
          <w:sz w:val="19"/>
          <w:szCs w:val="19"/>
          <w:color w:val="auto"/>
        </w:rPr>
      </w:pPr>
    </w:p>
    <w:p>
      <w:pPr>
        <w:jc w:val="both"/>
        <w:ind w:firstLine="1304"/>
        <w:spacing w:after="0" w:line="271" w:lineRule="auto"/>
        <w:tabs>
          <w:tab w:leader="none" w:pos="1939"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Correspondence or Public Announcements</w:t>
      </w:r>
      <w:r>
        <w:rPr>
          <w:rFonts w:ascii="Arial" w:cs="Arial" w:eastAsia="Arial" w:hAnsi="Arial"/>
          <w:sz w:val="21"/>
          <w:szCs w:val="21"/>
          <w:color w:val="auto"/>
        </w:rPr>
        <w:t>. Notwithstanding the provisions of this Article 6 or Article 13, each Party shall provide the other Party with copies of any proposed correspondence with Regulatory Authorities or any proposed public announcement, in each case, related to any voluntary or mandated recall, market suspension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7" w:right="339" w:bottom="1440" w:gutter="0" w:footer="0" w:header="0"/>
        </w:sectPr>
      </w:pPr>
    </w:p>
    <w:bookmarkStart w:id="141" w:name="page142"/>
    <w:bookmarkEnd w:id="141"/>
    <w:p>
      <w:pPr>
        <w:jc w:val="both"/>
        <w:spacing w:after="0" w:line="248" w:lineRule="auto"/>
        <w:rPr>
          <w:sz w:val="20"/>
          <w:szCs w:val="20"/>
          <w:color w:val="auto"/>
        </w:rPr>
      </w:pPr>
      <w:r>
        <w:rPr>
          <w:rFonts w:ascii="Arial" w:cs="Arial" w:eastAsia="Arial" w:hAnsi="Arial"/>
          <w:sz w:val="22"/>
          <w:szCs w:val="22"/>
          <w:color w:val="auto"/>
        </w:rPr>
        <w:t>market withdrawal of any Praluent Product in such Party’s Territory for the other Party’s review and comment prior to such Party making or disclosing any such correspondence or public announcement if such recall, market suspension or market withdrawal constitutes a Selected Recall. Without limiting the foregoing, each Party shall provide the other Party with copies of any correspondence sent to or received from Regulatory Authorities or any issued public announcement, in each case, related to any Selected Recall.</w:t>
      </w:r>
    </w:p>
    <w:p>
      <w:pPr>
        <w:spacing w:after="0" w:line="192" w:lineRule="exact"/>
        <w:rPr>
          <w:sz w:val="20"/>
          <w:szCs w:val="20"/>
          <w:color w:val="auto"/>
        </w:rPr>
      </w:pPr>
    </w:p>
    <w:p>
      <w:pPr>
        <w:jc w:val="both"/>
        <w:ind w:firstLine="1304"/>
        <w:spacing w:after="0" w:line="302" w:lineRule="auto"/>
        <w:tabs>
          <w:tab w:leader="none" w:pos="1941"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Each Party shall consider any comments made by the other Party pursuant to this Section 6.6 in good faith. Notwithstanding anything herein to the contrary, in the event of any inconsistency between this Section 6.6 and the terms and conditions of any applicable quality agreement that is an exhibit to any Praluent Supply Agreement or the Safety Data Exchange Agreement, the terms of such quality agreement or Safety Data Exchange Agreement, as applicable, shall control.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TRANSFER - MANUFACTURING AND SUPPLY</w:t>
      </w:r>
    </w:p>
    <w:p>
      <w:pPr>
        <w:spacing w:after="0" w:line="202"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Manufacturing Generally</w:t>
      </w:r>
      <w:r>
        <w:rPr>
          <w:rFonts w:ascii="Arial" w:cs="Arial" w:eastAsia="Arial" w:hAnsi="Arial"/>
          <w:sz w:val="22"/>
          <w:szCs w:val="22"/>
          <w:color w:val="auto"/>
        </w:rPr>
        <w:t>. Notwithstanding the terms and conditions of the Praluent Supply Agreements, it is the Parties’ intention to transfer responsibility for the Manufacture of all forms of Praluent Products (and of the constituents thereof) to (a) Sanofi for all clinical and commercial requirements of Praluent Products with respect to Development and Commercialization activities of Sanofi, its Affiliates and its and their Sublicensees and (b) Regeneron for all clinical and commercial requirements of Praluent Products with respect to Development and Commercialization by Regeneron, its Affiliates and its and their Sublicensees, in each case ((a) and (b)) pursuant to the terms and conditions of this Agreement. The Parties shall cooperate diligently toward that goal in accordance with the terms and conditions of [* * *] the Drug Substance Tech Transfer Plan referred to in Section 7.3.</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 * *]</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77"/>
        </w:numPr>
        <w:rPr>
          <w:rFonts w:ascii="Arial" w:cs="Arial" w:eastAsia="Arial" w:hAnsi="Arial"/>
          <w:sz w:val="19"/>
          <w:szCs w:val="19"/>
          <w:color w:val="auto"/>
        </w:rPr>
      </w:pPr>
      <w:r>
        <w:rPr>
          <w:rFonts w:ascii="Arial" w:cs="Arial" w:eastAsia="Arial" w:hAnsi="Arial"/>
          <w:sz w:val="19"/>
          <w:szCs w:val="19"/>
          <w:color w:val="auto"/>
        </w:rPr>
        <w:t>[* * *]. Each Party shall appoint a technology transfer coordinator to serve as a single point of contact with respect to the Parties’ activities [* * *]. No later than [* * *] prior to the date on which Regeneron desires to initiate the Finished Product technology transfer, Regeneron shall notify Sanofi in writing regarding Regeneron’s choice of Manufacturing site or contract manufacturing organization for the Manufacture by or on behalf of Regeneron of Finished Product from Formulated Drug Substance (“</w:t>
      </w:r>
      <w:r>
        <w:rPr>
          <w:rFonts w:ascii="Arial" w:cs="Arial" w:eastAsia="Arial" w:hAnsi="Arial"/>
          <w:sz w:val="19"/>
          <w:szCs w:val="19"/>
          <w:u w:val="single" w:color="auto"/>
          <w:color w:val="auto"/>
        </w:rPr>
        <w:t>Regeneron Manufacturing Site Notice</w:t>
      </w:r>
      <w:r>
        <w:rPr>
          <w:rFonts w:ascii="Arial" w:cs="Arial" w:eastAsia="Arial" w:hAnsi="Arial"/>
          <w:sz w:val="19"/>
          <w:szCs w:val="19"/>
          <w:color w:val="auto"/>
        </w:rPr>
        <w:t>”). Within [* * *] days following Sanofi’s receipt of the Regeneron Manufacturing Site Notice, the Parties shall [* * *]. Each Party shall use commercially reasonable efforts to perform its activities [* * *] within the anticipated timelines, and Regeneron shall use commercially reasonable efforts to enable it to accept the Finished Product technology transfer, including obtaining and making available such information, personnel, products, materials, services, facilities and other resources as reasonably necessary to implement such technology transfer. Provided that Sanofi has complied with its obligations under this Section 7.2(a) [* * *], Sanofi shall not be liable to Regeneron for Regeneron’s inability to Manufacture Finished Product from Formulated Drug Substance [* * *]. Except to the extent specifically set forth in [* * *], the Praluent Transition Services Agreement, the Praluent Pharmacovigilance Transition Services Agreement or this Section 7.2(a), Sanofi shall have no obligation to provide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7" w:right="339" w:bottom="1440" w:gutter="0" w:footer="0" w:header="0"/>
        </w:sectPr>
      </w:pPr>
    </w:p>
    <w:bookmarkStart w:id="142" w:name="page143"/>
    <w:bookmarkEnd w:id="142"/>
    <w:p>
      <w:pPr>
        <w:spacing w:after="0" w:line="263" w:lineRule="auto"/>
        <w:rPr>
          <w:sz w:val="20"/>
          <w:szCs w:val="20"/>
          <w:color w:val="auto"/>
        </w:rPr>
      </w:pPr>
      <w:r>
        <w:rPr>
          <w:rFonts w:ascii="Arial" w:cs="Arial" w:eastAsia="Arial" w:hAnsi="Arial"/>
          <w:sz w:val="22"/>
          <w:szCs w:val="22"/>
          <w:color w:val="auto"/>
        </w:rPr>
        <w:t>or other support with respect to the transfer of Finished Product Manufacture (from Formulated Drug Substance) from Sanofi to Regeneron or its designee.</w:t>
      </w:r>
    </w:p>
    <w:p>
      <w:pPr>
        <w:spacing w:after="0" w:line="175" w:lineRule="exact"/>
        <w:rPr>
          <w:sz w:val="20"/>
          <w:szCs w:val="20"/>
          <w:color w:val="auto"/>
        </w:rPr>
      </w:pPr>
    </w:p>
    <w:p>
      <w:pPr>
        <w:jc w:val="both"/>
        <w:ind w:right="20" w:firstLine="1304"/>
        <w:spacing w:after="0" w:line="312"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 *], upon Regeneron’s request, Sanofi shall use commercially reasonable efforts to facilitate an introduction and an initial discussion between Regeneron and any Third Party with which Sanofi or its Affiliate has a material Third Party supplier relationship that pertains to the Finished Product (including any delivery devices, e.g., an autoinjector).</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Drug Substance Tech Transfer Plan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5" w:lineRule="auto"/>
        <w:tabs>
          <w:tab w:leader="none" w:pos="1941"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Parties acknowledge that the activities necessary to enable Sanofi to Manufacture or have Manufactured Formulated Drug Substance have been substantially advanced by the Parties as of the Transition Date and, except for the activities set forth in the Drug Substance Tech Transfer Plan, Sanofi has received the Formulated Drug Substance technology transfer as of the Transition Date. Schedule 7.3(a) is the Manufacturing technology transfer plan setting forth a high-level summary of the Parties’ remaining activities necessary for Sanofi to Manufacture or have Manufactured Formulated Drug Substance, as well as the anticipated starting date and timelines for the completion of such activities (the “</w:t>
      </w:r>
      <w:r>
        <w:rPr>
          <w:rFonts w:ascii="Arial" w:cs="Arial" w:eastAsia="Arial" w:hAnsi="Arial"/>
          <w:sz w:val="19"/>
          <w:szCs w:val="19"/>
          <w:u w:val="single" w:color="auto"/>
          <w:color w:val="auto"/>
        </w:rPr>
        <w:t>Drug Substance Tech</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 Plan</w:t>
      </w:r>
      <w:r>
        <w:rPr>
          <w:rFonts w:ascii="Arial" w:cs="Arial" w:eastAsia="Arial" w:hAnsi="Arial"/>
          <w:sz w:val="19"/>
          <w:szCs w:val="19"/>
          <w:color w:val="auto"/>
        </w:rPr>
        <w:t>”). Each Party shall appoint a technology transfer coordinator to serve as a single point of contact with respect to the Parties’ activities under the Drug Substance Tech Transfer Plan. Each Party shall use commercially reasonable efforts to perform its activities under the Drug Substance Tech Transfer Plan within the anticipated timelines, and Sanofi shall use commercially reasonable efforts to enable it to accept the remainder of the Formulated Drug Substance technology transfer, including obtaining and making available such information, personnel, products, materials, services, facilities and other resources as reasonably necessary to implement such technology transfer. Provided that Regeneron has complied with its obligations under this Section 7.3(a) and the Drug Substance Tech Transfer Plan, Regeneron shall not be liable to Sanofi for Sanofi’s inability to Manufacture Formulated Drug Substance following completion of the activities contemplated under the Drug Substance Tech Transfer Plan. Except to the extent specifically set forth in the Drug Substance Tech Transfer Plan, the Praluent Transition Services Agreement, the Praluent Pharmacovigilance Transition Services Agreement or this Section 7.3, Regeneron shall have no obligation to provide transition or other support with respect to the transfer of Formulated Drug Substance Manufacture to Sanofi.</w:t>
      </w:r>
    </w:p>
    <w:p>
      <w:pPr>
        <w:spacing w:after="0" w:line="165" w:lineRule="exact"/>
        <w:rPr>
          <w:rFonts w:ascii="Arial" w:cs="Arial" w:eastAsia="Arial" w:hAnsi="Arial"/>
          <w:sz w:val="19"/>
          <w:szCs w:val="19"/>
          <w:color w:val="auto"/>
        </w:rPr>
      </w:pPr>
    </w:p>
    <w:p>
      <w:pPr>
        <w:jc w:val="both"/>
        <w:ind w:firstLine="1304"/>
        <w:spacing w:after="0" w:line="312" w:lineRule="auto"/>
        <w:tabs>
          <w:tab w:leader="none" w:pos="193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As part of the Drug Substance Tech Transfer Plan, upon Sanofi’s request, Regeneron shall use commercially reasonable efforts to facilitate an introduction and an initial discussion between Sanofi and any Third Party with which Regeneron or its Affiliate has a material Third Party supplier relationship that pertains to the Formulated Drug Substance.</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Technology Transfer Costs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02" w:lineRule="auto"/>
        <w:tabs>
          <w:tab w:leader="none" w:pos="1941" w:val="left"/>
        </w:tabs>
        <w:numPr>
          <w:ilvl w:val="0"/>
          <w:numId w:val="80"/>
        </w:numPr>
        <w:rPr>
          <w:rFonts w:ascii="Arial" w:cs="Arial" w:eastAsia="Arial" w:hAnsi="Arial"/>
          <w:sz w:val="19"/>
          <w:szCs w:val="19"/>
          <w:color w:val="auto"/>
        </w:rPr>
      </w:pPr>
      <w:r>
        <w:rPr>
          <w:rFonts w:ascii="Arial" w:cs="Arial" w:eastAsia="Arial" w:hAnsi="Arial"/>
          <w:sz w:val="19"/>
          <w:szCs w:val="19"/>
          <w:color w:val="auto"/>
        </w:rPr>
        <w:t>Subject to Section 7.4(b), each Party shall bear all of its and its Affiliates’ costs and expenses incurred in connection with its assigned activities under [* * *] the Drug Substance Tech Transfer Plan (each, a “</w:t>
      </w:r>
      <w:r>
        <w:rPr>
          <w:rFonts w:ascii="Arial" w:cs="Arial" w:eastAsia="Arial" w:hAnsi="Arial"/>
          <w:sz w:val="19"/>
          <w:szCs w:val="19"/>
          <w:u w:val="single" w:color="auto"/>
          <w:color w:val="auto"/>
        </w:rPr>
        <w:t>Tech Transfer Plan</w:t>
      </w:r>
      <w:r>
        <w:rPr>
          <w:rFonts w:ascii="Arial" w:cs="Arial" w:eastAsia="Arial" w:hAnsi="Arial"/>
          <w:sz w:val="19"/>
          <w:szCs w:val="19"/>
          <w:color w:val="auto"/>
        </w:rPr>
        <w:t>” where each Party transferring the Manufacturing process under a Tech Transfer Plan shall be a “</w:t>
      </w:r>
      <w:r>
        <w:rPr>
          <w:rFonts w:ascii="Arial" w:cs="Arial" w:eastAsia="Arial" w:hAnsi="Arial"/>
          <w:sz w:val="19"/>
          <w:szCs w:val="19"/>
          <w:u w:val="single" w:color="auto"/>
          <w:color w:val="auto"/>
        </w:rPr>
        <w:t>Transferor</w:t>
      </w:r>
      <w:r>
        <w:rPr>
          <w:rFonts w:ascii="Arial" w:cs="Arial" w:eastAsia="Arial" w:hAnsi="Arial"/>
          <w:sz w:val="19"/>
          <w:szCs w:val="19"/>
          <w:color w:val="auto"/>
        </w:rPr>
        <w:t>” and each Party implementing such Manufacturing process under a Tech Transfer Plan shall be a “</w:t>
      </w:r>
      <w:r>
        <w:rPr>
          <w:rFonts w:ascii="Arial" w:cs="Arial" w:eastAsia="Arial" w:hAnsi="Arial"/>
          <w:sz w:val="19"/>
          <w:szCs w:val="19"/>
          <w:u w:val="single" w:color="auto"/>
          <w:color w:val="auto"/>
        </w:rPr>
        <w:t>Transferee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7" w:right="339" w:bottom="1440" w:gutter="0" w:footer="0" w:header="0"/>
        </w:sectPr>
      </w:pPr>
    </w:p>
    <w:bookmarkStart w:id="143" w:name="page144"/>
    <w:bookmarkEnd w:id="143"/>
    <w:p>
      <w:pPr>
        <w:jc w:val="both"/>
        <w:ind w:firstLine="1304"/>
        <w:spacing w:after="0" w:line="246"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color w:val="auto"/>
        </w:rPr>
        <w:t>With respect to each Tech Transfer Plan, the Transferee shall, pursuant to Section 7.4(d), reimburse to the Transferor (i) [* * *] percent ([* * *]%) of the Transferor’s Out-of-Pocket Costs incurred by the Transferor and its Affiliates in connection with the Transferor’s assigned activities under such Tech Transfer Plan and (ii) (A) [* * *] percent ([* * *]%) of the Transferor’s Tech Transfer FTE Costs incurred by the Transferor and its Affiliates in connection with the Transferor’s assigned activities under such Tech Transfer Plan during [* * *] and (B) thereafter, [* * *] percent ([* * *]%) of the Transferor’s Tech Transfer FTE Costs incurred by the Transferor and its Affiliates in connection with the Transferor’s assigned activities under such Tech Transfer Plan.</w:t>
      </w:r>
    </w:p>
    <w:p>
      <w:pPr>
        <w:spacing w:after="0" w:line="196" w:lineRule="exact"/>
        <w:rPr>
          <w:rFonts w:ascii="Arial" w:cs="Arial" w:eastAsia="Arial" w:hAnsi="Arial"/>
          <w:sz w:val="22"/>
          <w:szCs w:val="22"/>
          <w:color w:val="auto"/>
        </w:rPr>
      </w:pPr>
    </w:p>
    <w:p>
      <w:pPr>
        <w:jc w:val="both"/>
        <w:ind w:firstLine="1304"/>
        <w:spacing w:after="0" w:line="259" w:lineRule="auto"/>
        <w:tabs>
          <w:tab w:leader="none" w:pos="1941" w:val="left"/>
        </w:tabs>
        <w:numPr>
          <w:ilvl w:val="0"/>
          <w:numId w:val="81"/>
        </w:numPr>
        <w:rPr>
          <w:rFonts w:ascii="Arial" w:cs="Arial" w:eastAsia="Arial" w:hAnsi="Arial"/>
          <w:sz w:val="21"/>
          <w:szCs w:val="21"/>
          <w:color w:val="auto"/>
        </w:rPr>
      </w:pPr>
      <w:r>
        <w:rPr>
          <w:rFonts w:ascii="Arial" w:cs="Arial" w:eastAsia="Arial" w:hAnsi="Arial"/>
          <w:sz w:val="21"/>
          <w:szCs w:val="21"/>
          <w:color w:val="auto"/>
        </w:rPr>
        <w:t>Within ten (10) days following the end of each Calendar Quarter during which the Transferor or any of its Affiliates incurs any Out-of-Pocket Costs or Tech Transfer FTE Costs in connection with a Tech Transfer Plan for which the Transferee has an obligation to reimburse the Transferor pursuant to Section 7.4(b), the Transferor shall deliver to the Transferee an estimate of such Out-of-Pocket Costs or Tech Transfer FTE Costs. Within thirty (30) days following the end of each Calendar Quarter during which the Transferor or any of its Affiliates incurs any Out-of-Pocket Costs or Tech Transfer FTE Costs in connection with a Tech Transfer Plan for which the Transferee has an obligation to reimburse the Transferor pursuant to Section 7.4(b), the Transferor shall deliver to the Transferee a report providing detail in respect of such Out-of-Pocket Costs or Tech Transfer FTE Costs sufficient to enable the Transferee to verify the amount of such Out-of-Pocket Costs or Tech Transfer FTE Costs (a “</w:t>
      </w:r>
      <w:r>
        <w:rPr>
          <w:rFonts w:ascii="Arial" w:cs="Arial" w:eastAsia="Arial" w:hAnsi="Arial"/>
          <w:sz w:val="21"/>
          <w:szCs w:val="21"/>
          <w:u w:val="single" w:color="auto"/>
          <w:color w:val="auto"/>
        </w:rPr>
        <w:t>Technology Transfer Cost Report</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304"/>
        <w:spacing w:after="0" w:line="263" w:lineRule="auto"/>
        <w:tabs>
          <w:tab w:leader="none" w:pos="1939" w:val="left"/>
        </w:tabs>
        <w:numPr>
          <w:ilvl w:val="0"/>
          <w:numId w:val="81"/>
        </w:numPr>
        <w:rPr>
          <w:rFonts w:ascii="Arial" w:cs="Arial" w:eastAsia="Arial" w:hAnsi="Arial"/>
          <w:sz w:val="21"/>
          <w:szCs w:val="21"/>
          <w:color w:val="auto"/>
        </w:rPr>
      </w:pPr>
      <w:r>
        <w:rPr>
          <w:rFonts w:ascii="Arial" w:cs="Arial" w:eastAsia="Arial" w:hAnsi="Arial"/>
          <w:sz w:val="21"/>
          <w:szCs w:val="21"/>
          <w:color w:val="auto"/>
        </w:rPr>
        <w:t>Simultaneous with the delivery of a Technology Transfer Costs Report by the Transferor to the Transferee, the Transferor shall submit an invoice to the Transferee for the total amount that the Transferee is obligated, per Section 7.4(b), to reimburse to the Transferor in respect of the Out-of-Pocket Costs and Tech Transfer FTE Costs reflected in such Technology Transfer Costs Report, and the Transferee shall pay such invoice no later than forty-five (45) days after receipt thereof. Each such payment shall be subject to the provisions of Section 8.7 through Section 8.12.</w:t>
      </w:r>
    </w:p>
    <w:p>
      <w:pPr>
        <w:spacing w:after="0" w:line="175" w:lineRule="exact"/>
        <w:rPr>
          <w:rFonts w:ascii="Arial" w:cs="Arial" w:eastAsia="Arial" w:hAnsi="Arial"/>
          <w:sz w:val="21"/>
          <w:szCs w:val="21"/>
          <w:color w:val="auto"/>
        </w:rPr>
      </w:pPr>
    </w:p>
    <w:p>
      <w:pPr>
        <w:ind w:left="1940" w:hanging="636"/>
        <w:spacing w:after="0"/>
        <w:tabs>
          <w:tab w:leader="none" w:pos="19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For the avoidance of doubt, any Out-of-Pocket Costs referred to in this Section 7.4 will be [* * *].</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Praluent Supply Agreements</w:t>
      </w:r>
      <w:r>
        <w:rPr>
          <w:rFonts w:ascii="Arial" w:cs="Arial" w:eastAsia="Arial" w:hAnsi="Arial"/>
          <w:sz w:val="19"/>
          <w:szCs w:val="19"/>
          <w:color w:val="auto"/>
        </w:rPr>
        <w:t>. Simultaneously with the execution of this Agreement, the Parties (or their Affiliates)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have entered into supply agreements, under which:</w:t>
      </w:r>
    </w:p>
    <w:p>
      <w:pPr>
        <w:spacing w:after="0" w:line="202" w:lineRule="exact"/>
        <w:rPr>
          <w:sz w:val="20"/>
          <w:szCs w:val="20"/>
          <w:color w:val="auto"/>
        </w:rPr>
      </w:pPr>
    </w:p>
    <w:p>
      <w:pPr>
        <w:ind w:firstLine="1304"/>
        <w:spacing w:after="0" w:line="263"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Sanofi or its Affiliates shall procure Formulated Drug Substance from Regeneron or its Affiliates (the “</w:t>
      </w:r>
      <w:r>
        <w:rPr>
          <w:rFonts w:ascii="Arial" w:cs="Arial" w:eastAsia="Arial" w:hAnsi="Arial"/>
          <w:sz w:val="22"/>
          <w:szCs w:val="22"/>
          <w:u w:val="single" w:color="auto"/>
          <w:color w:val="auto"/>
        </w:rPr>
        <w:t>Praluent Substance Supply Agreement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Subject to Section 4.4, Regeneron or its Affiliates shall procure Finished Product from Sanofi or its Affiliates (the “</w:t>
      </w:r>
      <w:r>
        <w:rPr>
          <w:rFonts w:ascii="Arial" w:cs="Arial" w:eastAsia="Arial" w:hAnsi="Arial"/>
          <w:sz w:val="22"/>
          <w:szCs w:val="22"/>
          <w:u w:val="single" w:color="auto"/>
          <w:color w:val="auto"/>
        </w:rPr>
        <w:t>Finished Product Supply Agreement</w:t>
      </w:r>
      <w:r>
        <w:rPr>
          <w:rFonts w:ascii="Arial" w:cs="Arial" w:eastAsia="Arial" w:hAnsi="Arial"/>
          <w:sz w:val="22"/>
          <w:szCs w:val="22"/>
          <w:color w:val="auto"/>
        </w:rPr>
        <w: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Back-up Supply</w:t>
      </w:r>
      <w:r>
        <w:rPr>
          <w:rFonts w:ascii="Arial" w:cs="Arial" w:eastAsia="Arial" w:hAnsi="Arial"/>
          <w:sz w:val="22"/>
          <w:szCs w:val="22"/>
          <w:color w:val="auto"/>
        </w:rPr>
        <w:t>. The Parties acknowledge that the Praluent Substance Supply Agreement will address the Parties’ rights and obligations in respect of back-up supply of Formulated Drug Substance by Regeneron to Sanofi during the term of the Praluent Substance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7" w:right="3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If after the term of the Praluent Substance Supply Agreement, (a) Sanofi experiences [* * *], (b) Sanofi is [* * *] and</w:t>
      </w:r>
    </w:p>
    <w:p>
      <w:pPr>
        <w:spacing w:after="0" w:line="21" w:lineRule="exact"/>
        <w:rPr>
          <w:sz w:val="20"/>
          <w:szCs w:val="20"/>
          <w:color w:val="auto"/>
        </w:rPr>
      </w:pPr>
    </w:p>
    <w:p>
      <w:pPr>
        <w:jc w:val="both"/>
        <w:ind w:firstLine="8"/>
        <w:spacing w:after="0" w:line="244" w:lineRule="auto"/>
        <w:tabs>
          <w:tab w:leader="none" w:pos="297"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Regeneron is [* * *], then, upon Sanofi’s reasonable request (which request shall include Sanofi’s requested quantities of, and delivery dates for, Formulated Drug Substance manufactured [* * *], “</w:t>
      </w:r>
      <w:r>
        <w:rPr>
          <w:rFonts w:ascii="Arial" w:cs="Arial" w:eastAsia="Arial" w:hAnsi="Arial"/>
          <w:sz w:val="22"/>
          <w:szCs w:val="22"/>
          <w:u w:val="single" w:color="auto"/>
          <w:color w:val="auto"/>
        </w:rPr>
        <w:t>Back-Up Request</w:t>
      </w:r>
      <w:r>
        <w:rPr>
          <w:rFonts w:ascii="Arial" w:cs="Arial" w:eastAsia="Arial" w:hAnsi="Arial"/>
          <w:sz w:val="22"/>
          <w:szCs w:val="22"/>
          <w:color w:val="auto"/>
        </w:rPr>
        <w:t>”), Regeneron shall consider Sanofi’s Back-Up Request and within [* * *] Business Days of receiving such request, Regeneron shall [* * *], and (x) if Regeneron [* * *] and (y) if Regeneron [* * *].</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Regeneron Cell Media</w:t>
      </w:r>
      <w:r>
        <w:rPr>
          <w:rFonts w:ascii="Arial" w:cs="Arial" w:eastAsia="Arial" w:hAnsi="Arial"/>
          <w:sz w:val="22"/>
          <w:szCs w:val="22"/>
          <w:color w:val="auto"/>
        </w:rPr>
        <w:t>.</w:t>
      </w:r>
    </w:p>
    <w:p>
      <w:pPr>
        <w:spacing w:after="0" w:line="220" w:lineRule="exact"/>
        <w:rPr>
          <w:sz w:val="20"/>
          <w:szCs w:val="20"/>
          <w:color w:val="auto"/>
        </w:rPr>
      </w:pPr>
    </w:p>
    <w:p>
      <w:pPr>
        <w:ind w:right="20" w:firstLine="1304"/>
        <w:spacing w:after="0" w:line="263" w:lineRule="auto"/>
        <w:tabs>
          <w:tab w:leader="none" w:pos="1941" w:val="left"/>
        </w:tabs>
        <w:numPr>
          <w:ilvl w:val="0"/>
          <w:numId w:val="84"/>
        </w:numPr>
        <w:rPr>
          <w:rFonts w:ascii="Arial" w:cs="Arial" w:eastAsia="Arial" w:hAnsi="Arial"/>
          <w:sz w:val="22"/>
          <w:szCs w:val="22"/>
          <w:color w:val="auto"/>
        </w:rPr>
      </w:pPr>
      <w:r>
        <w:rPr>
          <w:rFonts w:ascii="Arial" w:cs="Arial" w:eastAsia="Arial" w:hAnsi="Arial"/>
          <w:sz w:val="22"/>
          <w:szCs w:val="22"/>
          <w:color w:val="auto"/>
        </w:rPr>
        <w:t>As long as Sanofi is complying with its obligations under Section 2.4(b) and Section 13.3(c), Regeneron hereby grants Sanofi the rights [* * *].</w:t>
      </w:r>
    </w:p>
    <w:p>
      <w:pPr>
        <w:spacing w:after="0" w:line="174" w:lineRule="exact"/>
        <w:rPr>
          <w:rFonts w:ascii="Arial" w:cs="Arial" w:eastAsia="Arial" w:hAnsi="Arial"/>
          <w:sz w:val="22"/>
          <w:szCs w:val="22"/>
          <w:color w:val="auto"/>
        </w:rPr>
      </w:pPr>
    </w:p>
    <w:p>
      <w:pPr>
        <w:jc w:val="both"/>
        <w:ind w:firstLine="1304"/>
        <w:spacing w:after="0" w:line="265" w:lineRule="auto"/>
        <w:tabs>
          <w:tab w:leader="none" w:pos="1939" w:val="left"/>
        </w:tabs>
        <w:numPr>
          <w:ilvl w:val="0"/>
          <w:numId w:val="84"/>
        </w:numPr>
        <w:rPr>
          <w:rFonts w:ascii="Arial" w:cs="Arial" w:eastAsia="Arial" w:hAnsi="Arial"/>
          <w:sz w:val="21"/>
          <w:szCs w:val="21"/>
          <w:color w:val="auto"/>
        </w:rPr>
      </w:pPr>
      <w:r>
        <w:rPr>
          <w:rFonts w:ascii="Arial" w:cs="Arial" w:eastAsia="Arial" w:hAnsi="Arial"/>
          <w:sz w:val="21"/>
          <w:szCs w:val="21"/>
          <w:color w:val="auto"/>
        </w:rPr>
        <w:t>Sanofi shall not, and shall cause its Affiliates not to, (i) use Regeneron Cell Media for any purpose other than to Manufacture the Formulated Drug Substance for purposes of Commercializing Praluent Products in the Sanofi Territory (including any Development in support of such Commercialization) or (ii) transfer Regeneron Cell Media to any Third Party other than a Third Party contract manufacturer approved by Regeneron pursuant to Section 2.3(c).</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Cell Banks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Parties acknowledge that the transfer of any vials of Praluent Master Cell Bank or Praluent Working Cell Bank from Regeneron to Sanofi will be carried out as and to the extent set forth in the Drug Substance Tech Transfer Plan and, notwithstanding anything herein to the contrary, at [* * *].</w:t>
      </w:r>
    </w:p>
    <w:p>
      <w:pPr>
        <w:spacing w:after="0" w:line="185" w:lineRule="exact"/>
        <w:rPr>
          <w:rFonts w:ascii="Arial" w:cs="Arial" w:eastAsia="Arial" w:hAnsi="Arial"/>
          <w:sz w:val="22"/>
          <w:szCs w:val="22"/>
          <w:color w:val="auto"/>
        </w:rPr>
      </w:pPr>
    </w:p>
    <w:p>
      <w:pPr>
        <w:jc w:val="both"/>
        <w:ind w:firstLine="1304"/>
        <w:spacing w:after="0" w:line="263" w:lineRule="auto"/>
        <w:tabs>
          <w:tab w:leader="none" w:pos="1939" w:val="left"/>
        </w:tabs>
        <w:numPr>
          <w:ilvl w:val="0"/>
          <w:numId w:val="85"/>
        </w:numPr>
        <w:rPr>
          <w:rFonts w:ascii="Arial" w:cs="Arial" w:eastAsia="Arial" w:hAnsi="Arial"/>
          <w:sz w:val="21"/>
          <w:szCs w:val="21"/>
          <w:color w:val="auto"/>
        </w:rPr>
      </w:pPr>
      <w:r>
        <w:rPr>
          <w:rFonts w:ascii="Arial" w:cs="Arial" w:eastAsia="Arial" w:hAnsi="Arial"/>
          <w:sz w:val="21"/>
          <w:szCs w:val="21"/>
          <w:color w:val="auto"/>
        </w:rPr>
        <w:t>Sanofi shall not, and shall cause its Affiliates not to, (i) use any Praluent Working Cell Bank or Praluent Master Cell Bank (or any component thereof) for any purpose other than to Manufacture the Formulated Drug Substance for purposes of Commercializing Praluent Products in the Sanofi Territory (including any Development in support of such Commercialization) or (ii) transfer any Praluent Working Cell Bank or Praluent Master Cell Bank to any Third Party other than a Third Party contract manufacturer approved by Regeneron pursuant to Section 2.3(c).</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41"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Regeneron desires to no longer maintain the Praluent Master Cell Bank, then Regeneron shall notify Sanofi of such desire, and Sanofi shall have thirty (30) days after receipt of such notice to take custody of the Praluent Master Cell Bank at its sole cost and expense. If Sanofi does not take custody of the Praluent Master Cell Bank within such thirty (30) day period, then Regeneron shall have the right to destroy it.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Manufacturing Transition Team</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Formation and Responsibilities</w:t>
      </w:r>
      <w:r>
        <w:rPr>
          <w:rFonts w:ascii="Arial" w:cs="Arial" w:eastAsia="Arial" w:hAnsi="Arial"/>
          <w:sz w:val="19"/>
          <w:szCs w:val="19"/>
          <w:color w:val="auto"/>
        </w:rPr>
        <w:t>. Within thirty (30) days after the Execution Date, the Parties shall establish a Manufacturing transition team (the “</w:t>
      </w:r>
      <w:r>
        <w:rPr>
          <w:rFonts w:ascii="Arial" w:cs="Arial" w:eastAsia="Arial" w:hAnsi="Arial"/>
          <w:sz w:val="19"/>
          <w:szCs w:val="19"/>
          <w:u w:val="single" w:color="auto"/>
          <w:color w:val="auto"/>
        </w:rPr>
        <w:t>Manufacturing Transition Team</w:t>
      </w:r>
      <w:r>
        <w:rPr>
          <w:rFonts w:ascii="Arial" w:cs="Arial" w:eastAsia="Arial" w:hAnsi="Arial"/>
          <w:sz w:val="19"/>
          <w:szCs w:val="19"/>
          <w:color w:val="auto"/>
        </w:rPr>
        <w:t>”), which shall have the following responsibilities: (i) overseeing forecasting, ordering and order fulfilment under the Praluent Supply Agreements and serving as a forum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53" w:lineRule="auto"/>
        <w:rPr>
          <w:sz w:val="20"/>
          <w:szCs w:val="20"/>
          <w:color w:val="auto"/>
        </w:rPr>
      </w:pPr>
      <w:r>
        <w:rPr>
          <w:rFonts w:ascii="Arial" w:cs="Arial" w:eastAsia="Arial" w:hAnsi="Arial"/>
          <w:sz w:val="22"/>
          <w:szCs w:val="22"/>
          <w:color w:val="auto"/>
        </w:rPr>
        <w:t>the Parties to discuss matters with respect thereto; (ii) overseeing the performance of the Tech Transfer Plans; and (iii) serving as a forum for the Parties to discuss other Manufacturing-related topics, such as and not limited to manufacturing changes or new product launches for Praluent Products.</w:t>
      </w:r>
    </w:p>
    <w:p>
      <w:pPr>
        <w:spacing w:after="0" w:line="185"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Composition; Meetings; Disbandment; Limitations on Authority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312" w:lineRule="auto"/>
        <w:tabs>
          <w:tab w:leader="none" w:pos="2701"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Composition</w:t>
      </w:r>
      <w:r>
        <w:rPr>
          <w:rFonts w:ascii="Arial" w:cs="Arial" w:eastAsia="Arial" w:hAnsi="Arial"/>
          <w:sz w:val="19"/>
          <w:szCs w:val="19"/>
          <w:color w:val="auto"/>
        </w:rPr>
        <w:t>. The Manufacturing Transition Team shall be comprised of such number of representatives from each Party as the Parties may agree from time to time, provided that the Parties shall provide an equal number of representatives. A Party may change any of its representatives at any time by giving written notice to the other Party.</w:t>
      </w:r>
    </w:p>
    <w:p>
      <w:pPr>
        <w:spacing w:after="0" w:line="133" w:lineRule="exact"/>
        <w:rPr>
          <w:rFonts w:ascii="Arial" w:cs="Arial" w:eastAsia="Arial" w:hAnsi="Arial"/>
          <w:sz w:val="19"/>
          <w:szCs w:val="19"/>
          <w:color w:val="auto"/>
        </w:rPr>
      </w:pPr>
    </w:p>
    <w:p>
      <w:pPr>
        <w:jc w:val="both"/>
        <w:ind w:firstLine="1952"/>
        <w:spacing w:after="0" w:line="253" w:lineRule="auto"/>
        <w:tabs>
          <w:tab w:leader="none" w:pos="2694"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Manufacturing Transition Team shall adopt such standing rules regarding its meetings (including regarding the frequency of such meetings) as shall be necessary for its work, to the extent that such rules are not inconsistent with this Agreement.</w:t>
      </w:r>
    </w:p>
    <w:p>
      <w:pPr>
        <w:spacing w:after="0" w:line="185" w:lineRule="exact"/>
        <w:rPr>
          <w:rFonts w:ascii="Arial" w:cs="Arial" w:eastAsia="Arial" w:hAnsi="Arial"/>
          <w:sz w:val="22"/>
          <w:szCs w:val="22"/>
          <w:color w:val="auto"/>
        </w:rPr>
      </w:pPr>
    </w:p>
    <w:p>
      <w:pPr>
        <w:jc w:val="both"/>
        <w:ind w:right="20" w:firstLine="1952"/>
        <w:spacing w:after="0" w:line="302" w:lineRule="auto"/>
        <w:tabs>
          <w:tab w:leader="none" w:pos="2727"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Disbandment</w:t>
      </w:r>
      <w:r>
        <w:rPr>
          <w:rFonts w:ascii="Arial" w:cs="Arial" w:eastAsia="Arial" w:hAnsi="Arial"/>
          <w:sz w:val="19"/>
          <w:szCs w:val="19"/>
          <w:color w:val="auto"/>
        </w:rPr>
        <w:t>. Upon completion of all activities in connection with the Praluent Supply Agreements and the Tech Transfer Plans, either Party shall have the right to request that the other Party consent to the disbandment of the Manufacturing Transition Team, such consent not to be unreasonably withheld, conditioned or delayed. The Manufacturing Transition Team will in any case be disbanded on the [* * *] anniversary of the Transition Date.</w:t>
      </w:r>
    </w:p>
    <w:p>
      <w:pPr>
        <w:spacing w:after="0" w:line="142" w:lineRule="exact"/>
        <w:rPr>
          <w:rFonts w:ascii="Arial" w:cs="Arial" w:eastAsia="Arial" w:hAnsi="Arial"/>
          <w:sz w:val="19"/>
          <w:szCs w:val="19"/>
          <w:color w:val="auto"/>
        </w:rPr>
      </w:pPr>
    </w:p>
    <w:p>
      <w:pPr>
        <w:ind w:firstLine="1952"/>
        <w:spacing w:after="0" w:line="263" w:lineRule="auto"/>
        <w:tabs>
          <w:tab w:leader="none" w:pos="2661"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Limitations on Authority</w:t>
      </w:r>
      <w:r>
        <w:rPr>
          <w:rFonts w:ascii="Arial" w:cs="Arial" w:eastAsia="Arial" w:hAnsi="Arial"/>
          <w:sz w:val="22"/>
          <w:szCs w:val="22"/>
          <w:color w:val="auto"/>
        </w:rPr>
        <w:t>. The Manufacturing Transition Team shall be a consultative body and shall not have any independent decision-making authority.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BOOKS &amp; RECORDS; AUDITS</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Royalties to Regeneron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Royalties Generally</w:t>
      </w:r>
      <w:r>
        <w:rPr>
          <w:rFonts w:ascii="Arial" w:cs="Arial" w:eastAsia="Arial" w:hAnsi="Arial"/>
          <w:sz w:val="22"/>
          <w:szCs w:val="22"/>
          <w:color w:val="auto"/>
        </w:rPr>
        <w:t>. In consideration of the licenses granted by Regeneron to Sanofi pursuant to Article 2 of this Agreement, Sanofi shall pay to Regeneron a five percent (5%) royalty on Net Sales of the Praluent Royalty Products in the Sanofi Territory, paid on a Calendar Quarter basis.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payments made under this Agreement are exclusive of VAT, GST, sales and use tax, or similar tax, which shall be added thereon as applicable.</w:t>
      </w:r>
    </w:p>
    <w:p>
      <w:pPr>
        <w:spacing w:after="0" w:line="175" w:lineRule="exact"/>
        <w:rPr>
          <w:sz w:val="20"/>
          <w:szCs w:val="20"/>
          <w:color w:val="auto"/>
        </w:rPr>
      </w:pPr>
    </w:p>
    <w:p>
      <w:pPr>
        <w:ind w:firstLine="1304"/>
        <w:spacing w:after="0" w:line="263" w:lineRule="auto"/>
        <w:tabs>
          <w:tab w:leader="none" w:pos="193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Royalty Payment Term</w:t>
      </w:r>
      <w:r>
        <w:rPr>
          <w:rFonts w:ascii="Arial" w:cs="Arial" w:eastAsia="Arial" w:hAnsi="Arial"/>
          <w:sz w:val="22"/>
          <w:szCs w:val="22"/>
          <w:color w:val="auto"/>
        </w:rPr>
        <w:t>. The above royalties shall be payable from the Transition Date until the [* * *] anniversary of the Transition Date (the “</w:t>
      </w:r>
      <w:r>
        <w:rPr>
          <w:rFonts w:ascii="Arial" w:cs="Arial" w:eastAsia="Arial" w:hAnsi="Arial"/>
          <w:sz w:val="22"/>
          <w:szCs w:val="22"/>
          <w:u w:val="single" w:color="auto"/>
          <w:color w:val="auto"/>
        </w:rPr>
        <w:t>Royalty Term</w:t>
      </w:r>
      <w:r>
        <w:rPr>
          <w:rFonts w:ascii="Arial" w:cs="Arial" w:eastAsia="Arial" w:hAnsi="Arial"/>
          <w:sz w:val="22"/>
          <w:szCs w:val="22"/>
          <w:color w:val="auto"/>
        </w:rPr>
        <w:t>”), irrespective of [* * *]. By way of illustration, [* * *].</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Royalty Deductions</w:t>
      </w:r>
      <w:r>
        <w:rPr>
          <w:rFonts w:ascii="Arial" w:cs="Arial" w:eastAsia="Arial" w:hAnsi="Arial"/>
          <w:sz w:val="22"/>
          <w:szCs w:val="22"/>
          <w:color w:val="auto"/>
        </w:rPr>
        <w:t>. During the Royalty Term, Sanofi shall have the right to deduct from any royalty payment made to Regeneron pursuant to Section 8.1(a) with respect to a country in the Sanofi Territory in any given Calendar Quarter [* * *] percent ([* * *]%)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9"/>
          <w:szCs w:val="19"/>
          <w:color w:val="auto"/>
        </w:rPr>
        <w:t>any payments in respect of the Praluent Compound that are owed by Sanofi [* * *]; provided, however, that the foregoing shall not apply to any payments owed by Sanofi [* * *] with respect to which Regeneron has already borne or reimbursed [* * *] percent ([* * *]%) under Section 14.1(c)(i)(B) of this Agreement. Subject to Section 14.1(c), Sanofi shall bear [* * *] percent ([*</w:t>
      </w:r>
    </w:p>
    <w:p>
      <w:pPr>
        <w:spacing w:after="0" w:line="1" w:lineRule="exact"/>
        <w:rPr>
          <w:sz w:val="20"/>
          <w:szCs w:val="20"/>
          <w:color w:val="auto"/>
        </w:rPr>
      </w:pPr>
    </w:p>
    <w:p>
      <w:pPr>
        <w:jc w:val="both"/>
        <w:ind w:firstLine="8"/>
        <w:spacing w:after="0" w:line="302" w:lineRule="auto"/>
        <w:tabs>
          <w:tab w:leader="none" w:pos="16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of any other payment owed by Sanofi, its Affiliates or its or their Sublicensees [* * *] under any New Sanofi License, or any other license or settlement, entered into by Sanofi, its Affiliates or its or their Sublicensees in connection with their Development, Manufacture or Commercialization of any Praluent Royalty Product under this Agreement or otherwise.</w:t>
      </w:r>
    </w:p>
    <w:p>
      <w:pPr>
        <w:spacing w:after="0" w:line="142" w:lineRule="exact"/>
        <w:rPr>
          <w:rFonts w:ascii="Arial" w:cs="Arial" w:eastAsia="Arial" w:hAnsi="Arial"/>
          <w:sz w:val="19"/>
          <w:szCs w:val="19"/>
          <w:color w:val="auto"/>
        </w:rPr>
      </w:pPr>
    </w:p>
    <w:p>
      <w:pPr>
        <w:jc w:val="both"/>
        <w:ind w:firstLine="1304"/>
        <w:spacing w:after="0" w:line="291" w:lineRule="auto"/>
        <w:tabs>
          <w:tab w:leader="none" w:pos="1939"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Royalty Floor</w:t>
      </w:r>
      <w:r>
        <w:rPr>
          <w:rFonts w:ascii="Arial" w:cs="Arial" w:eastAsia="Arial" w:hAnsi="Arial"/>
          <w:sz w:val="19"/>
          <w:szCs w:val="19"/>
          <w:color w:val="auto"/>
        </w:rPr>
        <w:t>. Notwithstanding Section 8.1(c), no reduction in, or deduction from royalties hereunder shall cause the royalty payable by Sanofi hereunder for a given Calendar Quarter for a given country to be less than [* * *] percent ([*</w:t>
      </w:r>
    </w:p>
    <w:p>
      <w:pPr>
        <w:spacing w:after="0" w:line="1" w:lineRule="exact"/>
        <w:rPr>
          <w:rFonts w:ascii="Arial" w:cs="Arial" w:eastAsia="Arial" w:hAnsi="Arial"/>
          <w:sz w:val="19"/>
          <w:szCs w:val="19"/>
          <w:color w:val="auto"/>
        </w:rPr>
      </w:pPr>
    </w:p>
    <w:p>
      <w:pPr>
        <w:jc w:val="both"/>
        <w:ind w:firstLine="8"/>
        <w:spacing w:after="0" w:line="244" w:lineRule="auto"/>
        <w:tabs>
          <w:tab w:leader="none" w:pos="168" w:val="left"/>
        </w:tabs>
        <w:numPr>
          <w:ilvl w:val="0"/>
          <w:numId w:val="90"/>
        </w:numPr>
        <w:rPr>
          <w:rFonts w:ascii="Arial" w:cs="Arial" w:eastAsia="Arial" w:hAnsi="Arial"/>
          <w:sz w:val="22"/>
          <w:szCs w:val="22"/>
          <w:color w:val="auto"/>
        </w:rPr>
      </w:pPr>
      <w:r>
        <w:rPr>
          <w:rFonts w:ascii="Arial" w:cs="Arial" w:eastAsia="Arial" w:hAnsi="Arial"/>
          <w:sz w:val="22"/>
          <w:szCs w:val="22"/>
          <w:color w:val="auto"/>
        </w:rPr>
        <w:t>*]%) of the royalty payment that would otherwise be payable under Section 8.1(a) for such Calendar Quarter and such country absent such deductions, provided that if any portion of any such reductions or deductions are not, due to the operation of this Section 8.1(d), fully applied in any particular Calendar Quarter, such portion may be used in subsequent Calendar Quarters for such country until exhausted.</w:t>
      </w:r>
    </w:p>
    <w:p>
      <w:pPr>
        <w:spacing w:after="0" w:line="195" w:lineRule="exact"/>
        <w:rPr>
          <w:rFonts w:ascii="Arial" w:cs="Arial" w:eastAsia="Arial" w:hAnsi="Arial"/>
          <w:sz w:val="22"/>
          <w:szCs w:val="22"/>
          <w:color w:val="auto"/>
        </w:rPr>
      </w:pPr>
    </w:p>
    <w:p>
      <w:pPr>
        <w:jc w:val="both"/>
        <w:ind w:firstLine="1304"/>
        <w:spacing w:after="0" w:line="289" w:lineRule="auto"/>
        <w:tabs>
          <w:tab w:leader="none" w:pos="1941"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Blended Royalty</w:t>
      </w:r>
      <w:r>
        <w:rPr>
          <w:rFonts w:ascii="Arial" w:cs="Arial" w:eastAsia="Arial" w:hAnsi="Arial"/>
          <w:sz w:val="19"/>
          <w:szCs w:val="19"/>
          <w:color w:val="auto"/>
        </w:rPr>
        <w:t>. Sanofi acknowledges that (a) the Regeneron Manufacturing Know-How and the Know-How included in the Regeneron Core Intellectual Property, Joint Intellectual Property and the Regeneron Background Intellectual Property licensed to Sanofi are proprietary and valuable and that without such Know-How, Sanofi would not be able to obtain and maintain Approvals with respect to the Praluent Royalty Products in the Sanofi Territory, (b) such Approvals may allow Sanofi to obtain and maintain regulatory exclusivity with respect to the Praluent Royalty Products in the Sanofi Territory, (c) access to such Know-How has provided Sanofi with a competitive advantage in the marketplace beyond the exclusivity afforded by the Patents licensed to Sanofi pursuant to Section 2.1 and (d) the royalty set forth in Section 8.1(a) is, in part, intended to compensate Regeneron for such competitive advantage. The Parties agree that the royalty rate set forth in Section 8.1(a) reflects an efficient and reasonable blended allocation of the value provided by Regeneron to Sanofi.</w:t>
      </w:r>
    </w:p>
    <w:p>
      <w:pPr>
        <w:spacing w:after="0" w:line="157"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 Royalty to Sanofi</w:t>
      </w:r>
      <w:r>
        <w:rPr>
          <w:rFonts w:ascii="Arial" w:cs="Arial" w:eastAsia="Arial" w:hAnsi="Arial"/>
          <w:sz w:val="19"/>
          <w:szCs w:val="19"/>
          <w:color w:val="auto"/>
        </w:rPr>
        <w:t>. No royalties shall be payable by Regeneron to Sanofi on Net Sales of Praluent Royalty Product by Regeneron, its Affiliates and its and their Sublicensees in the Regeneron Territory. Regeneron shall bear one hundred percent (100%) of any payment owed by Regeneron, its Affiliates or its or their Sublicensees to Third Parties under any New Regeneron License, or any other license or settlement, entered into by Regeneron, its Affiliates or its or their Sublicensees in connection with any Development, Manufacture or Commercialization of any Praluent Royalty Product by Regeneron, its Affiliates or its or their Sublicensees that occurs on or after the Transition Date under this Agreement.</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Reporting</w:t>
      </w:r>
      <w:r>
        <w:rPr>
          <w:rFonts w:ascii="Arial" w:cs="Arial" w:eastAsia="Arial" w:hAnsi="Arial"/>
          <w:sz w:val="22"/>
          <w:szCs w:val="22"/>
          <w:color w:val="auto"/>
        </w:rPr>
        <w:t>. During the Royalty Term, Sanofi shall prepare and deliver electronically to Regeneron the periodic reports specified below:</w:t>
      </w:r>
    </w:p>
    <w:p>
      <w:pPr>
        <w:spacing w:after="0" w:line="175" w:lineRule="exact"/>
        <w:rPr>
          <w:sz w:val="20"/>
          <w:szCs w:val="20"/>
          <w:color w:val="auto"/>
        </w:rPr>
      </w:pPr>
    </w:p>
    <w:p>
      <w:pPr>
        <w:ind w:firstLine="1304"/>
        <w:spacing w:after="0" w:line="287" w:lineRule="auto"/>
        <w:tabs>
          <w:tab w:leader="none" w:pos="1941"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Within [* * *] days following the end of each Calendar Quarter, Sanofi shall deliver to Regeneron a non-binding estimate of aggregate Net Sales for all Praluent Royalty Products for such Calendar Quarter;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7" w:right="339" w:bottom="1440" w:gutter="0" w:footer="0" w:header="0"/>
        </w:sectPr>
      </w:pPr>
    </w:p>
    <w:bookmarkStart w:id="147" w:name="page148"/>
    <w:bookmarkEnd w:id="147"/>
    <w:p>
      <w:pPr>
        <w:jc w:val="both"/>
        <w:ind w:firstLine="1304"/>
        <w:spacing w:after="0" w:line="302" w:lineRule="auto"/>
        <w:tabs>
          <w:tab w:leader="none" w:pos="1939"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Within [* * *] days following the end of each Calendar Quarter, Sanofi shall prepare and deliver to Regeneron a written report setting forth, on a country-by-country basis in the Sanofi Territory for such Calendar Quarter, (i) the Net Sales of each Praluent Royalty Product, (ii) royalties payable in respect of Praluent Royalty Product and (iii) where applicable, any royalty deductions in respect of Praluent Royalty Product under Section 8.1(c) (such report, a “</w:t>
      </w:r>
      <w:r>
        <w:rPr>
          <w:rFonts w:ascii="Arial" w:cs="Arial" w:eastAsia="Arial" w:hAnsi="Arial"/>
          <w:sz w:val="19"/>
          <w:szCs w:val="19"/>
          <w:u w:val="single" w:color="auto"/>
          <w:color w:val="auto"/>
        </w:rPr>
        <w:t>Royalty Report</w:t>
      </w:r>
      <w:r>
        <w:rPr>
          <w:rFonts w:ascii="Arial" w:cs="Arial" w:eastAsia="Arial" w:hAnsi="Arial"/>
          <w:sz w:val="19"/>
          <w:szCs w:val="19"/>
          <w:color w:val="auto"/>
        </w:rPr>
        <w:t>”).</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Unless otherwise agreed by Regeneron, the financial data in the reports will include calculations in local currency and United States Dollars.</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Royalty Payments</w:t>
      </w:r>
      <w:r>
        <w:rPr>
          <w:rFonts w:ascii="Arial" w:cs="Arial" w:eastAsia="Arial" w:hAnsi="Arial"/>
          <w:sz w:val="22"/>
          <w:szCs w:val="22"/>
          <w:color w:val="auto"/>
        </w:rPr>
        <w:t>. Following delivery of a Royalty Report for a particular Calendar Quarter, Regeneron shall submit an invoice to Sanofi for the amount of royalties thereunder as per the directions set forth in Schedule 8.4 and Sanofi shall pay all royalties due to Regeneron hereunder in respect of such Calendar Quarter no later than thirty (30) days after the receipt of Regeneron’s invoice therefor.</w:t>
      </w:r>
    </w:p>
    <w:p>
      <w:pPr>
        <w:spacing w:after="0" w:line="188"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Transferred Inventory</w:t>
      </w:r>
      <w:r>
        <w:rPr>
          <w:rFonts w:ascii="Arial" w:cs="Arial" w:eastAsia="Arial" w:hAnsi="Arial"/>
          <w:sz w:val="22"/>
          <w:szCs w:val="22"/>
          <w:color w:val="auto"/>
        </w:rPr>
        <w:t>. In consideration of the transfer by Sanofi to Regeneron of the Transferred Inventory, Regeneron shall pay to Sanofi the corresponding price(s) per unit set forth on Schedule 8.5 (the “</w:t>
      </w:r>
      <w:r>
        <w:rPr>
          <w:rFonts w:ascii="Arial" w:cs="Arial" w:eastAsia="Arial" w:hAnsi="Arial"/>
          <w:sz w:val="22"/>
          <w:szCs w:val="22"/>
          <w:u w:val="single" w:color="auto"/>
          <w:color w:val="auto"/>
        </w:rPr>
        <w:t>Inventory Payment</w:t>
      </w:r>
      <w:r>
        <w:rPr>
          <w:rFonts w:ascii="Arial" w:cs="Arial" w:eastAsia="Arial" w:hAnsi="Arial"/>
          <w:sz w:val="22"/>
          <w:szCs w:val="22"/>
          <w:color w:val="auto"/>
        </w:rPr>
        <w:t>”). Simultaneous with the transfer by Sanofi to Regeneron of the Transferred Inventory pursuant to Section 2.6, Sanofi shall send Regeneron an invoice for the amount of the Inventory Payment, and Regeneron shall pay Sanofi the Inventory Payment no later than fifteen (15) days after receipt of such invoice. The payment of the Inventory Payment shall be subject to the provisions of Section 8.7 through Section 8.12.</w:t>
      </w:r>
    </w:p>
    <w:p>
      <w:pPr>
        <w:spacing w:after="0" w:line="193"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Allocation of Sales Deduction Costs</w:t>
      </w:r>
      <w:r>
        <w:rPr>
          <w:rFonts w:ascii="Arial" w:cs="Arial" w:eastAsia="Arial" w:hAnsi="Arial"/>
          <w:sz w:val="19"/>
          <w:szCs w:val="19"/>
          <w:color w:val="auto"/>
        </w:rPr>
        <w:t>. Liability with respect to any Sales Deduction Costs (including, for clarity, with respect to any pre-Transition Date sales) incurred by either Party or any of its Affiliates after the Transition Date with respect to the Regeneron Territory shall be allocated between the Parties pursuant to the Praluent Transition Services Agreement. Sanofi shall be solely responsible for any Sales Deduction Costs (including, for clarity, with respect to any pre-Transition Date sales) incurred by Sanofi or any of its Affiliates after the Transition Date with respect to the Sanofi Territory; provided that Sanofi shall have the sole benefit of the provisions or reserves established by Sanofi with respect thereto under the LCA.</w:t>
      </w:r>
    </w:p>
    <w:p>
      <w:pPr>
        <w:spacing w:after="0" w:line="149"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Reimbursement</w:t>
      </w:r>
      <w:r>
        <w:rPr>
          <w:rFonts w:ascii="Arial" w:cs="Arial" w:eastAsia="Arial" w:hAnsi="Arial"/>
          <w:sz w:val="19"/>
          <w:szCs w:val="19"/>
          <w:color w:val="auto"/>
        </w:rPr>
        <w:t>. For all amounts for which a Party (the “</w:t>
      </w:r>
      <w:r>
        <w:rPr>
          <w:rFonts w:ascii="Arial" w:cs="Arial" w:eastAsia="Arial" w:hAnsi="Arial"/>
          <w:sz w:val="19"/>
          <w:szCs w:val="19"/>
          <w:u w:val="single" w:color="auto"/>
          <w:color w:val="auto"/>
        </w:rPr>
        <w:t>Owing Party</w:t>
      </w:r>
      <w:r>
        <w:rPr>
          <w:rFonts w:ascii="Arial" w:cs="Arial" w:eastAsia="Arial" w:hAnsi="Arial"/>
          <w:sz w:val="19"/>
          <w:szCs w:val="19"/>
          <w:color w:val="auto"/>
        </w:rPr>
        <w:t>”) is obligated to reimburse or pay the other Party or its designated Affiliate (the “</w:t>
      </w:r>
      <w:r>
        <w:rPr>
          <w:rFonts w:ascii="Arial" w:cs="Arial" w:eastAsia="Arial" w:hAnsi="Arial"/>
          <w:sz w:val="19"/>
          <w:szCs w:val="19"/>
          <w:u w:val="single" w:color="auto"/>
          <w:color w:val="auto"/>
        </w:rPr>
        <w:t>Owed Party</w:t>
      </w:r>
      <w:r>
        <w:rPr>
          <w:rFonts w:ascii="Arial" w:cs="Arial" w:eastAsia="Arial" w:hAnsi="Arial"/>
          <w:sz w:val="19"/>
          <w:szCs w:val="19"/>
          <w:color w:val="auto"/>
        </w:rPr>
        <w:t>”) pursuant to this Agreement for which no specific provision is made hereunder for such payment, the Owed Party shall send to the Owing Party an invoice for such amount within [* * *] days after the Owed Party’s determination that such amount is payable by the Owing Party, which invoice shall include a reference to the section of this Agreement under which the Owed Party is requesting reimbursement or payment and be accompanied by reasonable documentation of the incurrence or accrual of the costs to be reimbursed. Payment with respect to each such invoice shall be due within [* * *] days after receipt by the Owing Party thereof and shall be made in accordance with Section 8.8; provided, however, that if the Owing Party in good faith disputes any portion of any such invoice, it shall pay the undisputed portion and shall provide the Owed Party with written notice of the disputed portion and its reasons therefor, and the Owing Party shall not be obligated to pay such disputed portion unless and until such dispute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resolved in favor of the Owed Party. The Parties shall use good faith efforts to resolve any such disputes promptly.</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Payment Method and Currency</w:t>
      </w:r>
      <w:r>
        <w:rPr>
          <w:rFonts w:ascii="Arial" w:cs="Arial" w:eastAsia="Arial" w:hAnsi="Arial"/>
          <w:sz w:val="21"/>
          <w:szCs w:val="21"/>
          <w:color w:val="auto"/>
        </w:rPr>
        <w:t>. Payments under this Agreement shall be made by bank wire transfer in immediately available funds to a bank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(a) in respect of any payment by Regeneron, using the average of the daily buying and selling exchange rates for conversion of the applicable foreign currency into Dollars, using the spot rates (the “Mid Price Close” found on Bloomberg, or any other source as agreed to by the Parties) for each day of the period to which the payment relates, and (b) in respect of any payment by Sanofi, using the average of the Reuters mid-market spot rate snapshots at 3.30 pm Paris time for each day of the period to which the payment relates.</w:t>
      </w:r>
    </w:p>
    <w:p>
      <w:pPr>
        <w:spacing w:after="0" w:line="179"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Late Payments</w:t>
      </w:r>
      <w:r>
        <w:rPr>
          <w:rFonts w:ascii="Arial" w:cs="Arial" w:eastAsia="Arial" w:hAnsi="Arial"/>
          <w:sz w:val="22"/>
          <w:szCs w:val="22"/>
          <w:color w:val="auto"/>
        </w:rPr>
        <w:t>. Unless otherwise mutually agreed by the Parties or otherwise provided in this Agreement, all payments under this Agreement shall earn interest, to the extent permitted by applicable Law, from the date due until paid at a rate equal to one (1) month London Inter-Bank Offering Rate (LIBOR) Dollars, as quoted on Bloomberg (or any other source agreed to by the Parties) effective for the date on which the payment was due, plus [* * *] percent ([* * *]%) (such sum being referred to as the “</w:t>
      </w:r>
      <w:r>
        <w:rPr>
          <w:rFonts w:ascii="Arial" w:cs="Arial" w:eastAsia="Arial" w:hAnsi="Arial"/>
          <w:sz w:val="22"/>
          <w:szCs w:val="22"/>
          <w:u w:val="single" w:color="auto"/>
          <w:color w:val="auto"/>
        </w:rPr>
        <w:t>Default Interest Rate</w:t>
      </w:r>
      <w:r>
        <w:rPr>
          <w:rFonts w:ascii="Arial" w:cs="Arial" w:eastAsia="Arial" w:hAnsi="Arial"/>
          <w:sz w:val="22"/>
          <w:szCs w:val="22"/>
          <w:color w:val="auto"/>
        </w:rPr>
        <w:t>”). Notwithstanding the foregoing, if the London Inter-Bank Offering Rate ceases to be available, the Default Interest Rate shall be the Secured Overnight Financing Rate (SOFR), as quoted by the Federal Reserve Bank of New York (or a successor administrator) on the Federal Reserve Bank of New York’s Website, plus [* * *] percent ([* * *]%).</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8" w:lineRule="auto"/>
        <w:tabs>
          <w:tab w:leader="none" w:pos="1941" w:val="left"/>
        </w:tabs>
        <w:numPr>
          <w:ilvl w:val="0"/>
          <w:numId w:val="94"/>
        </w:numPr>
        <w:rPr>
          <w:rFonts w:ascii="Arial" w:cs="Arial" w:eastAsia="Arial" w:hAnsi="Arial"/>
          <w:sz w:val="21"/>
          <w:szCs w:val="21"/>
          <w:color w:val="auto"/>
        </w:rPr>
      </w:pPr>
      <w:r>
        <w:rPr>
          <w:rFonts w:ascii="Arial" w:cs="Arial" w:eastAsia="Arial" w:hAnsi="Arial"/>
          <w:sz w:val="21"/>
          <w:szCs w:val="21"/>
          <w:color w:val="auto"/>
        </w:rPr>
        <w:t>Each Party shall be responsible for any taxes imposed on or measured by net income or gross income (including branch profits), gross receipts, capital, ability or right to do business, property and franchise or similar taxes pursuant to applicable Law. Any withholding or other taxes that either Party or its Affiliates are required by Law to withhold or pay on behalf of the other Party, with respect to any payments to such other Party hereunder, shall be deducted from such payments and timely paid to the appropriate tax authority; provided, however, that the withholding Party shall promptly furnish to the other Party proper evidence or other reasonable documentation of the taxes so paid. Each Party shall cooperate with the other and furnish to the other Party appropriate documents to secure application of the most favorable rate of withholding tax under applicable Law (or exemption from such withholding tax payments, as applicable).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181" w:lineRule="exact"/>
        <w:rPr>
          <w:rFonts w:ascii="Arial" w:cs="Arial" w:eastAsia="Arial" w:hAnsi="Arial"/>
          <w:sz w:val="21"/>
          <w:szCs w:val="21"/>
          <w:color w:val="auto"/>
        </w:rPr>
      </w:pPr>
    </w:p>
    <w:p>
      <w:pPr>
        <w:jc w:val="both"/>
        <w:ind w:firstLine="1304"/>
        <w:spacing w:after="0" w:line="312" w:lineRule="auto"/>
        <w:tabs>
          <w:tab w:leader="none" w:pos="1939"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the extent applicable and reasonably requested by Regeneron, Sanofi shall use commercially reasonable efforts to provide Regeneron with any documentation or other certifications required pursuant to Section 250(b) of the Code and any regulations or other guidance promulgated thereunder necessary for any payments made to Regeneron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7" w:right="339" w:bottom="1440" w:gutter="0" w:footer="0" w:header="0"/>
        </w:sectPr>
      </w:pPr>
    </w:p>
    <w:bookmarkStart w:id="149" w:name="page150"/>
    <w:bookmarkEnd w:id="149"/>
    <w:p>
      <w:pPr>
        <w:jc w:val="both"/>
        <w:spacing w:after="0" w:line="253" w:lineRule="auto"/>
        <w:rPr>
          <w:sz w:val="20"/>
          <w:szCs w:val="20"/>
          <w:color w:val="auto"/>
        </w:rPr>
      </w:pPr>
      <w:r>
        <w:rPr>
          <w:rFonts w:ascii="Arial" w:cs="Arial" w:eastAsia="Arial" w:hAnsi="Arial"/>
          <w:sz w:val="22"/>
          <w:szCs w:val="22"/>
          <w:color w:val="auto"/>
        </w:rPr>
        <w:t>this Agreement to qualify as “foreign-derived deduction eligible income” within the meaning of Section 250(b)(4) of the Code. Regeneron shall reimburse Sanofi for all reasonable Out-of-Pocket Costs incurred by Sanofi in connection with providing such documentation or other certification to Regeneron.</w:t>
      </w:r>
    </w:p>
    <w:p>
      <w:pPr>
        <w:spacing w:after="0" w:line="18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Sanofi Records; Audits by Regeneron</w:t>
      </w:r>
      <w:r>
        <w:rPr>
          <w:rFonts w:ascii="Arial" w:cs="Arial" w:eastAsia="Arial" w:hAnsi="Arial"/>
          <w:sz w:val="19"/>
          <w:szCs w:val="19"/>
          <w:color w:val="auto"/>
        </w:rPr>
        <w:t>. Sanofi shall, and shall cause its Affiliates and its and their Sublicensees to, maintain complete and accurate books and records in accordance with applicable Accounting Standards in sufficient detail to permit Regeneron to confirm the actual number of FTEs allocated to activities for which reimbursement is sought from Regeneron and the accuracy of royalty payments and any other compensation or reimbursement payable under this Agreement for a period of two (2) years from the creation of individual records or any longer period required by applicable Law. Regeneron shall have the right (at its own cost), upon no less than thirty (30) days advance written notice and at such reasonable times and intervals and to such reasonable extent as Regeneron shall request, not more than once during any consecutive twelve (12) month period, to have such books and records of Sanofi and its Affiliates and its and their Sublicensees for the preceding two (2) years available for review at a single location in France by an independent “Big Four” (or equivalent) accounting firm of its choosing under confidentiality and non-use obligations no less stringent than those set forth in Article 13, for the sole purpose of verifying the accuracy of all financial reports furnished, and payments made, by Sanofi pursuant to this Agreement; provided that no period may be subjected to audit by Regeneron more than one (1) time unless a material discrepancy is found in any such audit of such period, in which case additional audits of such period may be conducted until no material discrepancies are found. Any such auditor shall not disclose any confidential information of Sanofi to Regeneron, except to the extent such disclosure is necessary to verify the accuracy of such reports or payments. The results of any such audit shall be delivered in writing to each Party and shall, absent manifest error, be final and binding upon the Parties. Any amounts shown by such audit to be owed but unpaid shall be paid within thirty (30) days from the auditor’s report, plus interest at the Default Interest Rate from the original due date. Any amounts shown to have been overpaid may be credited by Sanofi against future payments to Regeneron hereunder. No payment to Regeneron shall be reduced by more than [* * *] percent ([* * *]%) as a result of such credit, and Sanofi may carry forward any unused credits to future Calendar Quarters. Regeneron shall bear the full cost of such audit unless such audit reveals a payment or reporting error of more than [* * *] percent ([* * *]%) or more during the applicable audit period, in which case Sanofi shall bear the full cost of such audit.</w:t>
      </w:r>
    </w:p>
    <w:p>
      <w:pPr>
        <w:spacing w:after="0" w:line="200" w:lineRule="exact"/>
        <w:rPr>
          <w:sz w:val="20"/>
          <w:szCs w:val="20"/>
          <w:color w:val="auto"/>
        </w:rPr>
      </w:pPr>
    </w:p>
    <w:p>
      <w:pPr>
        <w:spacing w:after="0" w:line="230"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Regeneron Records; Audits by Sanofi</w:t>
      </w:r>
      <w:r>
        <w:rPr>
          <w:rFonts w:ascii="Arial" w:cs="Arial" w:eastAsia="Arial" w:hAnsi="Arial"/>
          <w:sz w:val="19"/>
          <w:szCs w:val="19"/>
          <w:color w:val="auto"/>
        </w:rPr>
        <w:t>. Regeneron shall, and shall cause its Affiliates and its and their Sublicensees to, maintain complete and accurate books and records in accordance with applicable Accounting Standards in sufficient detail to permit Sanofi to confirm the actual number of FTEs allocated to activities for which reimbursement is sought from Sanofi and the accuracy of Regeneron’s calculations of any reimbursement payments owed by Sanofi hereunder, including pursuant to Section 7.4, or any other payments for which Sanofi is responsible under this Agreement (including in connection with Section 4.7), for a period of two (2) years from the creation of individual records or any longer period required by applicable Law. Sanofi shall have the right (at its own cost), upon no less than thirty (30) days advance written notice and at such reasonable times and intervals and to such reasonable extent as Sanofi shall request, not more than once during any consecutive twelve (12) month period, to have such books and records of Regeneron and its Affiliates and its and their Sublicensees for the preceding two</w:t>
      </w:r>
    </w:p>
    <w:p>
      <w:pPr>
        <w:spacing w:after="0" w:line="8"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years available for review at a single location in the United States by an independent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45</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87" w:lineRule="auto"/>
        <w:rPr>
          <w:sz w:val="20"/>
          <w:szCs w:val="20"/>
          <w:color w:val="auto"/>
        </w:rPr>
      </w:pPr>
      <w:r>
        <w:rPr>
          <w:rFonts w:ascii="Arial" w:cs="Arial" w:eastAsia="Arial" w:hAnsi="Arial"/>
          <w:sz w:val="19"/>
          <w:szCs w:val="19"/>
          <w:color w:val="auto"/>
        </w:rPr>
        <w:t>“Big Four” (or equivalent) accounting firm of its choosing under confidentiality and non-use obligations no less stringent than those set forth in Article 13, for the sole purpose of verifying the accuracy of such calculations; provided that no period may be subjected to audit by Sanofi more than one (1) time unless a material discrepancy is found in any such audit of such period, in which case additional audits of such period may be conducted until no material discrepancies are found. Any such auditor shall not disclose any confidential information of Regeneron to Sanofi, except to the extent such disclosure is necessary to verify the accuracy of such calculations. The results of any such audit shall be delivered in writing to each Party and shall, absent manifest error, be final and binding upon the Parties. Any amounts shown by such audit to be owed by Sanofi but unpaid shall be paid within thirty (30) days from the auditor’s report, plus interest at the Default Interest Rate from the original due date. Any amounts shown to have been overpaid by Sanofi may be credited by Sanofi against future payments to Regeneron hereunder. Sanofi shall bear the full cost of such audit unless such audit reveals a calculation error of [* * *] percent ([* * *]%) or more during the applicable audit period, in which case Regeneron shall bear the full cost of such audit.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 COPYRIGHTS, CORPORATE LOGOS AND DOMAIN NAMES</w:t>
      </w:r>
    </w:p>
    <w:p>
      <w:pPr>
        <w:spacing w:after="0" w:line="202"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Ownership</w:t>
      </w:r>
      <w:r>
        <w:rPr>
          <w:rFonts w:ascii="Arial" w:cs="Arial" w:eastAsia="Arial" w:hAnsi="Arial"/>
          <w:sz w:val="19"/>
          <w:szCs w:val="19"/>
          <w:color w:val="auto"/>
        </w:rPr>
        <w:t>. As between the Parties, (a) Regeneron shall own and retain all right, title and interest in and to (i) the Praluent Product Regeneron Copyrights, (ii) the Praluent Product U.S. Trademark(s), including the goodwill of the business in connection with which the Praluent Product U.S. Trademarks are used and that is symbolized by the Praluent Product U.S. Trademarks and (iii) the Praluent Product U.S. Domain Names and (b) Sanofi shall own and retain all right, title and interest in and to (i) the Praluent Product Sanofi Copyrights, (ii) the Praluent Product ROW Trademark(s), including the goodwill of the business in connection with which the Praluent Product ROW Trademark(s) are used and that is symbolized by the Praluent Product ROW Trademark(s) and (iii) the Praluent Product ROW Domain Names.</w:t>
      </w:r>
    </w:p>
    <w:p>
      <w:pPr>
        <w:spacing w:after="0" w:line="151"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Prosecution, Maintenance, Enforcement, and Defense of Trademarks</w:t>
      </w:r>
      <w:r>
        <w:rPr>
          <w:rFonts w:ascii="Arial" w:cs="Arial" w:eastAsia="Arial" w:hAnsi="Arial"/>
          <w:sz w:val="19"/>
          <w:szCs w:val="19"/>
          <w:color w:val="auto"/>
        </w:rPr>
        <w:t>. Regeneron shall, at its sole cost and expense, have the sole right to register, prosecute, maintain, enforce and defend the Praluent Product U.S. Trademark(s) in the Regeneron Territory and the Praluent Product U.S. Domain Names. Sanofi shall, at its sole cost and expense, have the sole right to register, prosecute, maintain, enforce and defend the Praluent Product ROW Trademark(s) in the Sanofi Territory and the Praluent Product ROW Domain Names. With respect to the Transferred Product Trademarks or Transferred Product Domain Names, Sanofi shall provide to Regeneron all reasonable assistance requested by Regeneron in connection with any Third Party claim or suit asserted against any such Transferred Product Trademarks or Transferred Product Domain Names, at Regeneron’s cost and expense, including allowing Regeneron access to Sanofi’s personnel who may have possession of relevant information.</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Use of Trademarks and Domain Names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each Party, its Affiliates and its and their Sublicensees shall have no rights in or to the other Party’s Praluent Product Trademarks or the goodwill pertaining thereto or to the other Party’s Praluent Product Domain Names. Each Party agrees that at no time will it or any of its Affiliates or its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7" w:right="339" w:bottom="1440" w:gutter="0" w:footer="0" w:header="0"/>
        </w:sectPr>
      </w:pPr>
    </w:p>
    <w:bookmarkStart w:id="151" w:name="page152"/>
    <w:bookmarkEnd w:id="151"/>
    <w:p>
      <w:pPr>
        <w:jc w:val="both"/>
        <w:spacing w:after="0" w:line="246" w:lineRule="auto"/>
        <w:rPr>
          <w:sz w:val="20"/>
          <w:szCs w:val="20"/>
          <w:color w:val="auto"/>
        </w:rPr>
      </w:pPr>
      <w:r>
        <w:rPr>
          <w:rFonts w:ascii="Arial" w:cs="Arial" w:eastAsia="Arial" w:hAnsi="Arial"/>
          <w:sz w:val="22"/>
          <w:szCs w:val="22"/>
          <w:color w:val="auto"/>
        </w:rPr>
        <w:t>Sublicensees seek to register or register any Trademark in the other Party’s Territory that is confusingly similar to, misleading or deceptive with respect to the Praluent brand name or take any action or do any act that endangers, damages, dilutes, destroys or similarly affects, in any material respect, the other Party’s ownership rights in or to the Praluent brand name or the value of the goodwill pertaining thereto or attack, dispute or contest the validity of or ownership of such other Party in or to the Praluent brand name or any registrations or pending registration thereof. Each Party agrees that upon termination of the license granted to it under Section 2.1(d) or Section 2.2(d), as applicable, it will discontinue forthwith all use of the Praluent Product Trademarks of the other Party.</w:t>
      </w:r>
    </w:p>
    <w:p>
      <w:pPr>
        <w:spacing w:after="0" w:line="196" w:lineRule="exact"/>
        <w:rPr>
          <w:sz w:val="20"/>
          <w:szCs w:val="20"/>
          <w:color w:val="auto"/>
        </w:rPr>
      </w:pPr>
    </w:p>
    <w:p>
      <w:pPr>
        <w:jc w:val="both"/>
        <w:ind w:firstLine="1304"/>
        <w:spacing w:after="0" w:line="302" w:lineRule="auto"/>
        <w:tabs>
          <w:tab w:leader="none" w:pos="1939"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Party shall, and shall cause its Affiliates and its and their Sublicensees to, (i) conform to customary industry standards for the protection of, and comply with applicable Law with respect to the use of, the other Party’s Praluent Product Trademarks and (ii) adhere to and maintain the highest quality standards of the other Party with respect to goods sold and services provided under the other Party’s Praluent Product Trademarks in the applicable country of such other Party’s Territory.</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Use of Corporate Names and Logos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41"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Subject to Section 2.1(e) or Section 2.2(e), as applicable, neither Party shall use the other Party’s or the other Party’s Affiliates’ corporate names or logos on any product labels, package inserts, packaging, trade packaging, samples or Promotional Materials (including any website or social media content) related to any Praluent Product (including in congress booths or Promotional Materials used or distributed in connection with the applicable Praluent Product); provided, however, that such Party shall be permitted to identify the other Party (or its Affiliate) as the Manufacturer of Finished Product or Formulated Drug Substance, as applicable, in any such materials to the extent required under any applicable Law and for so long as the other Party or its Affiliate is supplying Finished Product or Formulated Drug Substance, as applicable, to such Party or its Affiliates under a Praluent Supply Agreement. Neither Party shall, and shall not permit its Affiliates or its or their Sublicensees or distributors to, with respect to its activities under this Agreement, take any action or do any act that endangers, damages, destroys or similarly affects, in any material respect, the other Party’s or the other Party’s Affiliates’ corporate names or logos or the value of goodwill pertaining thereto.</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98"/>
        </w:numPr>
        <w:rPr>
          <w:rFonts w:ascii="Arial" w:cs="Arial" w:eastAsia="Arial" w:hAnsi="Arial"/>
          <w:sz w:val="19"/>
          <w:szCs w:val="19"/>
          <w:color w:val="auto"/>
        </w:rPr>
      </w:pPr>
      <w:r>
        <w:rPr>
          <w:rFonts w:ascii="Arial" w:cs="Arial" w:eastAsia="Arial" w:hAnsi="Arial"/>
          <w:sz w:val="19"/>
          <w:szCs w:val="19"/>
          <w:color w:val="auto"/>
        </w:rPr>
        <w:t>Each Party shall, and shall cause its Affiliates and its and their Sublicensees to, (i) conform to customary industry standards for the protection of, and comply with applicable Law with respect to the use of, the other Party’s corporate names and logos and (ii) adhere to and maintain the highest quality standards of the other Party with respect to goods sold and services provided under the other Party’s corporate names or logos in the applicable country of such other Party’s Territory.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Ownership of Intellectual Property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1304"/>
        <w:spacing w:after="0" w:line="289" w:lineRule="auto"/>
        <w:tabs>
          <w:tab w:leader="none" w:pos="1941"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Subject to Section 10.1(b)(ii), each Party shall exclusively own all right, title and interest in and to any and all intellectual property (including Know-How, Patents and Copyrights) discovered, invented, authored or otherwise created under or in connection with this Agreement solely by or on behalf of such Party, its Affiliates or its or their Sublicensees (other than the other Party or its Affiliates) (“</w:t>
      </w:r>
      <w:r>
        <w:rPr>
          <w:rFonts w:ascii="Arial" w:cs="Arial" w:eastAsia="Arial" w:hAnsi="Arial"/>
          <w:sz w:val="19"/>
          <w:szCs w:val="19"/>
          <w:u w:val="single" w:color="auto"/>
          <w:color w:val="auto"/>
        </w:rPr>
        <w:t>Sole Inventions</w:t>
      </w:r>
      <w:r>
        <w:rPr>
          <w:rFonts w:ascii="Arial" w:cs="Arial" w:eastAsia="Arial" w:hAnsi="Arial"/>
          <w:sz w:val="19"/>
          <w:szCs w:val="19"/>
          <w:color w:val="auto"/>
        </w:rPr>
        <w:t>”). Sole Inventions made solely by or on behalf of Sanofi, its Affiliates or its or their Sublicensees (other than Regeneron and its Affiliates) are referred to herein as “</w:t>
      </w:r>
      <w:r>
        <w:rPr>
          <w:rFonts w:ascii="Arial" w:cs="Arial" w:eastAsia="Arial" w:hAnsi="Arial"/>
          <w:sz w:val="19"/>
          <w:szCs w:val="19"/>
          <w:u w:val="single" w:color="auto"/>
          <w:color w:val="auto"/>
        </w:rPr>
        <w:t>Sanofi Sole Inventions</w:t>
      </w:r>
      <w:r>
        <w:rPr>
          <w:rFonts w:ascii="Arial" w:cs="Arial" w:eastAsia="Arial" w:hAnsi="Arial"/>
          <w:sz w:val="19"/>
          <w:szCs w:val="19"/>
          <w:color w:val="auto"/>
        </w:rPr>
        <w:t>.” Sole Inventions made solely by or on behalf of Regeneron, its Affiliates or its or their Sublicensees (other than Sanofi and its Affiliates) are referred to herein as “</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56" w:lineRule="exact"/>
        <w:rPr>
          <w:rFonts w:ascii="Arial" w:cs="Arial" w:eastAsia="Arial" w:hAnsi="Arial"/>
          <w:sz w:val="19"/>
          <w:szCs w:val="19"/>
          <w:color w:val="auto"/>
        </w:rPr>
      </w:pPr>
    </w:p>
    <w:p>
      <w:pPr>
        <w:jc w:val="both"/>
        <w:ind w:firstLine="1304"/>
        <w:spacing w:after="0" w:line="260" w:lineRule="auto"/>
        <w:tabs>
          <w:tab w:leader="none" w:pos="1939"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Parties shall each own an equal, undivided interest in any and all intellectual property (including Know-How, Patents and Copyrights) discovered, invented, authored or otherwise created under or in connection with (i) this Agreement jointly by or on behalf of Sanofi, its Affiliates or its or their Sublicensees, on the one hand, and Regeneron, its Affiliates or its or their Sublicensees, on the other hand or (ii) any Existing Trials conducted by or on behalf of a Party or its Affiliates or its or their Sublicensees, including the Existing Trials Information (“</w:t>
      </w:r>
      <w:r>
        <w:rPr>
          <w:rFonts w:ascii="Arial" w:cs="Arial" w:eastAsia="Arial" w:hAnsi="Arial"/>
          <w:sz w:val="21"/>
          <w:szCs w:val="21"/>
          <w:u w:val="single" w:color="auto"/>
          <w:color w:val="auto"/>
        </w:rPr>
        <w:t>Joint Inventions</w:t>
      </w:r>
      <w:r>
        <w:rPr>
          <w:rFonts w:ascii="Arial" w:cs="Arial" w:eastAsia="Arial" w:hAnsi="Arial"/>
          <w:sz w:val="21"/>
          <w:szCs w:val="21"/>
          <w:color w:val="auto"/>
        </w:rPr>
        <w:t>”). Each Party shall disclose to the other Party in writing and shall cause its Affiliates, and its and their Sublicensees to so disclose, the conception, discovery, invention or reduction to practice of any Joint Invention.</w:t>
      </w:r>
    </w:p>
    <w:p>
      <w:pPr>
        <w:spacing w:after="0" w:line="180" w:lineRule="exact"/>
        <w:rPr>
          <w:rFonts w:ascii="Arial" w:cs="Arial" w:eastAsia="Arial" w:hAnsi="Arial"/>
          <w:sz w:val="21"/>
          <w:szCs w:val="21"/>
          <w:color w:val="auto"/>
        </w:rPr>
      </w:pPr>
    </w:p>
    <w:p>
      <w:pPr>
        <w:jc w:val="both"/>
        <w:ind w:firstLine="1304"/>
        <w:spacing w:after="0" w:line="290" w:lineRule="auto"/>
        <w:tabs>
          <w:tab w:leader="none" w:pos="1941"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Notwithstanding the foregoing in Section 10.1(a) and Section 10.1(b), except with respect to intellectual property described in clause (ii) of the definition of Joint Inventions, (i) for purposes of determining whether a patentable invention is a Sanofi Sole Invention, a Regeneron Sole Invention or a Joint Invention, questions of inventorship shall be resolved in accordance with United States patent Laws,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patentable inventions) is a Sanofi Sole Invention, a Regeneron Sole Invention or a Joint Invention, questions of authorship or inventorship shall be resolved in accordance with the Laws of the State of New York, United States.</w:t>
      </w:r>
    </w:p>
    <w:p>
      <w:pPr>
        <w:spacing w:after="0" w:line="155"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99"/>
        </w:numPr>
        <w:rPr>
          <w:rFonts w:ascii="Arial" w:cs="Arial" w:eastAsia="Arial" w:hAnsi="Arial"/>
          <w:sz w:val="22"/>
          <w:szCs w:val="22"/>
          <w:color w:val="auto"/>
        </w:rPr>
      </w:pPr>
      <w:r>
        <w:rPr>
          <w:rFonts w:ascii="Arial" w:cs="Arial" w:eastAsia="Arial" w:hAnsi="Arial"/>
          <w:sz w:val="22"/>
          <w:szCs w:val="22"/>
          <w:color w:val="auto"/>
        </w:rPr>
        <w:t>To the extent that any right, title or interest in or to any intellectual property vests in a Party, by operation of law or otherwise, in a manner contrary to the agreed upon ownership as set forth in this Agreement, such Party shall, and hereby does, irrevocably assign, and shall cause its Affiliates and its and their Sublicensees to so assign, to the other Party any and all such right, title and interest in and to such intellectual property to the other Party without the need for any further action by the other Party.</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Subject to Section 2.1, Section 2.2, Section 2.3 and Section 11.1, as applicable, each Party’s interest in the Joint Intellectual Property may be used, practiced, (sub)licensed and enforced, and any ownership rights therein transferred, in whole or in part,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246" w:lineRule="auto"/>
        <w:rPr>
          <w:sz w:val="20"/>
          <w:szCs w:val="20"/>
          <w:color w:val="auto"/>
        </w:rPr>
      </w:pPr>
      <w:r>
        <w:rPr>
          <w:rFonts w:ascii="Arial" w:cs="Arial" w:eastAsia="Arial" w:hAnsi="Arial"/>
          <w:sz w:val="22"/>
          <w:szCs w:val="22"/>
          <w:color w:val="auto"/>
        </w:rPr>
        <w:t>each Party without consent of the other Party, provided that each Party agrees not to transfer any of its ownership interest in any of the Joint Intellectual Property without securing the transferee’s written agreement to be bound by the terms of this Section 10.1(e) and the other terms of this Agreement that relate to the Joint Intellectual Property; provided, further, that nothing in this Article 10 shall relieve a Party or its Affiliates of their obligations under Article 13. Except as otherwise provided in this Agreement with respect to the Praluent Royalty Products, neither Party shall have the duty to account to the other Party for any revenues or profits obtained from any transfer of its interest in, or its use, (sub)license, or other exploitation of such Party’s interest in the Joint Intellectual Property.</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Prosecution and Maintenance of Patents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Subject to Section 10.2(c), Regeneron shall control the preparation, filing, prosecution and maintenance of the Regeneron Core Patents, the Sanofi Core Patents and the Joint Patents, in each case, in the Regeneron Territory (the “</w:t>
      </w:r>
      <w:r>
        <w:rPr>
          <w:rFonts w:ascii="Arial" w:cs="Arial" w:eastAsia="Arial" w:hAnsi="Arial"/>
          <w:sz w:val="22"/>
          <w:szCs w:val="22"/>
          <w:u w:val="single" w:color="auto"/>
          <w:color w:val="auto"/>
        </w:rPr>
        <w:t>Regeneron Managed Patents</w:t>
      </w:r>
      <w:r>
        <w:rPr>
          <w:rFonts w:ascii="Arial" w:cs="Arial" w:eastAsia="Arial" w:hAnsi="Arial"/>
          <w:sz w:val="22"/>
          <w:szCs w:val="22"/>
          <w:color w:val="auto"/>
        </w:rPr>
        <w:t>”) [* * *], provided it shall confer with and keep Sanofi reasonably informed regarding the status of such activities.</w:t>
      </w:r>
    </w:p>
    <w:p>
      <w:pPr>
        <w:spacing w:after="0" w:line="187" w:lineRule="exact"/>
        <w:rPr>
          <w:rFonts w:ascii="Arial" w:cs="Arial" w:eastAsia="Arial" w:hAnsi="Arial"/>
          <w:sz w:val="22"/>
          <w:szCs w:val="22"/>
          <w:color w:val="auto"/>
        </w:rPr>
      </w:pPr>
    </w:p>
    <w:p>
      <w:pPr>
        <w:jc w:val="both"/>
        <w:ind w:firstLine="1304"/>
        <w:spacing w:after="0" w:line="312" w:lineRule="auto"/>
        <w:tabs>
          <w:tab w:leader="none" w:pos="193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Subject to Section 10.2(c), Sanofi shall control the preparation, filing, prosecution and maintenance of the Regeneron Core Patents, the Sanofi Core Patents and the Joint Patents, in each case, in the Sanofi Territory (the “</w:t>
      </w:r>
      <w:r>
        <w:rPr>
          <w:rFonts w:ascii="Arial" w:cs="Arial" w:eastAsia="Arial" w:hAnsi="Arial"/>
          <w:sz w:val="19"/>
          <w:szCs w:val="19"/>
          <w:u w:val="single" w:color="auto"/>
          <w:color w:val="auto"/>
        </w:rPr>
        <w:t>Sanofi Managed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Patents</w:t>
      </w:r>
      <w:r>
        <w:rPr>
          <w:rFonts w:ascii="Arial" w:cs="Arial" w:eastAsia="Arial" w:hAnsi="Arial"/>
          <w:sz w:val="19"/>
          <w:szCs w:val="19"/>
          <w:color w:val="auto"/>
        </w:rPr>
        <w:t>”), [* * *], provided it shall confer with and keep Regeneron reasonably informed regarding the status of such activities.</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Promptly following the Transition Date, the Parties shall [* * *].</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Unless otherwise agreed by the Parties, all Out-of-Pocket Costs incurred in the filing, prosecution and maintenance of any Patents and any extensions thereof shall be [* * *] borne by the Parties according to the cost allocation provided in Section 10.2(a) and Section 10.2(b).</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Party agrees to cooperate with the other Party with respect to the preparation, filing, prosecution and maintenance of the Regeneron Core Patents, Sanofi Core Patents and Joint Patents pursuant to this Section 10.2, including the execution of all such documents and instruments and the performance of such acts (and causing its relevant employees to execute such documents and instruments and to perform such acts) as may be reasonably necessary in order to permit the other Party to continue any such preparation, filing, prosecution or maintenance.</w:t>
      </w:r>
    </w:p>
    <w:p>
      <w:pPr>
        <w:spacing w:after="0" w:line="146"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Party shall reasonably cooperate with the other Party in order to make such transfers of responsibilities, documents, and information as are needed in order to effectuate the allocation of rights and responsibilities provided in this Section 10.2.</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Interference, Opposition and Reissue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54" w:name="page155"/>
    <w:bookmarkEnd w:id="154"/>
    <w:p>
      <w:pPr>
        <w:jc w:val="both"/>
        <w:ind w:firstLine="1304"/>
        <w:spacing w:after="0" w:line="285" w:lineRule="auto"/>
        <w:tabs>
          <w:tab w:leader="none" w:pos="194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Each Party shall notify the other Party within ten (10) days of receipt by such Party of information concerning the request for, or filing or declaration of, any interference, opposition, post-grant review, reissue, reexamination, or other similar proceedings relating to the Patents for which it controls filing, prosecution and maintenance in accordance with Section 10.2. The Parties shall thereafter consult and cooperate fully to determine a course of action with respect to any such proceeding. Decisions on whether to initiate such a proceeding and the course of action in such proceeding, including settlement negotiations and terms and selection of counsel, will be made (i) with respect to Regeneron Managed Patents, by Regeneron and</w:t>
      </w:r>
    </w:p>
    <w:p>
      <w:pPr>
        <w:jc w:val="both"/>
        <w:ind w:firstLine="8"/>
        <w:spacing w:after="0" w:line="244" w:lineRule="auto"/>
        <w:tabs>
          <w:tab w:leader="none" w:pos="35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with respect to Sanofi Managed Patents, by Sanofi. For clarity, the provisions of this Section 10.3 (other than the first sentence of Section 10.3(a)) shall apply to any interference, opposition, post-grant review, reissue, reexamination, or other similar proceeding with respect to the Regeneron Core Patents, Sanofi Core Patents or Joint Patents, in each case, that was initiated prior to the Transition Date.</w:t>
      </w:r>
    </w:p>
    <w:p>
      <w:pPr>
        <w:spacing w:after="0" w:line="195" w:lineRule="exact"/>
        <w:rPr>
          <w:rFonts w:ascii="Arial" w:cs="Arial" w:eastAsia="Arial" w:hAnsi="Arial"/>
          <w:sz w:val="22"/>
          <w:szCs w:val="22"/>
          <w:color w:val="auto"/>
        </w:rPr>
      </w:pPr>
    </w:p>
    <w:p>
      <w:pPr>
        <w:ind w:right="20" w:firstLine="1304"/>
        <w:spacing w:after="0" w:line="343" w:lineRule="auto"/>
        <w:tabs>
          <w:tab w:leader="none" w:pos="193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Unless otherwise agreed by the Parties, all Out-of-Pocket Costs incurred in connection with any such interference, opposition, post-grant review, reissue, reexamination or other similar proceeding shall be shared as follows:</w:t>
      </w:r>
    </w:p>
    <w:p>
      <w:pPr>
        <w:spacing w:after="0" w:line="104" w:lineRule="exact"/>
        <w:rPr>
          <w:rFonts w:ascii="Arial" w:cs="Arial" w:eastAsia="Arial" w:hAnsi="Arial"/>
          <w:sz w:val="19"/>
          <w:szCs w:val="19"/>
          <w:color w:val="auto"/>
        </w:rPr>
      </w:pPr>
    </w:p>
    <w:p>
      <w:pPr>
        <w:ind w:left="2640" w:hanging="688"/>
        <w:spacing w:after="0"/>
        <w:tabs>
          <w:tab w:leader="none" w:pos="264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If such proceeding relates to Regeneron Managed Patents – [* * *]; and</w:t>
      </w:r>
    </w:p>
    <w:p>
      <w:pPr>
        <w:spacing w:after="0" w:line="219" w:lineRule="exact"/>
        <w:rPr>
          <w:rFonts w:ascii="Arial" w:cs="Arial" w:eastAsia="Arial" w:hAnsi="Arial"/>
          <w:sz w:val="22"/>
          <w:szCs w:val="22"/>
          <w:color w:val="auto"/>
        </w:rPr>
      </w:pPr>
    </w:p>
    <w:p>
      <w:pPr>
        <w:ind w:left="2640" w:hanging="688"/>
        <w:spacing w:after="0"/>
        <w:tabs>
          <w:tab w:leader="none" w:pos="264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If such proceeding relates to Sanofi Managed Patents - [* * *].</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Each Party shall reasonably cooperate with the other Party in order to make such transfers of responsibilities, documents, and information as are needed in order to effectuate the allocation of rights and responsibilities provided in this Section 10.3.</w:t>
      </w:r>
    </w:p>
    <w:p>
      <w:pPr>
        <w:spacing w:after="0" w:line="18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Background Patents</w:t>
      </w:r>
      <w:r>
        <w:rPr>
          <w:rFonts w:ascii="Arial" w:cs="Arial" w:eastAsia="Arial" w:hAnsi="Arial"/>
          <w:sz w:val="19"/>
          <w:szCs w:val="19"/>
          <w:color w:val="auto"/>
        </w:rPr>
        <w:t>. For the avoidance of doubt, as between the Parties, (a) Regeneron has the sole right, but not the obligation, to prepare, file, prosecute and maintain, and defend against interference, opposition, post-grant review, reissue or reexamination proceedings in respect of, the Regeneron Background Patents at its cost and expense and (b) Sanofi has the sole right, but not the obligation, to prepare, file, prosecute and maintain, and defend against interference, opposition, post-grant review, reissue or reexamination proceedings in respect of, the Sanofi Background Patents at its cost and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PATENT LITIGATION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Enforcement of Patents</w:t>
      </w:r>
      <w:r>
        <w:rPr>
          <w:rFonts w:ascii="Arial" w:cs="Arial" w:eastAsia="Arial" w:hAnsi="Arial"/>
          <w:sz w:val="22"/>
          <w:szCs w:val="22"/>
          <w:color w:val="auto"/>
        </w:rPr>
        <w:t>.</w:t>
      </w:r>
    </w:p>
    <w:p>
      <w:pPr>
        <w:spacing w:after="0" w:line="21" w:lineRule="exact"/>
        <w:rPr>
          <w:sz w:val="20"/>
          <w:szCs w:val="20"/>
          <w:color w:val="auto"/>
        </w:rPr>
      </w:pPr>
    </w:p>
    <w:p>
      <w:pPr>
        <w:jc w:val="both"/>
        <w:ind w:firstLine="1304"/>
        <w:spacing w:after="0" w:line="244" w:lineRule="auto"/>
        <w:tabs>
          <w:tab w:leader="none" w:pos="194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event that either Party or any of its Affiliates becomes aware of an actual or suspected infringement or unauthorized use, as applicable, of a Sanofi Core Patent, a Regeneron Core Patent or a Joint Patent, in each case, by a Third Party’s activities in the Territory (a “</w:t>
      </w:r>
      <w:r>
        <w:rPr>
          <w:rFonts w:ascii="Arial" w:cs="Arial" w:eastAsia="Arial" w:hAnsi="Arial"/>
          <w:sz w:val="22"/>
          <w:szCs w:val="22"/>
          <w:u w:val="single" w:color="auto"/>
          <w:color w:val="auto"/>
        </w:rPr>
        <w:t>Patent Infringement</w:t>
      </w:r>
      <w:r>
        <w:rPr>
          <w:rFonts w:ascii="Arial" w:cs="Arial" w:eastAsia="Arial" w:hAnsi="Arial"/>
          <w:sz w:val="22"/>
          <w:szCs w:val="22"/>
          <w:color w:val="auto"/>
        </w:rPr>
        <w:t>”), the Party that became aware of the Patent Infringement shall notify the other Party in writing within five (5) Business Days and shall provide such other Party with all available evidence supporting such Patent Infringement. As soon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22"/>
          <w:szCs w:val="22"/>
          <w:color w:val="auto"/>
        </w:rPr>
        <w:t>practicable after the receipt of such notice, the Parties shall meet and consider the appropriate course of action with respect to such Patent Infringement.</w:t>
      </w:r>
    </w:p>
    <w:p>
      <w:pPr>
        <w:spacing w:after="0" w:line="175" w:lineRule="exact"/>
        <w:rPr>
          <w:sz w:val="20"/>
          <w:szCs w:val="20"/>
          <w:color w:val="auto"/>
        </w:rPr>
      </w:pPr>
    </w:p>
    <w:p>
      <w:pPr>
        <w:jc w:val="both"/>
        <w:ind w:firstLine="1304"/>
        <w:spacing w:after="0" w:line="285" w:lineRule="auto"/>
        <w:tabs>
          <w:tab w:leader="none" w:pos="1939" w:val="left"/>
        </w:tabs>
        <w:numPr>
          <w:ilvl w:val="1"/>
          <w:numId w:val="104"/>
        </w:numPr>
        <w:rPr>
          <w:rFonts w:ascii="Arial" w:cs="Arial" w:eastAsia="Arial" w:hAnsi="Arial"/>
          <w:sz w:val="19"/>
          <w:szCs w:val="19"/>
          <w:color w:val="auto"/>
        </w:rPr>
      </w:pPr>
      <w:r>
        <w:rPr>
          <w:rFonts w:ascii="Arial" w:cs="Arial" w:eastAsia="Arial" w:hAnsi="Arial"/>
          <w:sz w:val="19"/>
          <w:szCs w:val="19"/>
          <w:color w:val="auto"/>
        </w:rPr>
        <w:t>With respect to any Patent Infringement, (i) Regeneron shall have the first right (and, with respect to the Regeneron Core Patents in the Regeneron Territory, the sole right) to bring and control any action or proceeding (including, subject to Section 11.1(c), any settlement) with respect to Patent Infringement of any Regeneron Managed Patent at Regeneron’s costs and expenses, and (ii) Sanofi shall have the first right (and, with respect to the Sanofi Core Patents in the Sanofi Territory, the sole right) to bring and control any action or proceeding (including, subject to Section 11.1(c), any settlement) with respect to Patent Infringement of any Sanofi Managed Patent at Sanofi’s costs and expenses (the Party with the first right or the sole right being referred to as the “</w:t>
      </w:r>
      <w:r>
        <w:rPr>
          <w:rFonts w:ascii="Arial" w:cs="Arial" w:eastAsia="Arial" w:hAnsi="Arial"/>
          <w:sz w:val="19"/>
          <w:szCs w:val="19"/>
          <w:u w:val="single" w:color="auto"/>
          <w:color w:val="auto"/>
        </w:rPr>
        <w:t>Lead Enforcement Party</w:t>
      </w:r>
      <w:r>
        <w:rPr>
          <w:rFonts w:ascii="Arial" w:cs="Arial" w:eastAsia="Arial" w:hAnsi="Arial"/>
          <w:sz w:val="19"/>
          <w:szCs w:val="19"/>
          <w:color w:val="auto"/>
        </w:rPr>
        <w:t>”); provided, however, that the Parties shall ensure that there is proper communication and coordination of activities between the Parties. If the Lead Enforcement Party has the first right (but not the sole right) and fails to bring any such action or proceeding with respect to Patent Infringement of the applicable Patent by a Third Party within sixty (60) days following notice of the alleged Patent Infringement (or such other period of time as may be required by applicable Law), the non-Lead Enforcement Party shall have the right to bring and control any such action at its own cost and expense by providing written notice to the other Party (the Party who controls the litigation to be referred to as the “</w:t>
      </w:r>
      <w:r>
        <w:rPr>
          <w:rFonts w:ascii="Arial" w:cs="Arial" w:eastAsia="Arial" w:hAnsi="Arial"/>
          <w:sz w:val="19"/>
          <w:szCs w:val="19"/>
          <w:u w:val="single" w:color="auto"/>
          <w:color w:val="auto"/>
        </w:rPr>
        <w:t>Enforcing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The non-Enforcing Party will provide reasonable assistance to the Enforcing Party in prosecuting any action, and if required by applicable Law, will join in the action at the Enforcing Party’s cost and expense. Although the Enforcing Party has the right to select counsel of its own choice, it shall first consult with the other Party and consider in good faith the recommendations of the other Party. The non-Enforcing Party shall have the right to join in any litigation using counsel of its choice at its sole discretion and cost and expense, subject to Section 11.1(c). The amount of any recovery from any such Patent Infringement action shall be [* * *].</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If the Enforcing Party is the Lead Enforcement Party, then, subject to Section 11.4(c), the Lead Enforcement Party has the right to settle any Patent Infringement suit [* * *]. If the Enforcing Party is not the Lead Enforcement Party, then the Enforcing Party [* * *].</w:t>
      </w:r>
    </w:p>
    <w:p>
      <w:pPr>
        <w:spacing w:after="0" w:line="185" w:lineRule="exact"/>
        <w:rPr>
          <w:rFonts w:ascii="Arial" w:cs="Arial" w:eastAsia="Arial" w:hAnsi="Arial"/>
          <w:sz w:val="22"/>
          <w:szCs w:val="22"/>
          <w:color w:val="auto"/>
        </w:rPr>
      </w:pPr>
    </w:p>
    <w:p>
      <w:pPr>
        <w:jc w:val="both"/>
        <w:ind w:firstLine="1304"/>
        <w:spacing w:after="0" w:line="288" w:lineRule="auto"/>
        <w:tabs>
          <w:tab w:leader="none" w:pos="1939" w:val="left"/>
        </w:tabs>
        <w:numPr>
          <w:ilvl w:val="1"/>
          <w:numId w:val="104"/>
        </w:numPr>
        <w:rPr>
          <w:rFonts w:ascii="Arial" w:cs="Arial" w:eastAsia="Arial" w:hAnsi="Arial"/>
          <w:sz w:val="19"/>
          <w:szCs w:val="19"/>
          <w:color w:val="auto"/>
        </w:rPr>
      </w:pPr>
      <w:r>
        <w:rPr>
          <w:rFonts w:ascii="Arial" w:cs="Arial" w:eastAsia="Arial" w:hAnsi="Arial"/>
          <w:sz w:val="19"/>
          <w:szCs w:val="19"/>
          <w:color w:val="auto"/>
        </w:rPr>
        <w:t>For the avoidance of doubt, as between the Parties, (i) Regeneron has the sole right, but not the obligation, to bring and control at its cost and expense any action or proceeding (including any settlement) with respect to any actual or suspected infringement or unauthorized use of a Regeneron Background Patent by a Third Party’s activities in the Territory and</w:t>
      </w:r>
    </w:p>
    <w:p>
      <w:pPr>
        <w:jc w:val="both"/>
        <w:ind w:firstLine="8"/>
        <w:spacing w:after="0" w:line="245" w:lineRule="auto"/>
        <w:tabs>
          <w:tab w:leader="none" w:pos="35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Sanofi has the sole right, but not the obligation, to bring and control at its cost and expense any action or proceeding (including any settlement) with respect to any actual or suspected infringement or unauthorized use of a Sanofi Background Patent by a Third Party’s activities in the Territory.</w:t>
      </w:r>
    </w:p>
    <w:p>
      <w:pPr>
        <w:spacing w:after="0" w:line="193" w:lineRule="exact"/>
        <w:rPr>
          <w:sz w:val="20"/>
          <w:szCs w:val="20"/>
          <w:color w:val="auto"/>
        </w:rPr>
      </w:pPr>
    </w:p>
    <w:p>
      <w:pPr>
        <w:ind w:firstLine="972"/>
        <w:spacing w:after="0" w:line="343"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Patent Marking</w:t>
      </w:r>
      <w:r>
        <w:rPr>
          <w:rFonts w:ascii="Arial" w:cs="Arial" w:eastAsia="Arial" w:hAnsi="Arial"/>
          <w:sz w:val="19"/>
          <w:szCs w:val="19"/>
          <w:color w:val="auto"/>
        </w:rPr>
        <w:t>. Each Party shall comply with the patent marking statutes in each country in which any Praluent Product is made, offered for sale, sold or imported by or on behalf of such Party, its Affiliates or its or their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56" w:name="page157"/>
    <w:bookmarkEnd w:id="156"/>
    <w:p>
      <w:pPr>
        <w:ind w:left="98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Third Party Infringement Claims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3" w:lineRule="auto"/>
        <w:tabs>
          <w:tab w:leader="none" w:pos="194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If either Party or its Affiliates or its or their Sublicensees becomes aware of a claim or assertion that the Manufacture, Development or Commercialization of any Praluent Product infringes or otherwise violates the intellectual property rights of any Third Party in such Party’s Territory, such Party shall notify the other Party in writing of this claim or assertion within five (5) Business Days. As soon as reasonably practicable after the receipt of such notice, the Parties shall meet and consider the appropriate course of action with respect to such allegation of infringement.</w:t>
      </w:r>
    </w:p>
    <w:p>
      <w:pPr>
        <w:spacing w:after="0" w:line="175" w:lineRule="exact"/>
        <w:rPr>
          <w:rFonts w:ascii="Arial" w:cs="Arial" w:eastAsia="Arial" w:hAnsi="Arial"/>
          <w:sz w:val="21"/>
          <w:szCs w:val="21"/>
          <w:color w:val="auto"/>
        </w:rPr>
      </w:pPr>
    </w:p>
    <w:p>
      <w:pPr>
        <w:jc w:val="both"/>
        <w:ind w:firstLine="1304"/>
        <w:spacing w:after="0" w:line="287" w:lineRule="auto"/>
        <w:tabs>
          <w:tab w:leader="none" w:pos="193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Subject to Section 14.1(c), the Parties shall cooperate, share all material notices and filings in a timely manner, provide all reasonable assistance to each other and use commercially reasonable efforts to mutually agree upon an appropriate course of action, including, as appropriate, with respect to material court filings and the defense or settlement of any such claim or assertion; provided, however, that a Party (the “</w:t>
      </w:r>
      <w:r>
        <w:rPr>
          <w:rFonts w:ascii="Arial" w:cs="Arial" w:eastAsia="Arial" w:hAnsi="Arial"/>
          <w:sz w:val="19"/>
          <w:szCs w:val="19"/>
          <w:u w:val="single" w:color="auto"/>
          <w:color w:val="auto"/>
        </w:rPr>
        <w:t>Controlling Party</w:t>
      </w:r>
      <w:r>
        <w:rPr>
          <w:rFonts w:ascii="Arial" w:cs="Arial" w:eastAsia="Arial" w:hAnsi="Arial"/>
          <w:sz w:val="19"/>
          <w:szCs w:val="19"/>
          <w:color w:val="auto"/>
        </w:rPr>
        <w:t>”) shall have the first right to defend and control the defense of any claimed infringement action commenced by a Third Party naming it as a defendant alleging that the Manufacture, Development or Commercialization of any Praluent Product infringes or otherwise violates the intellectual property rights of such Third Party in the Controlling Party’s Territory at its sole cost and expense, using counsel of its own choice even if the other Party is also named as a defendant, to the extent that such claimed infringement or violation solely relates to the Manufacture, Development or Commercialization of the Praluent Products in the Controlling Party’s Territory and does not relate to the other Party’s Territory or to the manufacture, development or commercialization of other products; provided further that, if the Controlling Party fails to initiate and maintain the defense of any such action that names the other Party as a defendant, then such other Party shall have the right to control the defense of such action at its own cost and expense by providing written notice to the Controlling Party.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312" w:lineRule="auto"/>
        <w:tabs>
          <w:tab w:leader="none" w:pos="194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Subject to Section 14.1(c), unless otherwise agreed by the Parties, each Party shall bear [* * *] Out-of-Pocket Costs and internal costs (except for the costs and expenses of the non-Controlling Party’s cooperation pursuant to Section 11.3(b), if only one Party defends a claim) incurred in connection with any litigation under this Section 11.3.</w:t>
      </w:r>
    </w:p>
    <w:p>
      <w:pPr>
        <w:spacing w:after="0" w:line="133" w:lineRule="exact"/>
        <w:rPr>
          <w:rFonts w:ascii="Arial" w:cs="Arial" w:eastAsia="Arial" w:hAnsi="Arial"/>
          <w:sz w:val="19"/>
          <w:szCs w:val="19"/>
          <w:color w:val="auto"/>
        </w:rPr>
      </w:pPr>
    </w:p>
    <w:p>
      <w:pPr>
        <w:ind w:firstLine="1304"/>
        <w:spacing w:after="0" w:line="263" w:lineRule="auto"/>
        <w:tabs>
          <w:tab w:leader="none" w:pos="193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For the avoidance of doubt, subject to Section 14.1(c), neither Party will enter into any settlement of any suit involving any Praluent Product that [* * *].</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Invalidity or Unenforceability Defenses or Actions</w:t>
      </w:r>
      <w:r>
        <w:rPr>
          <w:rFonts w:ascii="Arial" w:cs="Arial" w:eastAsia="Arial" w:hAnsi="Arial"/>
          <w:sz w:val="22"/>
          <w:szCs w:val="22"/>
          <w:color w:val="auto"/>
        </w:rPr>
        <w:t>.</w:t>
      </w:r>
    </w:p>
    <w:p>
      <w:pPr>
        <w:spacing w:after="0" w:line="220" w:lineRule="exact"/>
        <w:rPr>
          <w:sz w:val="20"/>
          <w:szCs w:val="20"/>
          <w:color w:val="auto"/>
        </w:rPr>
      </w:pPr>
    </w:p>
    <w:p>
      <w:pPr>
        <w:jc w:val="both"/>
        <w:ind w:right="20" w:firstLine="1304"/>
        <w:spacing w:after="0" w:line="248" w:lineRule="auto"/>
        <w:tabs>
          <w:tab w:leader="none" w:pos="194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In the event that a Third Party asserts, as a defense or as a counterclaim in any Patent Infringement action under Section 11.1 or in a declaratory judgment action or similar action or claim filed by such Third Party, that any Regeneron Core Patent, Sanofi Core Patent or Joint Patent is invalid or unenforceable (a “</w:t>
      </w:r>
      <w:r>
        <w:rPr>
          <w:rFonts w:ascii="Arial" w:cs="Arial" w:eastAsia="Arial" w:hAnsi="Arial"/>
          <w:sz w:val="22"/>
          <w:szCs w:val="22"/>
          <w:u w:val="single" w:color="auto"/>
          <w:color w:val="auto"/>
        </w:rPr>
        <w:t>Third Party Invalidity Assertion</w:t>
      </w:r>
      <w:r>
        <w:rPr>
          <w:rFonts w:ascii="Arial" w:cs="Arial" w:eastAsia="Arial" w:hAnsi="Arial"/>
          <w:sz w:val="22"/>
          <w:szCs w:val="22"/>
          <w:color w:val="auto"/>
        </w:rPr>
        <w:t>”), then the Party first becoming aware of such Third Party Invalidity Assertion shall give written notice thereof to the other Party within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1304"/>
        <w:spacing w:after="0" w:line="286" w:lineRule="auto"/>
        <w:tabs>
          <w:tab w:leader="none" w:pos="1939"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With respect to any Third Party Invalidity Assertion, (i) Regeneron shall, at its cost and expense, have the first right (and, with respect to the Regeneron Core Patents in the Regeneron Territory, the sole right) to control the defense of such Third Party Invalidity Assertion (including, subject to Section 11.4(c), any settlement thereof) to the extent that it relates to any Regeneron Managed Patent and (ii) Sanofi shall, at its cost and expense, have the first right (and, with respect to the Sanofi Core Patents in the Sanofi Territory, the sole right) to control the defense of such Third Party Invalidity Assertion (including, subject to Section 11.4(c), any settlement thereof) to the extent that it relates to any Sanofi Managed Patent (the Party with the first right or the sole right being referred to as the “</w:t>
      </w:r>
      <w:r>
        <w:rPr>
          <w:rFonts w:ascii="Arial" w:cs="Arial" w:eastAsia="Arial" w:hAnsi="Arial"/>
          <w:sz w:val="19"/>
          <w:szCs w:val="19"/>
          <w:u w:val="single" w:color="auto"/>
          <w:color w:val="auto"/>
        </w:rPr>
        <w:t>Lead Defense Party</w:t>
      </w:r>
      <w:r>
        <w:rPr>
          <w:rFonts w:ascii="Arial" w:cs="Arial" w:eastAsia="Arial" w:hAnsi="Arial"/>
          <w:sz w:val="19"/>
          <w:szCs w:val="19"/>
          <w:color w:val="auto"/>
        </w:rPr>
        <w:t>”); provided, however, that the Parties shall ensure that there is proper communication and coordination of activities between the Parties. If the Lead Defense Party has the first right (but not the sole right) and fails to initiate and maintain the defense of a Third Party Invalidity Assertion, the non-Lead Defense Party shall have the right to control such defense at its own cost and expense by providing written notice to the other Party (the Party who controls the defense to be referred to as the “</w:t>
      </w:r>
      <w:r>
        <w:rPr>
          <w:rFonts w:ascii="Arial" w:cs="Arial" w:eastAsia="Arial" w:hAnsi="Arial"/>
          <w:sz w:val="19"/>
          <w:szCs w:val="19"/>
          <w:u w:val="single" w:color="auto"/>
          <w:color w:val="auto"/>
        </w:rPr>
        <w:t>Defending Party</w:t>
      </w:r>
      <w:r>
        <w:rPr>
          <w:rFonts w:ascii="Arial" w:cs="Arial" w:eastAsia="Arial" w:hAnsi="Arial"/>
          <w:sz w:val="19"/>
          <w:szCs w:val="19"/>
          <w:color w:val="auto"/>
        </w:rPr>
        <w:t>”). The non-Defending Party will provide reasonable assistance to the Defending Party in the defense of any applicable Third Party Invalidity Assertion, and if required by applicable Law, will join in the applicable action at the Defending Party’s cost and expense. Although the Defending Party has the right to select counsel of its own choice, it shall first consult with the other Party and consider in good faith the recommendations of the other Party. The non-Defending Party shall have the right to join in any applicable action using counsel of its choice at its sole discretion and cost and expense, subject to Section 11.4(c).</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If the Defending Party is the Lead Defense Party, then the Lead Defense Party has the right to settle any Third Party Invalidity Assertion action [* * *]. If the Defending Party is not the Lead Defense Party, then the Defending Party [* * *].</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939" w:val="left"/>
        </w:tabs>
        <w:numPr>
          <w:ilvl w:val="1"/>
          <w:numId w:val="108"/>
        </w:numPr>
        <w:rPr>
          <w:rFonts w:ascii="Arial" w:cs="Arial" w:eastAsia="Arial" w:hAnsi="Arial"/>
          <w:sz w:val="21"/>
          <w:szCs w:val="21"/>
          <w:color w:val="auto"/>
        </w:rPr>
      </w:pPr>
      <w:r>
        <w:rPr>
          <w:rFonts w:ascii="Arial" w:cs="Arial" w:eastAsia="Arial" w:hAnsi="Arial"/>
          <w:sz w:val="21"/>
          <w:szCs w:val="21"/>
          <w:color w:val="auto"/>
        </w:rPr>
        <w:t>For the avoidance of doubt, as between the Parties, (i) Regeneron has the sole right, but not the obligation, to control the defense (including any settlement thereof) of any assertion by a Third Party (whether as a defense or as a counterclaim in any infringement action or in a declaratory judgment action or similar action or claim filed by such Third Party) that any Regeneron Background Patent is invalid or unenforceable and (ii) Sanofi has the sole right, but not the obligation, to control the defense (including any settlement thereof) of any assertion by a Third Party (whether as a defense or as a counterclaim in any infringement action or in a declaratory judgment action or similar action or claim filed by such Third Party) that any Sanofi Background Patent is invalid or unenforceable.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Interference, Opposition and Reissue of Third Party Patents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7" w:lineRule="auto"/>
        <w:tabs>
          <w:tab w:leader="none" w:pos="194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With respect to each interference, opposition, post-grant review, reissue or reexamination proceeding that is set forth on Schedule 11.5(a) (the “</w:t>
      </w:r>
      <w:r>
        <w:rPr>
          <w:rFonts w:ascii="Arial" w:cs="Arial" w:eastAsia="Arial" w:hAnsi="Arial"/>
          <w:sz w:val="22"/>
          <w:szCs w:val="22"/>
          <w:u w:val="single" w:color="auto"/>
          <w:color w:val="auto"/>
        </w:rPr>
        <w:t>Existing Sole Oppositions</w:t>
      </w:r>
      <w:r>
        <w:rPr>
          <w:rFonts w:ascii="Arial" w:cs="Arial" w:eastAsia="Arial" w:hAnsi="Arial"/>
          <w:sz w:val="22"/>
          <w:szCs w:val="22"/>
          <w:color w:val="auto"/>
        </w:rPr>
        <w:t>”), the Party designated as the “Acting Party” on Schedule 11.5(a) for such Existing Sole Opposition (the “</w:t>
      </w:r>
      <w:r>
        <w:rPr>
          <w:rFonts w:ascii="Arial" w:cs="Arial" w:eastAsia="Arial" w:hAnsi="Arial"/>
          <w:sz w:val="22"/>
          <w:szCs w:val="22"/>
          <w:u w:val="single" w:color="auto"/>
          <w:color w:val="auto"/>
        </w:rPr>
        <w:t>Acting Party</w:t>
      </w:r>
      <w:r>
        <w:rPr>
          <w:rFonts w:ascii="Arial" w:cs="Arial" w:eastAsia="Arial" w:hAnsi="Arial"/>
          <w:sz w:val="22"/>
          <w:szCs w:val="22"/>
          <w:color w:val="auto"/>
        </w:rPr>
        <w:t>”) shall consult and cooperate fully with the other Party (the “</w:t>
      </w:r>
      <w:r>
        <w:rPr>
          <w:rFonts w:ascii="Arial" w:cs="Arial" w:eastAsia="Arial" w:hAnsi="Arial"/>
          <w:sz w:val="22"/>
          <w:szCs w:val="22"/>
          <w:u w:val="single" w:color="auto"/>
          <w:color w:val="auto"/>
        </w:rPr>
        <w:t>Directing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to determine a course of action with respect to any such proceeding [* * *]. Unless otherwise agreed by the Parties, Out-of-Pocket Costs incurred by the Acting Party after the Transition Date in connection with any Existing Sole Opposition shall be borne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58" w:name="page159"/>
    <w:bookmarkEnd w:id="158"/>
    <w:p>
      <w:pPr>
        <w:jc w:val="both"/>
        <w:ind w:firstLine="1304"/>
        <w:spacing w:after="0" w:line="248" w:lineRule="auto"/>
        <w:tabs>
          <w:tab w:leader="none" w:pos="193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With respect to each interference, opposition, post-grant review, reissue or reexamination proceeding that is set forth on Schedule 11.5(b) (each, an “</w:t>
      </w:r>
      <w:r>
        <w:rPr>
          <w:rFonts w:ascii="Arial" w:cs="Arial" w:eastAsia="Arial" w:hAnsi="Arial"/>
          <w:sz w:val="22"/>
          <w:szCs w:val="22"/>
          <w:u w:val="single" w:color="auto"/>
          <w:color w:val="auto"/>
        </w:rPr>
        <w:t>Existing European Opposition</w:t>
      </w:r>
      <w:r>
        <w:rPr>
          <w:rFonts w:ascii="Arial" w:cs="Arial" w:eastAsia="Arial" w:hAnsi="Arial"/>
          <w:sz w:val="22"/>
          <w:szCs w:val="22"/>
          <w:color w:val="auto"/>
        </w:rPr>
        <w:t>”), the Party designated as the “Opposing Party” on Schedule 11.5(b) (the “</w:t>
      </w:r>
      <w:r>
        <w:rPr>
          <w:rFonts w:ascii="Arial" w:cs="Arial" w:eastAsia="Arial" w:hAnsi="Arial"/>
          <w:sz w:val="22"/>
          <w:szCs w:val="22"/>
          <w:u w:val="single" w:color="auto"/>
          <w:color w:val="auto"/>
        </w:rPr>
        <w:t>Opposing Party</w:t>
      </w:r>
      <w:r>
        <w:rPr>
          <w:rFonts w:ascii="Arial" w:cs="Arial" w:eastAsia="Arial" w:hAnsi="Arial"/>
          <w:sz w:val="22"/>
          <w:szCs w:val="22"/>
          <w:color w:val="auto"/>
        </w:rPr>
        <w:t>”) shall have the sole right and responsibility, [* * *], to carry out such course of action as the Opposing Party may determine in its sole discretion in respect of such Existing European Opposition, including settlement negotiations and terms.</w:t>
      </w:r>
    </w:p>
    <w:p>
      <w:pPr>
        <w:spacing w:after="0" w:line="191" w:lineRule="exact"/>
        <w:rPr>
          <w:rFonts w:ascii="Arial" w:cs="Arial" w:eastAsia="Arial" w:hAnsi="Arial"/>
          <w:sz w:val="22"/>
          <w:szCs w:val="22"/>
          <w:color w:val="auto"/>
        </w:rPr>
      </w:pPr>
    </w:p>
    <w:p>
      <w:pPr>
        <w:jc w:val="both"/>
        <w:ind w:firstLine="1304"/>
        <w:spacing w:after="0" w:line="247" w:lineRule="auto"/>
        <w:tabs>
          <w:tab w:leader="none" w:pos="194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either Party or one of its Affiliates or its or their Sublicensees desires to initiate any interference, opposition, post-grant review, reissue or reexamination proceeding relating to a Patent of a Third Party in furtherance of Developing, Manufacturing or Commercializing a Praluent Product in the Territory on or after the Transition Date, then such Party shall notify the other Party in writing of such desire. As soon as reasonably practicable after the receipt of such notice, the Parties shall meet and consider the appropriate course of action with respect to such proposed interference, opposition, post-grant review, reissue or reexamination proceeding.</w:t>
      </w:r>
    </w:p>
    <w:p>
      <w:pPr>
        <w:spacing w:after="0" w:line="192" w:lineRule="exact"/>
        <w:rPr>
          <w:rFonts w:ascii="Arial" w:cs="Arial" w:eastAsia="Arial" w:hAnsi="Arial"/>
          <w:sz w:val="22"/>
          <w:szCs w:val="22"/>
          <w:color w:val="auto"/>
        </w:rPr>
      </w:pPr>
    </w:p>
    <w:p>
      <w:pPr>
        <w:jc w:val="both"/>
        <w:ind w:firstLine="1304"/>
        <w:spacing w:after="0" w:line="312" w:lineRule="auto"/>
        <w:tabs>
          <w:tab w:leader="none" w:pos="193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Except as otherwise provided in this Section 11.5, each Party is responsible for any and all activities in respect of any interference, opposition, post-grant review, reissue or reexamination proceedings relating to a Patent of a Third Party in furtherance of Developing, Manufacturing or Commercializing a Praluent Product in such Party’s Territory.</w:t>
      </w:r>
    </w:p>
    <w:p>
      <w:pPr>
        <w:spacing w:after="0" w:line="13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Transfer of Responsibilities</w:t>
      </w:r>
      <w:r>
        <w:rPr>
          <w:rFonts w:ascii="Arial" w:cs="Arial" w:eastAsia="Arial" w:hAnsi="Arial"/>
          <w:sz w:val="22"/>
          <w:szCs w:val="22"/>
          <w:color w:val="auto"/>
        </w:rPr>
        <w:t>. Each Party shall reasonably cooperate with the other Party in order to make such transfers of responsibilities, documents, and information as are needed in order to effectuate the allocation of rights and responsibilities provided in this Article 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02"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Due Organization, Valid Existence and Due Authorization</w:t>
      </w:r>
      <w:r>
        <w:rPr>
          <w:rFonts w:ascii="Arial" w:cs="Arial" w:eastAsia="Arial" w:hAnsi="Arial"/>
          <w:sz w:val="21"/>
          <w:szCs w:val="21"/>
          <w:color w:val="auto"/>
        </w:rPr>
        <w:t>. Each Party represents and warrants to the other Party, as of each of the Execution Date and the Transition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encumbrances nor any other material agreement or arrangement, whether written or oral, by which it is bound nor any requirement of applicable Laws;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and other rights granted to the other Party hereunder; and (f) no broker, finder or investment banker is entitled to any brokerage, finder’s or other fee in connection with this Agreement or the transactions contemplated hereby based on arrangements made by it or on its behalf.</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Additional Representations and Warranties of the Parties</w:t>
      </w:r>
      <w:r>
        <w:rPr>
          <w:rFonts w:ascii="Arial" w:cs="Arial" w:eastAsia="Arial" w:hAnsi="Arial"/>
          <w:sz w:val="22"/>
          <w:szCs w:val="22"/>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Regeneron Representations and Warranties</w:t>
      </w:r>
      <w:r>
        <w:rPr>
          <w:rFonts w:ascii="Arial" w:cs="Arial" w:eastAsia="Arial" w:hAnsi="Arial"/>
          <w:sz w:val="22"/>
          <w:szCs w:val="22"/>
          <w:color w:val="auto"/>
        </w:rPr>
        <w:t>. Regeneron represents that, as of each of the Execution Date and the Transition Date, Regeneron (i) owns or Controls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22"/>
          <w:szCs w:val="22"/>
          <w:color w:val="auto"/>
        </w:rPr>
        <w:t>Patents listed on Schedule 1.135 and has the right to grant the licenses or sublicenses, as the case may be, granted under such Patents under this Agreement and (ii) Regeneron does not own or Control any Regeneron Core Patents existing as of the Transition Date, other than the Patents listed on Schedule 1.135.</w:t>
      </w:r>
    </w:p>
    <w:p>
      <w:pPr>
        <w:spacing w:after="0" w:line="185" w:lineRule="exact"/>
        <w:rPr>
          <w:sz w:val="20"/>
          <w:szCs w:val="20"/>
          <w:color w:val="auto"/>
        </w:rPr>
      </w:pPr>
    </w:p>
    <w:p>
      <w:pPr>
        <w:ind w:left="1940" w:hanging="636"/>
        <w:spacing w:after="0"/>
        <w:tabs>
          <w:tab w:leader="none" w:pos="19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Sanofi Representations and Warranties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640" w:hanging="688"/>
        <w:spacing w:after="0"/>
        <w:tabs>
          <w:tab w:leader="none" w:pos="26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Sanofi represents that, as of each of the Execution Date and the Transition Date:</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Sanofi owns or Controls all of the Patents listed on Schedule 1.156 and has the right to grant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licenses or sublicenses, as the case may be, granted under such Patents under this Agreement.</w:t>
      </w:r>
    </w:p>
    <w:p>
      <w:pPr>
        <w:spacing w:after="0" w:line="201" w:lineRule="exact"/>
        <w:rPr>
          <w:rFonts w:ascii="Arial" w:cs="Arial" w:eastAsia="Arial" w:hAnsi="Arial"/>
          <w:sz w:val="19"/>
          <w:szCs w:val="19"/>
          <w:color w:val="auto"/>
        </w:rPr>
      </w:pPr>
    </w:p>
    <w:p>
      <w:pPr>
        <w:ind w:right="20" w:firstLine="2600"/>
        <w:spacing w:after="0" w:line="263" w:lineRule="auto"/>
        <w:tabs>
          <w:tab w:leader="none" w:pos="323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Sanofi does not own or Control any Sanofi Core Patents existing as of the Transition Date, other than the Patents listed on Schedule 1.156.</w:t>
      </w:r>
    </w:p>
    <w:p>
      <w:pPr>
        <w:spacing w:after="0" w:line="174" w:lineRule="exact"/>
        <w:rPr>
          <w:rFonts w:ascii="Arial" w:cs="Arial" w:eastAsia="Arial" w:hAnsi="Arial"/>
          <w:sz w:val="22"/>
          <w:szCs w:val="22"/>
          <w:color w:val="auto"/>
        </w:rPr>
      </w:pPr>
    </w:p>
    <w:p>
      <w:pPr>
        <w:ind w:firstLine="2600"/>
        <w:spacing w:after="0" w:line="263" w:lineRule="auto"/>
        <w:tabs>
          <w:tab w:leader="none" w:pos="323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Sanofi has, or its Affiliates have, good title to the entire legal ownership interest of or in, or valid contract rights in or right to transfer, as applicable, the Transferred U.S. Assets.</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The Transferred Approvals are in full force and effect.</w:t>
      </w:r>
    </w:p>
    <w:p>
      <w:pPr>
        <w:spacing w:after="0" w:line="219" w:lineRule="exact"/>
        <w:rPr>
          <w:rFonts w:ascii="Arial" w:cs="Arial" w:eastAsia="Arial" w:hAnsi="Arial"/>
          <w:sz w:val="22"/>
          <w:szCs w:val="22"/>
          <w:color w:val="auto"/>
        </w:rPr>
      </w:pPr>
    </w:p>
    <w:p>
      <w:pPr>
        <w:ind w:left="2640" w:hanging="688"/>
        <w:spacing w:after="0"/>
        <w:tabs>
          <w:tab w:leader="none" w:pos="26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Sanofi represents that, as of the Execution Date:</w:t>
      </w:r>
    </w:p>
    <w:p>
      <w:pPr>
        <w:spacing w:after="0" w:line="219" w:lineRule="exact"/>
        <w:rPr>
          <w:rFonts w:ascii="Arial" w:cs="Arial" w:eastAsia="Arial" w:hAnsi="Arial"/>
          <w:sz w:val="22"/>
          <w:szCs w:val="22"/>
          <w:color w:val="auto"/>
        </w:rPr>
      </w:pPr>
    </w:p>
    <w:p>
      <w:pPr>
        <w:jc w:val="both"/>
        <w:ind w:firstLine="2600"/>
        <w:spacing w:after="0" w:line="265" w:lineRule="auto"/>
        <w:tabs>
          <w:tab w:leader="none" w:pos="3229" w:val="left"/>
        </w:tabs>
        <w:numPr>
          <w:ilvl w:val="2"/>
          <w:numId w:val="112"/>
        </w:numPr>
        <w:rPr>
          <w:rFonts w:ascii="Arial" w:cs="Arial" w:eastAsia="Arial" w:hAnsi="Arial"/>
          <w:sz w:val="21"/>
          <w:szCs w:val="21"/>
          <w:color w:val="auto"/>
        </w:rPr>
      </w:pPr>
      <w:r>
        <w:rPr>
          <w:rFonts w:ascii="Arial" w:cs="Arial" w:eastAsia="Arial" w:hAnsi="Arial"/>
          <w:sz w:val="21"/>
          <w:szCs w:val="21"/>
          <w:color w:val="auto"/>
        </w:rPr>
        <w:t>No opposition, cancellation or court proceeding is pending, or to Sanofi’s knowledge, threatened in writing; no opposition, cancellation or court proceeding regarding the Transferred Product Trademarks has been settled; and Sanofi has not entered into any co-existence agreements, prior rights agreements, covenants not to sue or settlement or other similar agreements regarding the Transferred Product Trademarks.</w:t>
      </w:r>
    </w:p>
    <w:p>
      <w:pPr>
        <w:spacing w:after="0" w:line="175" w:lineRule="exact"/>
        <w:rPr>
          <w:rFonts w:ascii="Arial" w:cs="Arial" w:eastAsia="Arial" w:hAnsi="Arial"/>
          <w:sz w:val="21"/>
          <w:szCs w:val="21"/>
          <w:color w:val="auto"/>
        </w:rPr>
      </w:pPr>
    </w:p>
    <w:p>
      <w:pPr>
        <w:ind w:right="20" w:firstLine="2600"/>
        <w:spacing w:after="0" w:line="263" w:lineRule="auto"/>
        <w:tabs>
          <w:tab w:leader="none" w:pos="323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No written notice of default or termination has been received or given by Sanofi or any of its Affiliates under any U.S.-Related Praluent Agreement.</w:t>
      </w:r>
    </w:p>
    <w:p>
      <w:pPr>
        <w:spacing w:after="0" w:line="174" w:lineRule="exact"/>
        <w:rPr>
          <w:rFonts w:ascii="Arial" w:cs="Arial" w:eastAsia="Arial" w:hAnsi="Arial"/>
          <w:sz w:val="22"/>
          <w:szCs w:val="22"/>
          <w:color w:val="auto"/>
        </w:rPr>
      </w:pPr>
    </w:p>
    <w:p>
      <w:pPr>
        <w:ind w:right="20" w:firstLine="2600"/>
        <w:spacing w:after="0" w:line="263" w:lineRule="auto"/>
        <w:tabs>
          <w:tab w:leader="none" w:pos="323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No proceeding is pending or, to Sanofi’s knowledge, threatened in writing regarding the revocation or termination of any Transferred Approval.</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Neither Sanofi nor any of its Affiliate(s) have given or received written notice to or from</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Person relating to any alleged breach or default under any Transferred Product Contracts.</w:t>
      </w:r>
    </w:p>
    <w:p>
      <w:pPr>
        <w:spacing w:after="0" w:line="201" w:lineRule="exact"/>
        <w:rPr>
          <w:rFonts w:ascii="Arial" w:cs="Arial" w:eastAsia="Arial" w:hAnsi="Arial"/>
          <w:sz w:val="19"/>
          <w:szCs w:val="19"/>
          <w:color w:val="auto"/>
        </w:rPr>
      </w:pPr>
    </w:p>
    <w:p>
      <w:pPr>
        <w:jc w:val="both"/>
        <w:ind w:firstLine="2600"/>
        <w:spacing w:after="0" w:line="265" w:lineRule="auto"/>
        <w:tabs>
          <w:tab w:leader="none" w:pos="3232" w:val="left"/>
        </w:tabs>
        <w:numPr>
          <w:ilvl w:val="2"/>
          <w:numId w:val="112"/>
        </w:numPr>
        <w:rPr>
          <w:rFonts w:ascii="Arial" w:cs="Arial" w:eastAsia="Arial" w:hAnsi="Arial"/>
          <w:sz w:val="21"/>
          <w:szCs w:val="21"/>
          <w:color w:val="auto"/>
        </w:rPr>
      </w:pPr>
      <w:r>
        <w:rPr>
          <w:rFonts w:ascii="Arial" w:cs="Arial" w:eastAsia="Arial" w:hAnsi="Arial"/>
          <w:sz w:val="21"/>
          <w:szCs w:val="21"/>
          <w:color w:val="auto"/>
        </w:rPr>
        <w:t>Each of the Transferred Product Contracts represents a legal, valid and binding obligation of Sanofi or the Sanofi Affiliate(s) that are party thereto and is enforceable against Sanofi or such Affiliate(s), in accordance with its terms, and is in full force and effect, subject to (A) the effects of bankruptcy, insolvency, fraudulent conveyance, reorganization, moratorium and other similar Laws relating to or affecting the enforcement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60" w:name="page161"/>
    <w:bookmarkEnd w:id="160"/>
    <w:p>
      <w:pPr>
        <w:spacing w:after="0"/>
        <w:rPr>
          <w:sz w:val="20"/>
          <w:szCs w:val="20"/>
          <w:color w:val="auto"/>
        </w:rPr>
      </w:pPr>
      <w:r>
        <w:rPr>
          <w:rFonts w:ascii="Arial" w:cs="Arial" w:eastAsia="Arial" w:hAnsi="Arial"/>
          <w:sz w:val="21"/>
          <w:szCs w:val="21"/>
          <w:color w:val="auto"/>
        </w:rPr>
        <w:t>creditors’ rights generally and (B) general equitable principles (whether considered in a proceeding in equity or at Law).</w:t>
      </w:r>
    </w:p>
    <w:p>
      <w:pPr>
        <w:spacing w:after="0" w:line="231" w:lineRule="exact"/>
        <w:rPr>
          <w:sz w:val="20"/>
          <w:szCs w:val="20"/>
          <w:color w:val="auto"/>
        </w:rPr>
      </w:pPr>
    </w:p>
    <w:p>
      <w:pPr>
        <w:jc w:val="both"/>
        <w:ind w:firstLine="1304"/>
        <w:spacing w:after="0" w:line="245" w:lineRule="auto"/>
        <w:tabs>
          <w:tab w:leader="none" w:pos="1941"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Knowledge of Pending or Threatened Litigation or Adverse Agreements</w:t>
      </w:r>
      <w:r>
        <w:rPr>
          <w:rFonts w:ascii="Arial" w:cs="Arial" w:eastAsia="Arial" w:hAnsi="Arial"/>
          <w:sz w:val="22"/>
          <w:szCs w:val="22"/>
          <w:color w:val="auto"/>
        </w:rPr>
        <w:t>. Except as set forth on Schedule 12.2(c), each Party represents and warrants to the other Party that, as of the Transition Date, there is (i) no claim, announced investigation, suit, action or proceeding pending or, to such Party’s knowledge, threatened, against such Party or any of its Affiliates before or by any governmental entity or arbitrator and (ii) to such Party’s knowledge, no agreement entered into by such Party or its Affiliates that, in each case ((i) and (ii)), individually or in the aggregate, could reasonably be expected to (A) materially impair the ability of such Party to perform any of its obligations under this Agreement, (B) prevent or materially delay or alter the consummation of any or all of the transactions contemplated hereby or (C) have a materially adverse effect on (1) if such other Party is Regeneron, the U.S. Praluent Product Business or (2) if such other Party is Sanofi, the ROW Praluent Product Business.</w:t>
      </w:r>
    </w:p>
    <w:p>
      <w:pPr>
        <w:spacing w:after="0" w:line="200"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PRALUENT PRODUCT. EXCEPT AS EXPRESSLY SET FORTH HEREIN, EACH PARTY EXPRESSLY DISCLAIMS ANY AND ALL WARRANTIES OF ANY KIND, EXPRESS OR IMPLIED, INCLUDING THE WARRANTIES OF MERCHANTABILITY AND FITNESS FOR A PARTICULAR PURPOSE.</w:t>
      </w:r>
    </w:p>
    <w:p>
      <w:pPr>
        <w:spacing w:after="0" w:line="14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Mutual Covenants</w:t>
      </w:r>
      <w:r>
        <w:rPr>
          <w:rFonts w:ascii="Arial" w:cs="Arial" w:eastAsia="Arial" w:hAnsi="Arial"/>
          <w:sz w:val="21"/>
          <w:szCs w:val="21"/>
          <w:color w:val="auto"/>
        </w:rPr>
        <w:t>. Each Party hereby covenants to the other Party as of the Transition Date as follows: (a) it will not grant any right or license to any Third Party in the Territory that would be inconsistent with or in conflict with or in derogation of the rights granted to the other Party under this Agreement, and will not take any action that would reasonably be expected to materially conflict with, or have a materially adverse effect on, its obligations to the other Party under this Agreement and (b) in the course of the conduct of any Existing Trial,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02"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of Sanofi and Regeneron acknowledges that all Party Information provided to it (or its Affiliate) or otherwise made available to it by the other Party or its respective Affiliates pursuant to this Agreement or the LCA, as applicable, is confidential and proprietary to such other Party or its respective Affiliates. Furthermore, each of Sanofi and Regeneron acknowledges (subject to the further provisions of this Article 13) that all Joint Information is confidential and proprietary to both Parties (and both Parties shall be deemed to be the receiving Party with respect thereto). Subject to the further provisions of this Article 13, each of Sanofi and Regeneron agrees to, (a) maintain the Party Information of the other Party and all Joint Information in confidence until ten (10) years after such other Party and its Affiliates and its and their Sublicensees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83" w:lineRule="auto"/>
        <w:rPr>
          <w:sz w:val="20"/>
          <w:szCs w:val="20"/>
          <w:color w:val="auto"/>
        </w:rPr>
      </w:pPr>
      <w:r>
        <w:rPr>
          <w:rFonts w:ascii="Arial" w:cs="Arial" w:eastAsia="Arial" w:hAnsi="Arial"/>
          <w:sz w:val="19"/>
          <w:szCs w:val="19"/>
          <w:color w:val="auto"/>
        </w:rPr>
        <w:t>permanently ceased Development and Commercialization of all Praluent Products, provided that (i) Sanofi shall maintain in confidence any Regeneron Manufacturing Know-How that Regeneron maintains as a trade secret for so long as Regeneron continues to maintain the same as a trade secret and (ii) Regeneron shall maintain in confidence any Sanofi Manufacturing Know-How that Sanofi maintains as a trade secret for so long as Sanofi continues to maintain the same as a trade secret and (b) use such Party Information and Joint Information solely for the purpose of exercising its rights and performing its obligations under this Agreement, provided that nothing herein will prohibit either Party from using any Know-How included in clause (a) of the definition of Existing Joint Know-How or clause (a) of the definition of Party Information, in either case, solely to the extent necessary or useful for the development or commercialization of such Licensed Products (as defined in the LCA) pursuant to the LCA, as if such Know-How were Party Information or New Information (each as defined in the LCA), as applicable, under the LCA, only to the extent such use is necessary or useful for such development or commercialization of such Licensed Products. Each of Sanofi and Regeneron covenants that neither it nor any of its respective Affiliates shall disclose any Party Information of the other Party or Joint Information to any Third Party except (i) to its employees, agents, consultants or any other Person under its authorization (e.g., collaborators, (sub)licensees or vendors); provided such employees, agents, consultants or Persons are subject in writing to substantially the same confidentiality obligations as the Parties, (ii) as approved by both Parties hereunder or</w:t>
      </w:r>
    </w:p>
    <w:p>
      <w:pPr>
        <w:spacing w:after="0" w:line="2" w:lineRule="exact"/>
        <w:rPr>
          <w:sz w:val="20"/>
          <w:szCs w:val="20"/>
          <w:color w:val="auto"/>
        </w:rPr>
      </w:pPr>
    </w:p>
    <w:p>
      <w:pPr>
        <w:jc w:val="both"/>
        <w:ind w:firstLine="8"/>
        <w:spacing w:after="0" w:line="244" w:lineRule="auto"/>
        <w:tabs>
          <w:tab w:leader="none" w:pos="44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as set forth elsewhere in this Agreement. Without limiting the foregoing, Sanofi shall limit access to Regeneron Manufacturing Know-How to only those of Sanofi’s employees, agents, consultants or other Persons under its authorization that have a need for such access in order to enable Sanofi to exercise its rights or perform its obligations under this Agreement or any Ancillary Services Agreement.</w:t>
      </w:r>
    </w:p>
    <w:p>
      <w:pPr>
        <w:spacing w:after="0" w:line="19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anything provided above, the confidentiality and non-use restrictions provided in this Article 13 shall not apply to Party Information or Joint Information that was or is (and such information shall not be considered confidential or proprietary under this Agreement):</w:t>
      </w:r>
    </w:p>
    <w:p>
      <w:pPr>
        <w:spacing w:after="0" w:line="185" w:lineRule="exact"/>
        <w:rPr>
          <w:sz w:val="20"/>
          <w:szCs w:val="20"/>
          <w:color w:val="auto"/>
        </w:rPr>
      </w:pPr>
    </w:p>
    <w:p>
      <w:pPr>
        <w:jc w:val="both"/>
        <w:ind w:right="20" w:firstLine="1304"/>
        <w:spacing w:after="0" w:line="253" w:lineRule="auto"/>
        <w:tabs>
          <w:tab w:leader="none" w:pos="194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already in the public domain as of the Transition Date or becomes publicly known through no act, omission or fault of the receiving Party or any of its Affiliates or any Person to whom the receiving Party or its Affiliate provided such information;</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already in the possession of the receiving Party or any of its Affiliates, other than under an obligation of confidentiality, at the time of disclosure by the disclosing Party; provided, however, that this exception shall not apply with respect to Joint Information;</w:t>
      </w:r>
    </w:p>
    <w:p>
      <w:pPr>
        <w:spacing w:after="0" w:line="185" w:lineRule="exact"/>
        <w:rPr>
          <w:rFonts w:ascii="Arial" w:cs="Arial" w:eastAsia="Arial" w:hAnsi="Arial"/>
          <w:sz w:val="22"/>
          <w:szCs w:val="22"/>
          <w:color w:val="auto"/>
        </w:rPr>
      </w:pPr>
    </w:p>
    <w:p>
      <w:pPr>
        <w:ind w:right="20" w:firstLine="1304"/>
        <w:spacing w:after="0" w:line="287" w:lineRule="auto"/>
        <w:tabs>
          <w:tab w:leader="none" w:pos="194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disclosed to the receiving Party or any of its Affiliates on an unrestricted basis from a Third Party not under an obligation of confidentiality to the other Party or any of its Affiliates with respect to such information; or</w:t>
      </w:r>
    </w:p>
    <w:p>
      <w:pPr>
        <w:spacing w:after="0" w:line="151" w:lineRule="exact"/>
        <w:rPr>
          <w:rFonts w:ascii="Arial" w:cs="Arial" w:eastAsia="Arial" w:hAnsi="Arial"/>
          <w:sz w:val="21"/>
          <w:szCs w:val="21"/>
          <w:color w:val="auto"/>
        </w:rPr>
      </w:pPr>
    </w:p>
    <w:p>
      <w:pPr>
        <w:jc w:val="both"/>
        <w:ind w:right="20" w:firstLine="1304"/>
        <w:spacing w:after="0" w:line="253" w:lineRule="auto"/>
        <w:tabs>
          <w:tab w:leader="none" w:pos="193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similar in nature to the Party Information of the other Party or Joint Information but has been independently created outside of this Agreement, as evidenced by written or electronic documentation, without any aid, application or use of such Party Information or Joint Information.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Permitted Disclosures and Uses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62" w:name="page163"/>
    <w:bookmarkEnd w:id="162"/>
    <w:p>
      <w:pPr>
        <w:ind w:firstLine="1304"/>
        <w:spacing w:after="0" w:line="263"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Party may use or disclose Party Information of the other Party and Joint Information to the extent that such use or disclosure is:</w:t>
      </w:r>
    </w:p>
    <w:p>
      <w:pPr>
        <w:spacing w:after="0" w:line="174" w:lineRule="exact"/>
        <w:rPr>
          <w:rFonts w:ascii="Arial" w:cs="Arial" w:eastAsia="Arial" w:hAnsi="Arial"/>
          <w:sz w:val="22"/>
          <w:szCs w:val="22"/>
          <w:color w:val="auto"/>
        </w:rPr>
      </w:pPr>
    </w:p>
    <w:p>
      <w:pPr>
        <w:jc w:val="both"/>
        <w:ind w:firstLine="1748"/>
        <w:spacing w:after="0" w:line="250" w:lineRule="auto"/>
        <w:tabs>
          <w:tab w:leader="none" w:pos="202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necessary to file, prosecute, enforce or defend Patents for which the disclosing Party has the right to assume filing, prosecution, enforcement, defense or maintenance pursuant to this Agreement; provided, however, that reasonable measures shall be taken to assure confidential treatment of such information to the extent practicable and consistent with applicable Law;</w:t>
      </w:r>
    </w:p>
    <w:p>
      <w:pPr>
        <w:spacing w:after="0" w:line="187" w:lineRule="exact"/>
        <w:rPr>
          <w:rFonts w:ascii="Arial" w:cs="Arial" w:eastAsia="Arial" w:hAnsi="Arial"/>
          <w:sz w:val="22"/>
          <w:szCs w:val="22"/>
          <w:color w:val="auto"/>
        </w:rPr>
      </w:pPr>
    </w:p>
    <w:p>
      <w:pPr>
        <w:jc w:val="both"/>
        <w:ind w:firstLine="1688"/>
        <w:spacing w:after="0" w:line="245" w:lineRule="auto"/>
        <w:tabs>
          <w:tab w:leader="none" w:pos="199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subject to Section 13.3(c), required by a Governmental Authority, applicable Law (including the rules and regulations of any stock exchange or trading market on which the receiving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and provided further that the receiving Party provides all reasonable cooperation to assist the disclosing Party to protect such information and limits the disclosure to that information that is required by a Governmental Authority, applicable Law (including the rules and regulations of any stock exchange or trading market on which the receiving Party’s (or its parent entity’s) securities are traded) or court order to be disclosed;</w:t>
      </w:r>
    </w:p>
    <w:p>
      <w:pPr>
        <w:spacing w:after="0" w:line="200" w:lineRule="exact"/>
        <w:rPr>
          <w:rFonts w:ascii="Arial" w:cs="Arial" w:eastAsia="Arial" w:hAnsi="Arial"/>
          <w:sz w:val="22"/>
          <w:szCs w:val="22"/>
          <w:color w:val="auto"/>
        </w:rPr>
      </w:pPr>
    </w:p>
    <w:p>
      <w:pPr>
        <w:jc w:val="both"/>
        <w:ind w:firstLine="1628"/>
        <w:spacing w:after="0" w:line="250" w:lineRule="auto"/>
        <w:tabs>
          <w:tab w:leader="none" w:pos="205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to enforce the terms of this Agreement or any Ancillary Agreement if the disclosing Party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w:t>
      </w:r>
    </w:p>
    <w:p>
      <w:pPr>
        <w:spacing w:after="0" w:line="187" w:lineRule="exact"/>
        <w:rPr>
          <w:rFonts w:ascii="Arial" w:cs="Arial" w:eastAsia="Arial" w:hAnsi="Arial"/>
          <w:sz w:val="22"/>
          <w:szCs w:val="22"/>
          <w:color w:val="auto"/>
        </w:rPr>
      </w:pPr>
    </w:p>
    <w:p>
      <w:pPr>
        <w:jc w:val="both"/>
        <w:ind w:firstLine="1640"/>
        <w:spacing w:after="0" w:line="248" w:lineRule="auto"/>
        <w:tabs>
          <w:tab w:leader="none" w:pos="202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to the Regulatory Authorities as required in connection with such Party’s regulatory interactions with respect to such Party’s Manufacturing, Development or Commercialization activities conducted in accordance with the terms and conditions of this Agreement (including the licenses and other rights granted to such Party); provided, however, that reasonable measures shall be taken to assure confidential treatment of such information to the extent practicable and consistent with applicable Law.</w:t>
      </w:r>
    </w:p>
    <w:p>
      <w:pPr>
        <w:spacing w:after="0" w:line="191" w:lineRule="exact"/>
        <w:rPr>
          <w:rFonts w:ascii="Arial" w:cs="Arial" w:eastAsia="Arial" w:hAnsi="Arial"/>
          <w:sz w:val="22"/>
          <w:szCs w:val="22"/>
          <w:color w:val="auto"/>
        </w:rPr>
      </w:pPr>
    </w:p>
    <w:p>
      <w:pPr>
        <w:jc w:val="both"/>
        <w:ind w:firstLine="1304"/>
        <w:spacing w:after="0" w:line="260" w:lineRule="auto"/>
        <w:tabs>
          <w:tab w:leader="none" w:pos="193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Notwithstanding anything else in this Agreement to the contrary, each Party (and each employee, representative, or other agent of such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either Party (or to any employee, representative, or other agent of either Party) relating to such tax treatment or tax structure, provided, however, that this authorization of disclosure shall not apply to disclosures reasonably necessary to comply with applicable securities Laws, which disclosures shall be governed by Section 13.3(a)(ii).</w:t>
      </w:r>
    </w:p>
    <w:p>
      <w:pPr>
        <w:spacing w:after="0" w:line="180" w:lineRule="exact"/>
        <w:rPr>
          <w:rFonts w:ascii="Arial" w:cs="Arial" w:eastAsia="Arial" w:hAnsi="Arial"/>
          <w:sz w:val="21"/>
          <w:szCs w:val="21"/>
          <w:color w:val="auto"/>
        </w:rPr>
      </w:pPr>
    </w:p>
    <w:p>
      <w:pPr>
        <w:ind w:right="20" w:firstLine="1304"/>
        <w:spacing w:after="0" w:line="263"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Notwithstanding anything else in this Agreement to the contrary, if either Party or any of its Affiliates receives a request for any Regeneron Manufacturing Know-How,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258" w:lineRule="auto"/>
        <w:rPr>
          <w:sz w:val="20"/>
          <w:szCs w:val="20"/>
          <w:color w:val="auto"/>
        </w:rPr>
      </w:pPr>
      <w:r>
        <w:rPr>
          <w:rFonts w:ascii="Arial" w:cs="Arial" w:eastAsia="Arial" w:hAnsi="Arial"/>
          <w:sz w:val="21"/>
          <w:szCs w:val="21"/>
          <w:color w:val="auto"/>
        </w:rPr>
        <w:t>such Party is Sanofi, or Sanofi Manufacturing Know-How, if such Party is Regeneron, from any Governmental Authority under any freedom of information Law, including the United States Freedom of Information Act or the State Council Regulations on Open Government Information, then such Party shall (i) notify the other Party of such request within one (1) Business Day, (ii) permit such other Party or any of its Affiliates to oppose such request or to seek other limitations on such request, in each case, to the extent consistent with the applicable Law and (iii) provide such other Party with reasonable assistance in opposing such request or seeking such limitations. Each Party shall not, and shall cause its Affiliates not to, disclose any Regeneron Manufacturing Know-How, if such Party is Sanofi, or Sanofi Manufacturing Know-How, if such Party is Regeneron, to any Governmental Authority in response to a request under any freedom of information Law without the other Party’s prior written consent, not to be unreasonably withheld, conditioned or delayed; provided that such other Party acknowledges and agrees that it would be unreasonable for it to not consent to any disclosure if such lack of disclosure would cause such Party or any of its Affiliates to violate applicable Law.</w:t>
      </w:r>
    </w:p>
    <w:p>
      <w:pPr>
        <w:spacing w:after="0" w:line="182"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hereby acknowledge and agree that the rights of the Parties under this Article 13 are special, unique and of extraordinary character, and that if either Party refuses or otherwise fails to act, or to cause its Affiliates to act, in accordance with the provisions of this Article 13, such refusal or failure would result in irreparable injury to the other Party, the exact amount of which would be difficult to ascertain or estimate and the remedies at law for which would not be reasonable or adequate compensation. Accordingly, if either Party refuses or otherwise fails to act, or to cause its Affiliates to act, in accordance with the provisions of this Article 13, then, in addition to any other remedy that may be available to any damaged Party at law or in equity, such damaged Party will be entitled to seek specific performance and injunctive relief, without posting bond or other security, and without the necessity of proving actual or threatened damages or inadequacy of monetary damages, which remedy such damaged Party will be entitled to seek in any court of competent jurisdiction.</w:t>
      </w:r>
    </w:p>
    <w:p>
      <w:pPr>
        <w:spacing w:after="0" w:line="15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u w:val="single" w:color="auto"/>
          <w:color w:val="auto"/>
        </w:rPr>
        <w:t>Publication</w:t>
      </w:r>
      <w:r>
        <w:rPr>
          <w:rFonts w:ascii="Arial" w:cs="Arial" w:eastAsia="Arial" w:hAnsi="Arial"/>
          <w:sz w:val="19"/>
          <w:szCs w:val="19"/>
          <w:color w:val="auto"/>
        </w:rPr>
        <w:t>. If either Sanofi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disclose any clinical trial results in respect of any Existing Trials in scientific journals, publications or scientific presentations or otherwise, the Publishing Party shall, unless the other Party and its Affiliates and its and their Sublicensees have permanently ceased Development and Commercialization of all Praluent Products, provide the other Party an advance copy of any proposed publication or summary of a proposed oral presentation relating to such Development results no later than ten (10) Business Days prior to submission for publication or disclosure. Such other Party shall have a reasonable opportunity to review and comment on such disclosure or publication and the Publishing Party shall (a) remove any Party Information of the other Party or Joint Information (other than such clinical trial results) that such other Party requests be removed, (b) consider any other comments from the other Party in good faith and (c) if requested by the other Party, shall delay or prevent such disclosure or publication as reasonably proposed by such other Party. In the event of patentable inventions, the delay shall be sufficiently long to permit the timely preparation and filing of a Patent application(s) or application(s) for a certificate of invention on the information involved. For clarity, neither Party may disclose the Party Information of the other Party or the Joint Information (other than such clinical trial results) in scientific journals, publications or scientific presentations or other similar disclosures without such other Party’s prior written consent, such consent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64" w:name="page165"/>
    <w:bookmarkEnd w:id="164"/>
    <w:p>
      <w:pPr>
        <w:jc w:val="both"/>
        <w:ind w:firstLine="972"/>
        <w:spacing w:after="0" w:line="284"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Other Publications</w:t>
      </w:r>
      <w:r>
        <w:rPr>
          <w:rFonts w:ascii="Arial" w:cs="Arial" w:eastAsia="Arial" w:hAnsi="Arial"/>
          <w:sz w:val="19"/>
          <w:szCs w:val="19"/>
          <w:color w:val="auto"/>
        </w:rPr>
        <w:t>. In the event that Sanofi or Regeneron desires to issue any press releases or public announcements concerning this Agreement or any Ancillary Agreement or any other activities contemplated hereunder or thereunder, including restructuring of the LCA in connection with this Agreement, in each case, to the extent not otherwise addressed in Section 13.5, except as prohibited by a Governmental Authority or applicable Law (including the rules and regulations of any stock exchange or trading market on which the issuing Party’s (or its parent entity’s) securities are traded), such Party agrees, unless the other Party and its Affiliates and its and their Sublicensees have permanently ceased Development and Commercialization of all Praluent Products, to provide to the other Party a copy of any such public announcement, as soon as reasonably practicable (which, except under extraordinary circumstances, shall be at least five (5) Business Days) prior to its scheduled release; provided, however, that, without prior submission to the other Party, either Party may issue press releases or public announcements that incorporate information concerning this Agreement or any Ancillary Agreement or any activities contemplated hereunder or thereunder that was included in a press release or public announcement that was previously approved by the other Party as part of a press release or other public disclosure concerning this Agreement or that contains only non-material factual (non-financial) information regarding this Agreement (e.g., that this Agreement remains in effect). Except as otherwise required by applicable Law, the Party whose press release has been reviewed shall remove any Party Information of the reviewing Party that the reviewing Party requests be removed. Except as required by applicable Law (including the rules and regulations of any stock exchange or trading market on which the issuing Party’s (or its parent entity’s) securities are traded), or in connection with the enforcement of this Agreement, neither Party (or its Affiliates) shall disclose to any Third Party, under any circumstances, any financial terms of this Agreement that have not been previously disclosed publicly pursuant to this Agreement, without the prior written consent of the other Party, which consent shall not be unreasonably withheld, conditioned or delayed; except for disclosures to Third Parties that are bound by obligations of confidentiality and nonuse at least equivalent in scope to those included herein with a term of at least five (5) 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each other and use reasonable efforts to obtain confidential treatment of confidential information, including trade secrets, in accordance with applicable Law. The filing Party will provide the non-filing Party with an advance copy of this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INDEMNITY</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Indemnity and Insurance</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5" w:lineRule="auto"/>
        <w:tabs>
          <w:tab w:leader="none" w:pos="194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Sanofi will defend, indemnify and hold harmless Regeneron, its Affiliates and its and their respective officers, directors, employees, (sub)licensees, distributors and agents (“</w:t>
      </w:r>
      <w:r>
        <w:rPr>
          <w:rFonts w:ascii="Arial" w:cs="Arial" w:eastAsia="Arial" w:hAnsi="Arial"/>
          <w:sz w:val="21"/>
          <w:szCs w:val="21"/>
          <w:u w:val="single" w:color="auto"/>
          <w:color w:val="auto"/>
        </w:rPr>
        <w:t>Regeneron Indemnitees</w:t>
      </w:r>
      <w:r>
        <w:rPr>
          <w:rFonts w:ascii="Arial" w:cs="Arial" w:eastAsia="Arial" w:hAnsi="Arial"/>
          <w:sz w:val="21"/>
          <w:szCs w:val="21"/>
          <w:color w:val="auto"/>
        </w:rPr>
        <w:t>”) from and against all claims, demands, liabilities, damages, penalties, fines, costs and expenses, including reasonable attorneys’ and experts’ fees and costs and costs or amounts paid to settle (collectively, “</w:t>
      </w:r>
      <w:r>
        <w:rPr>
          <w:rFonts w:ascii="Arial" w:cs="Arial" w:eastAsia="Arial" w:hAnsi="Arial"/>
          <w:sz w:val="21"/>
          <w:szCs w:val="21"/>
          <w:u w:val="single" w:color="auto"/>
          <w:color w:val="auto"/>
        </w:rPr>
        <w:t>Damages</w:t>
      </w:r>
      <w:r>
        <w:rPr>
          <w:rFonts w:ascii="Arial" w:cs="Arial" w:eastAsia="Arial" w:hAnsi="Arial"/>
          <w:sz w:val="21"/>
          <w:szCs w:val="21"/>
          <w:color w:val="auto"/>
        </w:rPr>
        <w:t>”), arising from or occurring as a result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22"/>
          <w:szCs w:val="22"/>
          <w:color w:val="auto"/>
        </w:rPr>
        <w:t>Third Party’s claim, action, suit, judgment or settlement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against a Regeneron Indemnitee that is due to or based upon:</w:t>
      </w:r>
    </w:p>
    <w:p>
      <w:pPr>
        <w:spacing w:after="0" w:line="175" w:lineRule="exact"/>
        <w:rPr>
          <w:sz w:val="20"/>
          <w:szCs w:val="20"/>
          <w:color w:val="auto"/>
        </w:rPr>
      </w:pPr>
    </w:p>
    <w:p>
      <w:pPr>
        <w:jc w:val="both"/>
        <w:ind w:firstLine="1748"/>
        <w:spacing w:after="0" w:line="248" w:lineRule="auto"/>
        <w:tabs>
          <w:tab w:leader="none" w:pos="19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gross negligence, recklessness, bad faith, intentional wrongful acts or omissions or violations of Law by Sanofi or its Affiliates (or its or their respective agents, contractors, Sublicensees, distributors, representatives or other Persons or entities working on their behalf) in connection with their Development, Commercialization, or Manufacture of any Praluent Product from and after the Transition Date, excluding any actions or omissions by or on behalf of Sanofi for Regeneron in connection with any Ancillary Services Agreement;</w:t>
      </w:r>
    </w:p>
    <w:p>
      <w:pPr>
        <w:spacing w:after="0" w:line="191" w:lineRule="exact"/>
        <w:rPr>
          <w:rFonts w:ascii="Arial" w:cs="Arial" w:eastAsia="Arial" w:hAnsi="Arial"/>
          <w:sz w:val="22"/>
          <w:szCs w:val="22"/>
          <w:color w:val="auto"/>
        </w:rPr>
      </w:pPr>
    </w:p>
    <w:p>
      <w:pPr>
        <w:jc w:val="both"/>
        <w:ind w:firstLine="1688"/>
        <w:spacing w:after="0" w:line="253" w:lineRule="auto"/>
        <w:tabs>
          <w:tab w:leader="none" w:pos="19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material breach by Sanofi, any of its Affiliates or its or their Sublicensees of its obligations, covenants or representations and warranties under this Agreement (other than any breach of an obligation, covenant, representation or warranty under any Ancillary Services Agreement);</w:t>
      </w:r>
    </w:p>
    <w:p>
      <w:pPr>
        <w:spacing w:after="0" w:line="185" w:lineRule="exact"/>
        <w:rPr>
          <w:rFonts w:ascii="Arial" w:cs="Arial" w:eastAsia="Arial" w:hAnsi="Arial"/>
          <w:sz w:val="22"/>
          <w:szCs w:val="22"/>
          <w:color w:val="auto"/>
        </w:rPr>
      </w:pPr>
    </w:p>
    <w:p>
      <w:pPr>
        <w:jc w:val="both"/>
        <w:ind w:firstLine="1628"/>
        <w:spacing w:after="0" w:line="263" w:lineRule="auto"/>
        <w:tabs>
          <w:tab w:leader="none" w:pos="202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exploitation of any Praluent Product by Sanofi and its Affiliates (or its or their respective agents, contractors (including by or on behalf of Regeneron for Sanofi in connection with any Ancillary Services Agreement), Sublicensees, distributors, representatives or other Persons or entities working on their behalf) from and after the Transition Date and any actions or omissions in connection therewith, excluding any Special Claim or any actions or omissions by or on behalf of Sanofi for Regeneron in connection with any Ancillary Services Agreement; or</w:t>
      </w:r>
    </w:p>
    <w:p>
      <w:pPr>
        <w:spacing w:after="0" w:line="175" w:lineRule="exact"/>
        <w:rPr>
          <w:rFonts w:ascii="Arial" w:cs="Arial" w:eastAsia="Arial" w:hAnsi="Arial"/>
          <w:sz w:val="21"/>
          <w:szCs w:val="21"/>
          <w:color w:val="auto"/>
        </w:rPr>
      </w:pPr>
    </w:p>
    <w:p>
      <w:pPr>
        <w:jc w:val="both"/>
        <w:ind w:firstLine="1640"/>
        <w:spacing w:after="0" w:line="247" w:lineRule="auto"/>
        <w:tabs>
          <w:tab w:leader="none" w:pos="19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U.S.-Related Praluent Agreement, except to the extent that the applicable Third Party Claim is due to or based upon any change in the terms of such U.S.-Related Praluent Agreement implemented by Sanofi or any of its Affiliates at Regeneron’s direction under the Praluent Transition Services Agreement; provided, however, that Regeneron shall be liable for payments or reimbursement of rebates, fees, chargebacks and other payments to be made pursuant to such U.S.-Related Praluent Agreements in respect of sales of Praluent Products made after the Transition Date subject to and in accordance with the Praluent Transition Services Agreement;</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except, in each case ((i), (ii), (iii) and (iv)), to the extent that Damages arise out of (A) the gross negligence, recklessness, bad faith, intentional wrongful acts or omissions or violations of Law committed by Regeneron or its Affiliates (or its or their respective agents, contractors, Sublicensees, distributors, representatives or other Persons or entities working on their behalf in connection with this Agreement) or (B) the material breach by Regeneron or its Affiliates or its or their Sublicensees of its obligations, covenants or representations and warranties under this Agreement, the Praluent Transition Services Agreement, the Praluent Pharmacovigilance Transition Services Agreement or any Praluent Services Agreement.</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clarity, Sanofi’s liability, other than with respect to Special Claims, for any Damages arising from or occurring as a result of a Third Party Claim against a Regeneron Indemnitee that is due to or based upon (x) any actions or omissions by or on behalf of Sanofi for Regeneron in connection with any Ancillary Services Agreement or (y) any breach by Sanofi, any of its Affiliates or its or their Sublicensees of its obligations, covenants or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66" w:name="page167"/>
    <w:bookmarkEnd w:id="166"/>
    <w:p>
      <w:pPr>
        <w:spacing w:after="0" w:line="263" w:lineRule="auto"/>
        <w:rPr>
          <w:sz w:val="20"/>
          <w:szCs w:val="20"/>
          <w:color w:val="auto"/>
        </w:rPr>
      </w:pPr>
      <w:r>
        <w:rPr>
          <w:rFonts w:ascii="Arial" w:cs="Arial" w:eastAsia="Arial" w:hAnsi="Arial"/>
          <w:sz w:val="22"/>
          <w:szCs w:val="22"/>
          <w:color w:val="auto"/>
        </w:rPr>
        <w:t>warranties under any Ancillary Services Agreement, in each case ((x) and (y)), shall be governed by the applicable Ancillary Services Agreement.</w:t>
      </w:r>
    </w:p>
    <w:p>
      <w:pPr>
        <w:spacing w:after="0" w:line="175" w:lineRule="exact"/>
        <w:rPr>
          <w:sz w:val="20"/>
          <w:szCs w:val="20"/>
          <w:color w:val="auto"/>
        </w:rPr>
      </w:pPr>
    </w:p>
    <w:p>
      <w:pPr>
        <w:jc w:val="both"/>
        <w:ind w:firstLine="1304"/>
        <w:spacing w:after="0" w:line="253" w:lineRule="auto"/>
        <w:tabs>
          <w:tab w:leader="none" w:pos="193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Regeneron will defend, indemnify and hold harmless Sanofi, its Affiliates and its and their respective officers, directors, employees, Sublicensees, distributors and agents (“</w:t>
      </w:r>
      <w:r>
        <w:rPr>
          <w:rFonts w:ascii="Arial" w:cs="Arial" w:eastAsia="Arial" w:hAnsi="Arial"/>
          <w:sz w:val="22"/>
          <w:szCs w:val="22"/>
          <w:u w:val="single" w:color="auto"/>
          <w:color w:val="auto"/>
        </w:rPr>
        <w:t>Sanofi Indemnitees</w:t>
      </w:r>
      <w:r>
        <w:rPr>
          <w:rFonts w:ascii="Arial" w:cs="Arial" w:eastAsia="Arial" w:hAnsi="Arial"/>
          <w:sz w:val="22"/>
          <w:szCs w:val="22"/>
          <w:color w:val="auto"/>
        </w:rPr>
        <w:t>”) from and against all Damages arising from a Third Party Claim against a Sanofi Indemnitee that is due to or based upon:</w:t>
      </w:r>
    </w:p>
    <w:p>
      <w:pPr>
        <w:spacing w:after="0" w:line="185" w:lineRule="exact"/>
        <w:rPr>
          <w:rFonts w:ascii="Arial" w:cs="Arial" w:eastAsia="Arial" w:hAnsi="Arial"/>
          <w:sz w:val="22"/>
          <w:szCs w:val="22"/>
          <w:color w:val="auto"/>
        </w:rPr>
      </w:pPr>
    </w:p>
    <w:p>
      <w:pPr>
        <w:jc w:val="both"/>
        <w:ind w:firstLine="1748"/>
        <w:spacing w:after="0" w:line="263" w:lineRule="auto"/>
        <w:tabs>
          <w:tab w:leader="none" w:pos="199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gross negligence, recklessness, bad faith, intentional wrongful acts or omissions or violations of Law by Regeneron or its Affiliates (or its or their respective agents, contractors, Sublicensees, distributors, representatives or other Persons or entities working on their behalf), in connection with their Development, Commercialization, or Manufacture of any Praluent Product from and after the Transition Date, excluding any actions or omissions by or on behalf of Regeneron for Sanofi in connection with any Ancillary Services Agreement;</w:t>
      </w:r>
    </w:p>
    <w:p>
      <w:pPr>
        <w:spacing w:after="0" w:line="175" w:lineRule="exact"/>
        <w:rPr>
          <w:rFonts w:ascii="Arial" w:cs="Arial" w:eastAsia="Arial" w:hAnsi="Arial"/>
          <w:sz w:val="21"/>
          <w:szCs w:val="21"/>
          <w:color w:val="auto"/>
        </w:rPr>
      </w:pPr>
    </w:p>
    <w:p>
      <w:pPr>
        <w:jc w:val="both"/>
        <w:ind w:firstLine="1688"/>
        <w:spacing w:after="0" w:line="253" w:lineRule="auto"/>
        <w:tabs>
          <w:tab w:leader="none" w:pos="202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material breach by Regeneron, any of its Affiliates or its or their Sublicensees, of its obligations, covenants or representations and warranties under this Agreement (other than any breach of an obligation, covenant, representation or warranty under any Ancillary Services Agreement); or</w:t>
      </w:r>
    </w:p>
    <w:p>
      <w:pPr>
        <w:spacing w:after="0" w:line="185" w:lineRule="exact"/>
        <w:rPr>
          <w:rFonts w:ascii="Arial" w:cs="Arial" w:eastAsia="Arial" w:hAnsi="Arial"/>
          <w:sz w:val="22"/>
          <w:szCs w:val="22"/>
          <w:color w:val="auto"/>
        </w:rPr>
      </w:pPr>
    </w:p>
    <w:p>
      <w:pPr>
        <w:jc w:val="both"/>
        <w:ind w:firstLine="1628"/>
        <w:spacing w:after="0" w:line="263" w:lineRule="auto"/>
        <w:tabs>
          <w:tab w:leader="none" w:pos="199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exploitation of any Praluent Product by Regeneron and its Affiliates (or its or their respective agents, contractors (including by or on behalf of Sanofi for Regeneron in connection with any Ancillary Services Agreement), Sublicensees, distributors, representatives or other Persons or entities working on their behalf) from and after the Transition Date and any actions or omissions in connection therewith, excluding any Special Claim or any actions or omissions by or on behalf of Regeneron for Sanofi in connection with any Ancillary Services Agreement;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except, in each case ((i), (ii) and (iii)), to the extent that Damages arise out of (A) the gross negligence, recklessness, bad faith, intentional wrongful acts or omissions or violations of Law committed by Sanofi or its Affiliates (or its or their respective agents, contractors, Sublicensees, distributors, representatives or other Persons or entities working on their behalf in connection with this Agreement) or (B) the material breach by Sanofi or its Affiliates or its or their Sublicensees of its obligations, covenants or representations and warranties under this Agreement, the Praluent Transition Services Agreement, Praluent Pharmacovigilance Transition Services Agreement or any Praluent Services Agreement.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For clarity, Regeneron’s liability, other than with respect to [* * *], for any Damages arising from or occurring as a result of a Third Party Claim against a Sanofi Indemnitee that is due to or based upon (x) any actions or omissions by or on behalf of Regeneron for Sanofi in connection with any Ancillary Services Agreement or (y) any breach by Regeneron, any of its Affiliates or its or their Sublicensees of its obligations, covenants or representations and warranties under any Ancillary Services Agreement, in each case ((x) and (y)), shall be governed by the applicable Ancillary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67" w:name="page168"/>
    <w:bookmarkEnd w:id="167"/>
    <w:p>
      <w:pPr>
        <w:ind w:firstLine="1304"/>
        <w:spacing w:after="0" w:line="287" w:lineRule="auto"/>
        <w:tabs>
          <w:tab w:leader="none" w:pos="194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 the event of any (i) Third Party Claim alleging that [* * *] (any such Third Party Claim described in this Section 14.1(c) and subject to the exclusions set forth in this Section 14.1(c), a “</w:t>
      </w:r>
      <w:r>
        <w:rPr>
          <w:rFonts w:ascii="Arial" w:cs="Arial" w:eastAsia="Arial" w:hAnsi="Arial"/>
          <w:sz w:val="21"/>
          <w:szCs w:val="21"/>
          <w:u w:val="single" w:color="auto"/>
          <w:color w:val="auto"/>
        </w:rPr>
        <w:t>Special Claim</w:t>
      </w:r>
      <w:r>
        <w:rPr>
          <w:rFonts w:ascii="Arial" w:cs="Arial" w:eastAsia="Arial" w:hAnsi="Arial"/>
          <w:sz w:val="21"/>
          <w:szCs w:val="21"/>
          <w:color w:val="auto"/>
        </w:rPr>
        <w:t>”), then:</w:t>
      </w:r>
    </w:p>
    <w:p>
      <w:pPr>
        <w:spacing w:after="0" w:line="151" w:lineRule="exact"/>
        <w:rPr>
          <w:rFonts w:ascii="Arial" w:cs="Arial" w:eastAsia="Arial" w:hAnsi="Arial"/>
          <w:sz w:val="21"/>
          <w:szCs w:val="21"/>
          <w:color w:val="auto"/>
        </w:rPr>
      </w:pPr>
    </w:p>
    <w:p>
      <w:pPr>
        <w:jc w:val="both"/>
        <w:ind w:firstLine="1748"/>
        <w:spacing w:after="0" w:line="253" w:lineRule="auto"/>
        <w:tabs>
          <w:tab w:leader="none" w:pos="1998"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any such Special Claim is due to or based upon Triggering Events that occur prior to the Transition Date (including Special Claims that are due to or based upon Triggering Event(s) that occur both prior to, and after, the Transition Date), then (subject to Section 14.1(c)(iii)):</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229" w:val="left"/>
        </w:tabs>
        <w:numPr>
          <w:ilvl w:val="2"/>
          <w:numId w:val="120"/>
        </w:numPr>
        <w:rPr>
          <w:rFonts w:ascii="Arial" w:cs="Arial" w:eastAsia="Arial" w:hAnsi="Arial"/>
          <w:sz w:val="22"/>
          <w:szCs w:val="22"/>
          <w:color w:val="auto"/>
        </w:rPr>
      </w:pPr>
      <w:r>
        <w:rPr>
          <w:rFonts w:ascii="Arial" w:cs="Arial" w:eastAsia="Arial" w:hAnsi="Arial"/>
          <w:sz w:val="22"/>
          <w:szCs w:val="22"/>
          <w:color w:val="auto"/>
        </w:rPr>
        <w:t>the provisions of Section 14.2 shall not apply with respect to the defense of such Special Claim and (1) the Parties shall cooperate in good faith to establish a mutually agreeable strategy with respect to defending such Special Claim, provided that, subject to Section 11.3, [* * *];</w:t>
      </w:r>
    </w:p>
    <w:p>
      <w:pPr>
        <w:spacing w:after="0" w:line="185" w:lineRule="exact"/>
        <w:rPr>
          <w:rFonts w:ascii="Arial" w:cs="Arial" w:eastAsia="Arial" w:hAnsi="Arial"/>
          <w:sz w:val="22"/>
          <w:szCs w:val="22"/>
          <w:color w:val="auto"/>
        </w:rPr>
      </w:pPr>
    </w:p>
    <w:p>
      <w:pPr>
        <w:jc w:val="both"/>
        <w:ind w:firstLine="2600"/>
        <w:spacing w:after="0" w:line="343" w:lineRule="auto"/>
        <w:tabs>
          <w:tab w:leader="none" w:pos="3231" w:val="left"/>
        </w:tabs>
        <w:numPr>
          <w:ilvl w:val="2"/>
          <w:numId w:val="120"/>
        </w:numPr>
        <w:rPr>
          <w:rFonts w:ascii="Arial" w:cs="Arial" w:eastAsia="Arial" w:hAnsi="Arial"/>
          <w:sz w:val="19"/>
          <w:szCs w:val="19"/>
          <w:color w:val="auto"/>
        </w:rPr>
      </w:pPr>
      <w:r>
        <w:rPr>
          <w:rFonts w:ascii="Arial" w:cs="Arial" w:eastAsia="Arial" w:hAnsi="Arial"/>
          <w:sz w:val="19"/>
          <w:szCs w:val="19"/>
          <w:color w:val="auto"/>
        </w:rPr>
        <w:t>with respect to any Damages (other than Litigation Costs) from such Special Claim allocable to Triggering Events occurring prior to the Transition Date, the Parties shall share such Damages on a [* * *] basis; and</w:t>
      </w:r>
    </w:p>
    <w:p>
      <w:pPr>
        <w:spacing w:after="0" w:line="104" w:lineRule="exact"/>
        <w:rPr>
          <w:rFonts w:ascii="Arial" w:cs="Arial" w:eastAsia="Arial" w:hAnsi="Arial"/>
          <w:sz w:val="19"/>
          <w:szCs w:val="19"/>
          <w:color w:val="auto"/>
        </w:rPr>
      </w:pPr>
    </w:p>
    <w:p>
      <w:pPr>
        <w:ind w:firstLine="2600"/>
        <w:spacing w:after="0" w:line="263" w:lineRule="auto"/>
        <w:tabs>
          <w:tab w:leader="none" w:pos="3231" w:val="left"/>
        </w:tabs>
        <w:numPr>
          <w:ilvl w:val="2"/>
          <w:numId w:val="120"/>
        </w:numPr>
        <w:rPr>
          <w:rFonts w:ascii="Arial" w:cs="Arial" w:eastAsia="Arial" w:hAnsi="Arial"/>
          <w:sz w:val="22"/>
          <w:szCs w:val="22"/>
          <w:color w:val="auto"/>
        </w:rPr>
      </w:pPr>
      <w:r>
        <w:rPr>
          <w:rFonts w:ascii="Arial" w:cs="Arial" w:eastAsia="Arial" w:hAnsi="Arial"/>
          <w:sz w:val="22"/>
          <w:szCs w:val="22"/>
          <w:color w:val="auto"/>
        </w:rPr>
        <w:t>with respect to any Damages (other than Litigation Costs) from such Special Claim allocable to Triggering Events occurring on or after the Transition Date, [* * *];</w:t>
      </w:r>
    </w:p>
    <w:p>
      <w:pPr>
        <w:spacing w:after="0" w:line="174" w:lineRule="exact"/>
        <w:rPr>
          <w:rFonts w:ascii="Arial" w:cs="Arial" w:eastAsia="Arial" w:hAnsi="Arial"/>
          <w:sz w:val="22"/>
          <w:szCs w:val="22"/>
          <w:color w:val="auto"/>
        </w:rPr>
      </w:pPr>
    </w:p>
    <w:p>
      <w:pPr>
        <w:jc w:val="both"/>
        <w:ind w:firstLine="1688"/>
        <w:spacing w:after="0" w:line="253" w:lineRule="auto"/>
        <w:tabs>
          <w:tab w:leader="none" w:pos="202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any such Special Claim is solely due to or based upon Triggering Events occurring on or after the Transition Date (and is not due to or based upon Triggering Events prior to the Transition Date, which shall be governed by Section 14.1(c)(i)), then (subject to Section 14.1(c)(iii)):</w:t>
      </w:r>
    </w:p>
    <w:p>
      <w:pPr>
        <w:spacing w:after="0" w:line="185" w:lineRule="exact"/>
        <w:rPr>
          <w:rFonts w:ascii="Arial" w:cs="Arial" w:eastAsia="Arial" w:hAnsi="Arial"/>
          <w:sz w:val="22"/>
          <w:szCs w:val="22"/>
          <w:color w:val="auto"/>
        </w:rPr>
      </w:pPr>
    </w:p>
    <w:p>
      <w:pPr>
        <w:ind w:left="3240" w:hanging="640"/>
        <w:spacing w:after="0"/>
        <w:tabs>
          <w:tab w:leader="none" w:pos="3240" w:val="left"/>
        </w:tabs>
        <w:numPr>
          <w:ilvl w:val="2"/>
          <w:numId w:val="120"/>
        </w:numPr>
        <w:rPr>
          <w:rFonts w:ascii="Arial" w:cs="Arial" w:eastAsia="Arial" w:hAnsi="Arial"/>
          <w:sz w:val="19"/>
          <w:szCs w:val="19"/>
          <w:color w:val="auto"/>
        </w:rPr>
      </w:pPr>
      <w:r>
        <w:rPr>
          <w:rFonts w:ascii="Arial" w:cs="Arial" w:eastAsia="Arial" w:hAnsi="Arial"/>
          <w:sz w:val="19"/>
          <w:szCs w:val="19"/>
          <w:color w:val="auto"/>
        </w:rPr>
        <w:t>the provisions of Section 14.2 shall apply with respect to the defense of such Third Party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Claim; and</w:t>
      </w:r>
    </w:p>
    <w:p>
      <w:pPr>
        <w:spacing w:after="0" w:line="201" w:lineRule="exact"/>
        <w:rPr>
          <w:rFonts w:ascii="Arial" w:cs="Arial" w:eastAsia="Arial" w:hAnsi="Arial"/>
          <w:sz w:val="19"/>
          <w:szCs w:val="19"/>
          <w:color w:val="auto"/>
        </w:rPr>
      </w:pPr>
    </w:p>
    <w:p>
      <w:pPr>
        <w:jc w:val="both"/>
        <w:ind w:firstLine="2600"/>
        <w:spacing w:after="0" w:line="288" w:lineRule="auto"/>
        <w:tabs>
          <w:tab w:leader="none" w:pos="3231" w:val="left"/>
        </w:tabs>
        <w:numPr>
          <w:ilvl w:val="2"/>
          <w:numId w:val="120"/>
        </w:numPr>
        <w:rPr>
          <w:rFonts w:ascii="Arial" w:cs="Arial" w:eastAsia="Arial" w:hAnsi="Arial"/>
          <w:sz w:val="19"/>
          <w:szCs w:val="19"/>
          <w:color w:val="auto"/>
        </w:rPr>
      </w:pPr>
      <w:r>
        <w:rPr>
          <w:rFonts w:ascii="Arial" w:cs="Arial" w:eastAsia="Arial" w:hAnsi="Arial"/>
          <w:sz w:val="19"/>
          <w:szCs w:val="19"/>
          <w:color w:val="auto"/>
        </w:rPr>
        <w:t>with respect to any Damages (other than any costs or expenses allocated pursuant to Section 14.2) from such Special Claim, (1) Regeneron shall indemnify, defend and hold harmless the Sanofi Indemnitees, to the extent such Damages are allocable to the Commercialization of any Praluent Product in the Regeneron Territory, or the Development (other than the conduct of any Global Clinical Trials) or Manufacturing (including by Sanofi or any of its Affiliates for Regeneron under the Finished Product Supply Agreement) of any Praluent Product in the Territory in support of Commercialization of such Praluent Product in the Regeneron Territory and (2) Sanofi shall indemnify, defend and hold harmless the Regeneron Indemnitees, to the extent such Damages are allocable to the Commercialization of any Praluent Product in the Sanofi Territory, or the Development (other than the conduct of any Global Clinical Trials) or Manufacturing (including by Regeneron or any of its Affiliates for Sanofi under the Praluent Substance Supply Agreement) of any Praluent Product in the Territory in support of Commercialization of such Praluent Product in the Sanofi Territory; and</w:t>
      </w:r>
    </w:p>
    <w:p>
      <w:pPr>
        <w:spacing w:after="0" w:line="159" w:lineRule="exact"/>
        <w:rPr>
          <w:rFonts w:ascii="Arial" w:cs="Arial" w:eastAsia="Arial" w:hAnsi="Arial"/>
          <w:sz w:val="19"/>
          <w:szCs w:val="19"/>
          <w:color w:val="auto"/>
        </w:rPr>
      </w:pPr>
    </w:p>
    <w:p>
      <w:pPr>
        <w:ind w:left="2000" w:hanging="372"/>
        <w:spacing w:after="0"/>
        <w:tabs>
          <w:tab w:leader="none" w:pos="200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any Special Claim is allocable to the Global Clinical Trials,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68" w:name="page169"/>
    <w:bookmarkEnd w:id="168"/>
    <w:p>
      <w:pPr>
        <w:jc w:val="both"/>
        <w:ind w:firstLine="2600"/>
        <w:spacing w:after="0" w:line="246" w:lineRule="auto"/>
        <w:tabs>
          <w:tab w:leader="none" w:pos="3229"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provisions of Section 14.2 shall not apply with respect to the defense of such Special Claim and the Parties shall cooperate in good faith to establish a mutually agreeable strategy with respect to defending such Special Claim and shall share the Litigation Costs for such defense [* * *] that are Out-of-Pocket Costs; provided that, subject to Section 11.3, Sanofi shall have final decision-making authority with respect to any such Special Claims in the Sanofi Territory and Regeneron shall have final decision-making authority with respect to any such Special Claims in the Regeneron Territory; provided further that neither Party shall settle any such Special Claim without the other Party’s consent, not to be unreasonably withheld, conditioned or delayed; and</w:t>
      </w:r>
    </w:p>
    <w:p>
      <w:pPr>
        <w:spacing w:after="0" w:line="196" w:lineRule="exact"/>
        <w:rPr>
          <w:rFonts w:ascii="Arial" w:cs="Arial" w:eastAsia="Arial" w:hAnsi="Arial"/>
          <w:sz w:val="22"/>
          <w:szCs w:val="22"/>
          <w:color w:val="auto"/>
        </w:rPr>
      </w:pPr>
    </w:p>
    <w:p>
      <w:pPr>
        <w:ind w:left="3240" w:hanging="640"/>
        <w:spacing w:after="0"/>
        <w:tabs>
          <w:tab w:leader="none" w:pos="324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Parties shall share Damages (other than Litigation Costs) from such Special Claim [* *</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clarity, other than Special Claims (which are governed by Section 14.1(c)), all Damages that are due to or based upon any act or omission by or on behalf of Regeneron or Sanofi prior to the Transition Date shall be governed by the terms of the LCA as in effect immediately prior to the Transition Date.</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clarity, for purposes of Section 14.1(a), Section 14.1(b), Section 14.1(c) and Section 14.1(d), any reference to Licensed Product (as defined in the LCA) under any applicable section of the LCA shall be deemed to include a reference to Praluent Product.</w:t>
      </w:r>
    </w:p>
    <w:p>
      <w:pPr>
        <w:spacing w:after="0" w:line="185" w:lineRule="exact"/>
        <w:rPr>
          <w:rFonts w:ascii="Arial" w:cs="Arial" w:eastAsia="Arial" w:hAnsi="Arial"/>
          <w:sz w:val="22"/>
          <w:szCs w:val="22"/>
          <w:color w:val="auto"/>
        </w:rPr>
      </w:pPr>
    </w:p>
    <w:p>
      <w:pPr>
        <w:jc w:val="both"/>
        <w:ind w:firstLine="1304"/>
        <w:spacing w:after="0" w:line="258" w:lineRule="auto"/>
        <w:tabs>
          <w:tab w:leader="none" w:pos="194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Each Party shall maintain, at its own cost and expense, liability insurance coverage on, or self-insurance of, its activities performed under this Agreement. Such insurance will be maintained, at a minimum, until five (5) years after such Party and its Affiliates and its and their Sublicensees have permanently ceased Development and Commercialization of all Praluent Products, with a reputable insurance carrier(s) or through self-insurance, and will include Commercial General Liability and Products Liability insurance covering damages arising from bodily injury (including death), property damage and consequential loss, in an amount not less than [* * *] dollars ($[* * *]) per occurrence and in the annual aggregate arising out of Third Party claims made against the Parties in respect of the activities performed under this Agreement. Maintenance of such insurance coverage will not relieve either Party of any responsibility under this Agreement for damage in excess of insurance limits or otherwise. Upon a Party’s written request, the other Party will promptly provide it with a certificate from the insurer(s) or the insurer’s authorized representative, or in the case of self-insurance, an authorized corporate officer evidencing such insurance coverage.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Indemnity Procedure</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7" w:lineRule="auto"/>
        <w:tabs>
          <w:tab w:leader="none" w:pos="194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Party entitled to indemnification under this Article 14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within five (5) Business Days of being notified of any claim or claims asserted or threatened against the Indemnified Party that could give rise to a right of indemnification under this Agreement; provided, however, that the failure to give such notice shall not relieve the Indemnifying Party of its indemnity obligation hereunder except to the extent that such failure materially prejudices the Indemnifying Party.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69" w:name="page170"/>
    <w:bookmarkEnd w:id="169"/>
    <w:p>
      <w:pPr>
        <w:spacing w:after="0" w:line="263" w:lineRule="auto"/>
        <w:rPr>
          <w:sz w:val="20"/>
          <w:szCs w:val="20"/>
          <w:color w:val="auto"/>
        </w:rPr>
      </w:pPr>
      <w:r>
        <w:rPr>
          <w:rFonts w:ascii="Arial" w:cs="Arial" w:eastAsia="Arial" w:hAnsi="Arial"/>
          <w:sz w:val="22"/>
          <w:szCs w:val="22"/>
          <w:color w:val="auto"/>
        </w:rPr>
        <w:t>doubt, the indemnification procedures in this Section 14.2 shall not apply to Third Party Claims described in Section 14.1(c)(i), which shall be governed by such section unless specified otherwise in such section.</w:t>
      </w:r>
    </w:p>
    <w:p>
      <w:pPr>
        <w:spacing w:after="0" w:line="175" w:lineRule="exact"/>
        <w:rPr>
          <w:sz w:val="20"/>
          <w:szCs w:val="20"/>
          <w:color w:val="auto"/>
        </w:rPr>
      </w:pPr>
    </w:p>
    <w:p>
      <w:pPr>
        <w:jc w:val="both"/>
        <w:ind w:firstLine="1748"/>
        <w:spacing w:after="0" w:line="285" w:lineRule="auto"/>
        <w:tabs>
          <w:tab w:leader="none" w:pos="199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the Indemnifying Party has acknowledged in writing to the Indemnified Party the Indemnifying Party’s responsibility for defending a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(A) such compromise or settlement includes as an unconditional term thereof, the giving by each claimant or plaintiff to the Indemnified Party of a release from all liability in respect of such claim; and (B) the Indemnified Party consents to such compromise or settlement, which consent shall not be withheld, conditioned or delayed unless such compromise or settlement involves (1) any admission of legal wrongdoing by the Indemnified Party, (2) any payment by the Indemnified Party that is not indemnified hereunder or (3)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cost and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688"/>
        <w:spacing w:after="0" w:line="248" w:lineRule="auto"/>
        <w:tabs>
          <w:tab w:leader="none" w:pos="203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Indemnified Party may participate in, but not control, any defense or settlement of any claim controlled by the Indemnifying Party pursuant to this Section 14.2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Party and the Indemnified Party.</w:t>
      </w:r>
    </w:p>
    <w:p>
      <w:pPr>
        <w:spacing w:after="0" w:line="191" w:lineRule="exact"/>
        <w:rPr>
          <w:rFonts w:ascii="Arial" w:cs="Arial" w:eastAsia="Arial" w:hAnsi="Arial"/>
          <w:sz w:val="22"/>
          <w:szCs w:val="22"/>
          <w:color w:val="auto"/>
        </w:rPr>
      </w:pPr>
    </w:p>
    <w:p>
      <w:pPr>
        <w:jc w:val="both"/>
        <w:ind w:firstLine="1628"/>
        <w:spacing w:after="0" w:line="294" w:lineRule="auto"/>
        <w:tabs>
          <w:tab w:leader="none" w:pos="201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Regardless of whether the Indemnifying Party assumes the defense of any claim pursuant to this Section 14.2,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 information and testimony, provide such witnesses and attend such conferences, discovery proceedings, hearings, trials and appeals, in each case, as may be reasonably requested in connection therewith. Such cooperation shall include access upon reasonable notice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70" w:name="page171"/>
    <w:bookmarkEnd w:id="170"/>
    <w:p>
      <w:pPr>
        <w:jc w:val="both"/>
        <w:spacing w:after="0" w:line="297" w:lineRule="auto"/>
        <w:rPr>
          <w:sz w:val="20"/>
          <w:szCs w:val="20"/>
          <w:color w:val="auto"/>
        </w:rPr>
      </w:pPr>
      <w:r>
        <w:rPr>
          <w:rFonts w:ascii="Arial" w:cs="Arial" w:eastAsia="Arial" w:hAnsi="Arial"/>
          <w:sz w:val="19"/>
          <w:szCs w:val="19"/>
          <w:color w:val="auto"/>
        </w:rPr>
        <w:t>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14, the Indemnifying Party shall reimburse the Indemnified Party for all its reasonable and verifiable Out-of-Pocket Costs in connection with providing such assistance.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FORCE MAJEURE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Neither Party will be held liable or responsible to the other Party nor be deemed to have defaulted under or breached this Agreement or any Ancillary Agreement for failure or delay in fulfilling or performing any term of this Agreement or any Ancillary Agreement when such failure or delay is caused by or results from causes beyond the reasonable control of the affected Party, including embargoes, acts of terrorism, acts of war (whether war be declared or not), insurrections, strikes, riots, civil commotions, epidemics, pandemics, quarantines or acts of God (“</w:t>
      </w:r>
      <w:r>
        <w:rPr>
          <w:rFonts w:ascii="Arial" w:cs="Arial" w:eastAsia="Arial" w:hAnsi="Arial"/>
          <w:sz w:val="21"/>
          <w:szCs w:val="21"/>
          <w:u w:val="single" w:color="auto"/>
          <w:color w:val="auto"/>
        </w:rPr>
        <w:t>Force Majeure</w:t>
      </w:r>
      <w:r>
        <w:rPr>
          <w:rFonts w:ascii="Arial" w:cs="Arial" w:eastAsia="Arial" w:hAnsi="Arial"/>
          <w:sz w:val="21"/>
          <w:szCs w:val="21"/>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02" w:lineRule="exact"/>
        <w:rPr>
          <w:sz w:val="20"/>
          <w:szCs w:val="20"/>
          <w:color w:val="auto"/>
        </w:rPr>
      </w:pPr>
    </w:p>
    <w:p>
      <w:pPr>
        <w:jc w:val="both"/>
        <w:ind w:right="20" w:firstLine="972"/>
        <w:spacing w:after="0" w:line="253"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is entered into as of the Execution Date but shall be effective as of the Transition Date and shall, from and after the Transition Date, remain in full force and effect in perpetuity and may not be terminated other than pursuant to the terms and conditions of Section 16.2.</w:t>
      </w:r>
    </w:p>
    <w:p>
      <w:pPr>
        <w:spacing w:after="0" w:line="18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Termination of Licenses and Certain Contractual Restrictions</w:t>
      </w:r>
      <w:r>
        <w:rPr>
          <w:rFonts w:ascii="Arial" w:cs="Arial" w:eastAsia="Arial" w:hAnsi="Arial"/>
          <w:sz w:val="19"/>
          <w:szCs w:val="19"/>
          <w:color w:val="auto"/>
        </w:rPr>
        <w:t>. Each Party (the “</w:t>
      </w:r>
      <w:r>
        <w:rPr>
          <w:rFonts w:ascii="Arial" w:cs="Arial" w:eastAsia="Arial" w:hAnsi="Arial"/>
          <w:sz w:val="19"/>
          <w:szCs w:val="19"/>
          <w:u w:val="single" w:color="auto"/>
          <w:color w:val="auto"/>
        </w:rPr>
        <w:t>Terminating Party</w:t>
      </w:r>
      <w:r>
        <w:rPr>
          <w:rFonts w:ascii="Arial" w:cs="Arial" w:eastAsia="Arial" w:hAnsi="Arial"/>
          <w:sz w:val="19"/>
          <w:szCs w:val="19"/>
          <w:color w:val="auto"/>
        </w:rPr>
        <w:t>”) may terminate (a) the licenses and rights of reference granted to the other Party (the “</w:t>
      </w:r>
      <w:r>
        <w:rPr>
          <w:rFonts w:ascii="Arial" w:cs="Arial" w:eastAsia="Arial" w:hAnsi="Arial"/>
          <w:sz w:val="19"/>
          <w:szCs w:val="19"/>
          <w:u w:val="single" w:color="auto"/>
          <w:color w:val="auto"/>
        </w:rPr>
        <w:t>Breaching Party</w:t>
      </w:r>
      <w:r>
        <w:rPr>
          <w:rFonts w:ascii="Arial" w:cs="Arial" w:eastAsia="Arial" w:hAnsi="Arial"/>
          <w:sz w:val="19"/>
          <w:szCs w:val="19"/>
          <w:color w:val="auto"/>
        </w:rPr>
        <w:t>”) hereunder and (b) any restrictions imposed upon the Terminating Party pursuant to Section 5.8 (provided however that the termination of such restrictions shall not be deemed to expand the licenses and rights of reference granted by the Breaching Party to the Terminating Party), in each case ((a) and (b)) upon prior written notice, if the Breaching Party or any of its Affiliates or its or their Sublicensees commits a material breach of its obligations under this Agreement. Any such notice shall set forth in reasonable detail the facts underlying or constituting the alleged breach (and specifically referencing the provisions alleged to have been breached), and the termination of the applicable licenses, rights of reference and contractual restrictions shall be effective ninety</w:t>
      </w:r>
    </w:p>
    <w:p>
      <w:pPr>
        <w:spacing w:after="0" w:line="2" w:lineRule="exact"/>
        <w:rPr>
          <w:sz w:val="20"/>
          <w:szCs w:val="20"/>
          <w:color w:val="auto"/>
        </w:rPr>
      </w:pPr>
    </w:p>
    <w:p>
      <w:pPr>
        <w:jc w:val="both"/>
        <w:ind w:firstLine="8"/>
        <w:spacing w:after="0" w:line="244" w:lineRule="auto"/>
        <w:tabs>
          <w:tab w:leader="none" w:pos="4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days after the date such notice is given unless the Breaching Party shall have cured such breach within such ninety (90)-day period (or, if such material breach, by its nature, is a curable breach but such breach is not curable within such ninety (90)-day period, such longer period not to exceed one hundred eighty (180) days so long as the Breaching Party is using commercially reasonable efforts to cure such breach, in which event if such breach has not been cured, such termination shall be effective on the earlier of the expiration of such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71" w:name="page172"/>
    <w:bookmarkEnd w:id="171"/>
    <w:p>
      <w:pPr>
        <w:spacing w:after="0" w:line="263" w:lineRule="auto"/>
        <w:rPr>
          <w:sz w:val="20"/>
          <w:szCs w:val="20"/>
          <w:color w:val="auto"/>
        </w:rPr>
      </w:pPr>
      <w:r>
        <w:rPr>
          <w:rFonts w:ascii="Arial" w:cs="Arial" w:eastAsia="Arial" w:hAnsi="Arial"/>
          <w:sz w:val="22"/>
          <w:szCs w:val="22"/>
          <w:color w:val="auto"/>
        </w:rPr>
        <w:t>hundred eighty (180)-day period or such time as the Breaching Party ceases to use commercially reasonable efforts to cure such breach).</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Other Effects of Termination</w:t>
      </w:r>
      <w:r>
        <w:rPr>
          <w:rFonts w:ascii="Arial" w:cs="Arial" w:eastAsia="Arial" w:hAnsi="Arial"/>
          <w:sz w:val="19"/>
          <w:szCs w:val="19"/>
          <w:color w:val="auto"/>
        </w:rPr>
        <w:t>. From and after the effective date of any termination pursuant to Section 16.2:</w:t>
      </w:r>
    </w:p>
    <w:p>
      <w:pPr>
        <w:spacing w:after="0" w:line="254" w:lineRule="exact"/>
        <w:rPr>
          <w:sz w:val="20"/>
          <w:szCs w:val="20"/>
          <w:color w:val="auto"/>
        </w:rPr>
      </w:pPr>
    </w:p>
    <w:p>
      <w:pPr>
        <w:ind w:firstLine="1304"/>
        <w:spacing w:after="0" w:line="263" w:lineRule="auto"/>
        <w:tabs>
          <w:tab w:leader="none" w:pos="194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Regeneron is the Terminating Party, then Sanofi shall have no royalty payment obligations hereunder with respect to Net Sales occurring after such effective date.</w:t>
      </w:r>
    </w:p>
    <w:p>
      <w:pPr>
        <w:spacing w:after="0" w:line="174" w:lineRule="exact"/>
        <w:rPr>
          <w:rFonts w:ascii="Arial" w:cs="Arial" w:eastAsia="Arial" w:hAnsi="Arial"/>
          <w:sz w:val="22"/>
          <w:szCs w:val="22"/>
          <w:color w:val="auto"/>
        </w:rPr>
      </w:pPr>
    </w:p>
    <w:p>
      <w:pPr>
        <w:jc w:val="both"/>
        <w:ind w:firstLine="1304"/>
        <w:spacing w:after="0" w:line="290" w:lineRule="auto"/>
        <w:tabs>
          <w:tab w:leader="none" w:pos="193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All of the Breaching Party’s rights and obligations hereunder specifically relating to (i) if the Breaching Party is Regeneron, the U.S. Praluent Product Business or (ii) if the Breaching Party is Sanofi, the ROW Praluent Product Business, in each case ((i) and (ii)) shall immediately terminate (but not, for clarity, any licenses and rights of reference granted by the Breaching Party under Section 2.1, Section 2.2 or Section 6.2, as applicable). For clarity, all of the Breaching Party’s rights and obligations under Article 13 and Article 14 shall continue in full force and effect, and all of the Breaching Party’s other rights and obligations hereunder, including under any Ancillary Services Agreement, shall continue in full force and effect with respect to Regeneron’s conduct of the U.S. Praluent Product Business, if the Terminating Party is Regeneron, or Sanofi’s conduct of the ROW Praluent Product Business, if the Terminating Party is Sanofi.</w:t>
      </w:r>
    </w:p>
    <w:p>
      <w:pPr>
        <w:spacing w:after="0" w:line="155" w:lineRule="exact"/>
        <w:rPr>
          <w:rFonts w:ascii="Arial" w:cs="Arial" w:eastAsia="Arial" w:hAnsi="Arial"/>
          <w:sz w:val="19"/>
          <w:szCs w:val="19"/>
          <w:color w:val="auto"/>
        </w:rPr>
      </w:pPr>
    </w:p>
    <w:p>
      <w:pPr>
        <w:jc w:val="both"/>
        <w:ind w:right="20" w:firstLine="1304"/>
        <w:spacing w:after="0" w:line="312" w:lineRule="auto"/>
        <w:tabs>
          <w:tab w:leader="none" w:pos="194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Promptly following such effective date, the Parties shall negotiate in good faith to amend this Agreement as may be needed in order to preserve the Terminating Party’s rights relating to the U.S. Praluent Product Business, if the Terminating Party is Regeneron, or to the ROW Praluent Product Business, if the Terminating Party is Sanofi.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02"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u w:val="single" w:color="auto"/>
          <w:color w:val="auto"/>
        </w:rPr>
        <w:t>Resolution of Disputes</w:t>
      </w:r>
      <w:r>
        <w:rPr>
          <w:rFonts w:ascii="Arial" w:cs="Arial" w:eastAsia="Arial" w:hAnsi="Arial"/>
          <w:sz w:val="19"/>
          <w:szCs w:val="19"/>
          <w:color w:val="auto"/>
        </w:rPr>
        <w:t>. The Parties recognize that disputes as to certain matters may from time to time arise that relate to either Party’s rights and obligations hereunder. It is the objective of the Parties to comply with the procedures set forth in this Agreement and to use all reasonable efforts to facilitate the resolution of such disputes in an expedient manner by mutual agreement. In the event the Parties are unable to resolve any such dispute (other than a dispute in respect of any final and binding results of any audit conducted pursuant to Section 8.11 or Section 8.12) either Party may submit such dispute to the Executive Officers for resolution, specifying the nature of the dispute with sufficient specificity to permit adequate consideration by such Executive Officers. The Executive Officers shall diligently and in good faith attempt to resolve the referred dispute within thirty</w:t>
      </w:r>
    </w:p>
    <w:p>
      <w:pPr>
        <w:spacing w:after="0" w:line="4" w:lineRule="exact"/>
        <w:rPr>
          <w:sz w:val="20"/>
          <w:szCs w:val="20"/>
          <w:color w:val="auto"/>
        </w:rPr>
      </w:pPr>
    </w:p>
    <w:p>
      <w:pPr>
        <w:jc w:val="both"/>
        <w:ind w:firstLine="8"/>
        <w:spacing w:after="0" w:line="292" w:lineRule="auto"/>
        <w:tabs>
          <w:tab w:leader="none" w:pos="42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days of receiving such written notification. Any final decision mutually agreed to by the Executive Officers in writing shall be conclusive and binding on the Parties. In the event the Executive Officers are unable to resolve any such dispute, the Parties shall be free to pursue any rights and remedies available to them at law, in equity or otherwise. Nothing in this Section 17.1 shall prohibit either Party from seeking immediate injunctive or other equitable relief if such Party reasonably believes that it will suffer irreparable harm from the actions of the other Party or any of its Affiliates or its or their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172" w:name="page173"/>
    <w:bookmarkEnd w:id="172"/>
    <w:p>
      <w:pPr>
        <w:jc w:val="both"/>
        <w:ind w:firstLine="972"/>
        <w:spacing w:after="0" w:line="289"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by registered mail to its address set forth in Schedule 18.4 shall be effective service of process for any action, suit or proceeding brought against it under this Agreement in any such court.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Both Sanofi and Regeneron, and their respective Affiliates, shall perform their obligations under this Agreement in accordance with applicable Law. No Party or any of its Affiliates shall, or shall be required to, undertake any activity under or in connection with this Agreement that violates, or that it believes, in good faith, may violate, any applicable Law.</w:t>
      </w:r>
    </w:p>
    <w:p>
      <w:pPr>
        <w:spacing w:after="0" w:line="188"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18.2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all commercially reasonable efforts to (a) take, or cause to be taken, all actions necessary, proper or advisable under applicable Laws or otherwise to consummate and make effective the transactions contemplated by this Agreement and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w:t>
      </w:r>
    </w:p>
    <w:p>
      <w:pPr>
        <w:spacing w:after="0" w:line="149"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u w:val="single" w:color="auto"/>
          <w:color w:val="auto"/>
        </w:rPr>
        <w:t>Waiver</w:t>
      </w:r>
      <w:r>
        <w:rPr>
          <w:rFonts w:ascii="Arial" w:cs="Arial" w:eastAsia="Arial" w:hAnsi="Arial"/>
          <w:sz w:val="22"/>
          <w:szCs w:val="22"/>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9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18.4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or demands required by this Agreement shall be in writing, shall be sent to the address of the relevant Party set forth on Schedule 18.4 attached hereto and shall be (a) delivered personally, (b) sent by registered or certified mail, return receipt requested, postage prepaid, or (c) sent via a reputable nationwide overnight courier service. Any such notice, instruction or communication shall be deemed to have been delivered upon receipt if delivered by hand, three (3) Business Days after it is sent by registered or certified mail, return receipt requested, postage prepaid, or one (1) Business Day after it is sent via a reputable nationwide overnight courier service. Either Party may change its notice address by giving notice to the other Party in the manner provided above.</w:t>
      </w:r>
    </w:p>
    <w:p>
      <w:pPr>
        <w:spacing w:after="0" w:line="18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LCA, the Discovery Agreement and the Ancillary Agreements, contain the complete understanding of the Parties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73" w:name="page174"/>
    <w:bookmarkEnd w:id="173"/>
    <w:p>
      <w:pPr>
        <w:jc w:val="both"/>
        <w:spacing w:after="0" w:line="263" w:lineRule="auto"/>
        <w:rPr>
          <w:sz w:val="20"/>
          <w:szCs w:val="20"/>
          <w:color w:val="auto"/>
        </w:rPr>
      </w:pPr>
      <w:r>
        <w:rPr>
          <w:rFonts w:ascii="Arial" w:cs="Arial" w:eastAsia="Arial" w:hAnsi="Arial"/>
          <w:sz w:val="22"/>
          <w:szCs w:val="22"/>
          <w:color w:val="auto"/>
        </w:rPr>
        <w:t>respect to the subject matter hereof and thereof and supersedes all prior understandings and writings relating to the subject matter hereof and thereof.</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18.6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Sanofi and Regeneron.</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18.7 </w:t>
      </w:r>
      <w:r>
        <w:rPr>
          <w:rFonts w:ascii="Arial" w:cs="Arial" w:eastAsia="Arial" w:hAnsi="Arial"/>
          <w:sz w:val="22"/>
          <w:szCs w:val="22"/>
          <w:u w:val="single" w:color="auto"/>
          <w:color w:val="auto"/>
        </w:rPr>
        <w:t>Headings</w:t>
      </w:r>
      <w:r>
        <w:rPr>
          <w:rFonts w:ascii="Arial" w:cs="Arial" w:eastAsia="Arial" w:hAnsi="Arial"/>
          <w:sz w:val="22"/>
          <w:szCs w:val="22"/>
          <w:color w:val="auto"/>
        </w:rPr>
        <w:t>. The descriptive headings of Articles and Sections are inserted solely for convenience of reference and are not intended as complete or accurate descriptions of the content of such Articles or Sections.</w:t>
      </w:r>
    </w:p>
    <w:p>
      <w:pPr>
        <w:spacing w:after="0" w:line="175"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18.8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further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18.9 </w:t>
      </w:r>
      <w:r>
        <w:rPr>
          <w:rFonts w:ascii="Arial" w:cs="Arial" w:eastAsia="Arial" w:hAnsi="Arial"/>
          <w:sz w:val="19"/>
          <w:szCs w:val="19"/>
          <w:u w:val="single" w:color="auto"/>
          <w:color w:val="auto"/>
        </w:rPr>
        <w:t>Registration and Filing of the Agreement</w:t>
      </w:r>
      <w:r>
        <w:rPr>
          <w:rFonts w:ascii="Arial" w:cs="Arial" w:eastAsia="Arial" w:hAnsi="Arial"/>
          <w:sz w:val="19"/>
          <w:szCs w:val="19"/>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13.6.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14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9"/>
          <w:szCs w:val="19"/>
          <w:color w:val="auto"/>
        </w:rPr>
        <w:t xml:space="preserve">18.10 </w:t>
      </w:r>
      <w:r>
        <w:rPr>
          <w:rFonts w:ascii="Arial" w:cs="Arial" w:eastAsia="Arial" w:hAnsi="Arial"/>
          <w:sz w:val="19"/>
          <w:szCs w:val="19"/>
          <w:u w:val="single" w:color="auto"/>
          <w:color w:val="auto"/>
        </w:rPr>
        <w:t>Assignment</w:t>
      </w:r>
      <w:r>
        <w:rPr>
          <w:rFonts w:ascii="Arial" w:cs="Arial" w:eastAsia="Arial" w:hAnsi="Arial"/>
          <w:sz w:val="19"/>
          <w:szCs w:val="19"/>
          <w:color w:val="auto"/>
        </w:rPr>
        <w:t>. Each of Sanofi and Regeneron may, without (a) the prior written consent of Regeneron in the case of any assignment by Sanofi or (b) the prior written consent of Sanofi in the case of any assignment by Regeneron, assign any of their respective rights and obligations under this Agreement to any of its Affiliates or any Third Party, so long as such Affiliate or Third Party agrees in writing to be bound by the terms of this Agreement; provided, however, that (i) any such assignment by Sanofi that would entail [* * *] to a Third Party shall be subject to Regeneron’s prior written consent (not to be unreasonably withheld, conditioned or delayed) unless such Third Party (A) acquires whether by merger, sale of assets or otherwise all or substantially all of Sanofi’s cardio metabolic business, or any successor business unit or division to which this Agreement relates (which business unit or division does not include only Praluent Products) and (B) such Third Party acquirer and agrees in writing to be bound by the terms of this Agreement and (ii) any such assignment by Regeneron that would entail [* * *] to a Third Party shall be subject to Sanofi’s prior written consent (not to be unreasonably withheld, conditioned or delayed) unless such Third Party acquires whether by merger, sale of assets or otherwise all or substantially all of Regeneron’s cardio metabolic business, or any successor business unit or division to which this Agreement relates (which business unit or division does not include only Praluent Products), and agrees in writing to be bound by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74" w:name="page175"/>
    <w:bookmarkEnd w:id="174"/>
    <w:p>
      <w:pPr>
        <w:jc w:val="both"/>
        <w:ind w:firstLine="972"/>
        <w:spacing w:after="0" w:line="263" w:lineRule="auto"/>
        <w:rPr>
          <w:sz w:val="20"/>
          <w:szCs w:val="20"/>
          <w:color w:val="auto"/>
        </w:rPr>
      </w:pPr>
      <w:r>
        <w:rPr>
          <w:rFonts w:ascii="Arial" w:cs="Arial" w:eastAsia="Arial" w:hAnsi="Arial"/>
          <w:sz w:val="22"/>
          <w:szCs w:val="22"/>
          <w:color w:val="auto"/>
        </w:rPr>
        <w:t xml:space="preserve">18.11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and their respective successors and permitted assigns.</w:t>
      </w:r>
    </w:p>
    <w:p>
      <w:pPr>
        <w:spacing w:after="0" w:line="17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18.12 </w:t>
      </w:r>
      <w:r>
        <w:rPr>
          <w:rFonts w:ascii="Arial" w:cs="Arial" w:eastAsia="Arial" w:hAnsi="Arial"/>
          <w:sz w:val="19"/>
          <w:szCs w:val="19"/>
          <w:u w:val="single" w:color="auto"/>
          <w:color w:val="auto"/>
        </w:rPr>
        <w:t>Affiliates</w:t>
      </w:r>
      <w:r>
        <w:rPr>
          <w:rFonts w:ascii="Arial" w:cs="Arial" w:eastAsia="Arial" w:hAnsi="Arial"/>
          <w:sz w:val="19"/>
          <w:szCs w:val="19"/>
          <w:color w:val="auto"/>
        </w:rPr>
        <w:t>. Each Party may perform its obligations hereunder through one or more of its Affiliates, although each Party shall nonetheless be responsible for the performance of its Affiliates. Neither Party shall permit any of its Affiliates to commit any act (including any act or omission) that such Party is prohibited hereunder from committing directly.</w:t>
      </w:r>
    </w:p>
    <w:p>
      <w:pPr>
        <w:spacing w:after="0" w:line="133"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18.13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that together shall constitute one and the same instrument. This Agreement may be executed by exchange between the Parties of electronically transmitted signatures (via facsimile, PDF format via e-mail or other electronic means) and such signatures shall be deemed to bind each Party as if they were original signatures.</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18.14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None of the provisions of this Agreement shall be for the benefit of or enforceable by any Third Party including any creditor of either Party. No Third Party shall obtain any right under any provision of this Agreement or shall by reason of any such provision make any claim in respect of any debt, liability or obligation (or otherwise) against either Party.</w:t>
      </w:r>
    </w:p>
    <w:p>
      <w:pPr>
        <w:spacing w:after="0" w:line="18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color w:val="auto"/>
        </w:rPr>
        <w:t xml:space="preserve">18.15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Each Party shall bear its own costs incurred in the performance of its obligations hereunder without charge or expense to the other Party except as expressly provided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independent contractor. Nothing in this Agreement shall be construed to establish a relationship of partners or joint venturers between the Parties or any of their respective Affiliates.</w:t>
      </w:r>
    </w:p>
    <w:p>
      <w:pPr>
        <w:spacing w:after="0" w:line="15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21"/>
          <w:szCs w:val="21"/>
          <w:color w:val="auto"/>
        </w:rPr>
        <w:t xml:space="preserve">18.16 </w:t>
      </w:r>
      <w:r>
        <w:rPr>
          <w:rFonts w:ascii="Arial" w:cs="Arial" w:eastAsia="Arial" w:hAnsi="Arial"/>
          <w:sz w:val="21"/>
          <w:szCs w:val="21"/>
          <w:u w:val="single" w:color="auto"/>
          <w:color w:val="auto"/>
        </w:rPr>
        <w:t>Limitation of Damages</w:t>
      </w:r>
      <w:r>
        <w:rPr>
          <w:rFonts w:ascii="Arial" w:cs="Arial" w:eastAsia="Arial" w:hAnsi="Arial"/>
          <w:sz w:val="21"/>
          <w:szCs w:val="21"/>
          <w:color w:val="auto"/>
        </w:rPr>
        <w:t>. IN NO EVENT SHALL REGENERON OR SANOFI BE LIABLE FOR SPECIAL, PUNITIVE, INDIRECT, INCIDENTAL OR CONSEQUENTIAL DAMAGES (INCLUDING LOSS OF PROFITS) SUFFERED BY THE OTHER PARTY, REGARDLESS OF THE THEORY OF LIABILITY (INCLUDING CONTRACT, TORT, NEGLIGENCE, STRICT LIABILITY OR OTHERWISE) AND REGARDLESS OF ANY PRIOR NOTICE OF SUCH DAMAGES, EXCEPT TO THE EXTENT ANY SUCH DAMAGES (a) ARE PAID BY THE OTHER PARTY TO A THIRD PARTY AS PART OF A THIRD PARTY CLAIM THAT IS COVERED BY SUCH PARTY’S INDEMNIFICATION OBLIGATIONS IN ARTICLE 14, (b) RELATE TO A BREACH BY SUCH PARTY OF SECTION 5.8, SECTION 6.3(b),</w:t>
      </w:r>
    </w:p>
    <w:p>
      <w:pPr>
        <w:spacing w:after="0" w:line="3"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SECTION 18.10 (TO THE EXTENT RELATING TO REGENERON MANUFACTURING KNOW-HOW) OR ARTICLE 13 OR (c) ARISE AS A RESULT OF SUCH PARTY’S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175" w:name="page176"/>
    <w:bookmarkEnd w:id="175"/>
    <w:p>
      <w:pPr>
        <w:jc w:val="both"/>
        <w:ind w:firstLine="972"/>
        <w:spacing w:after="0" w:line="285" w:lineRule="auto"/>
        <w:rPr>
          <w:sz w:val="20"/>
          <w:szCs w:val="20"/>
          <w:color w:val="auto"/>
        </w:rPr>
      </w:pPr>
      <w:r>
        <w:rPr>
          <w:rFonts w:ascii="Arial" w:cs="Arial" w:eastAsia="Arial" w:hAnsi="Arial"/>
          <w:sz w:val="19"/>
          <w:szCs w:val="19"/>
          <w:color w:val="auto"/>
        </w:rPr>
        <w:t xml:space="preserve">18.17 </w:t>
      </w:r>
      <w:r>
        <w:rPr>
          <w:rFonts w:ascii="Arial" w:cs="Arial" w:eastAsia="Arial" w:hAnsi="Arial"/>
          <w:sz w:val="19"/>
          <w:szCs w:val="19"/>
          <w:u w:val="single" w:color="auto"/>
          <w:color w:val="auto"/>
        </w:rPr>
        <w:t>Rejection of Agreement in Bankruptcy</w:t>
      </w:r>
      <w:r>
        <w:rPr>
          <w:rFonts w:ascii="Arial" w:cs="Arial" w:eastAsia="Arial" w:hAnsi="Arial"/>
          <w:sz w:val="19"/>
          <w:szCs w:val="19"/>
          <w:color w:val="auto"/>
        </w:rPr>
        <w:t>. The Parties intend to take advantage of the protections of Section 365(n) (or any successor provision) of the U.S. Bankruptcy Code or any analogous provisions in any other country or jurisdiction to the maximum extent permitted by applicable Laws. All rights and licenses granted under or pursuant to this Agreement, but only to the extent they constitute licenses of a right to “intellectual property” as defined in Section 101 of the U.S. Bankruptcy Code or in any analogous provisions in any other country or jurisdiction, as applicable, shall be deemed to be “intellectual property” for the purposes of Section 365(n) or any analogous provisions in any other country or jurisdiction, as applicable. The Parties shall retain and may fully exercise all of their rights and elections under the U.S. Bankruptcy Code or any analogous provisions in any other country or jurisdiction, including the right to obtain the intellectual property from another entity. 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(a) upon commencement of a bankruptcy proceeding, unless the Party subject to such proceeding continues to perform all of its obligations under this Agreement or (b) if not delivered pursuant to clause (a) above because the subject Party continues to perform, upon the rejection of this Agreement by or on behalf of the subject Party. 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18.18 </w:t>
      </w:r>
      <w:r>
        <w:rPr>
          <w:rFonts w:ascii="Arial" w:cs="Arial" w:eastAsia="Arial" w:hAnsi="Arial"/>
          <w:sz w:val="22"/>
          <w:szCs w:val="22"/>
          <w:u w:val="single" w:color="auto"/>
          <w:color w:val="auto"/>
        </w:rPr>
        <w:t>Construction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1" w:lineRule="auto"/>
        <w:tabs>
          <w:tab w:leader="none" w:pos="194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Except where the context otherwise requires, wherever used, the singular shall include the plural, the plural the singular, the use of any gender shall be applicable to all genders. The words “will” and “shall” shall have the same meaning and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elsewhere in this Agreement. Whenever this Agreement refers to a number of days, unless otherwise specified, such number refers to calendar days.</w:t>
      </w:r>
    </w:p>
    <w:p>
      <w:pPr>
        <w:spacing w:after="0" w:line="179" w:lineRule="exact"/>
        <w:rPr>
          <w:rFonts w:ascii="Arial" w:cs="Arial" w:eastAsia="Arial" w:hAnsi="Arial"/>
          <w:sz w:val="21"/>
          <w:szCs w:val="21"/>
          <w:color w:val="auto"/>
        </w:rPr>
      </w:pPr>
    </w:p>
    <w:p>
      <w:pPr>
        <w:jc w:val="both"/>
        <w:ind w:firstLine="1304"/>
        <w:spacing w:after="0" w:line="247" w:lineRule="auto"/>
        <w:tabs>
          <w:tab w:leader="none" w:pos="193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Unless otherwise specified, (i) the references in this Agreement to any Article, Section, Schedule or Exhibit shall mean references to such Article, Section, Schedule or Exhibit of this Agreement, (ii) references in any section to any clause are references to such clause of such section and (iii) references to any agreement, instrument or other document in this Agreement refer to such agreement, instrument or other document as originally executed or, if subsequently varied, amended, replaced or supplemented from time to time, so varied, amended, replaced or supplemented and in effect at the relevant time of reference thereto.</w:t>
      </w:r>
    </w:p>
    <w:p>
      <w:pPr>
        <w:spacing w:after="0" w:line="192" w:lineRule="exact"/>
        <w:rPr>
          <w:rFonts w:ascii="Arial" w:cs="Arial" w:eastAsia="Arial" w:hAnsi="Arial"/>
          <w:sz w:val="22"/>
          <w:szCs w:val="22"/>
          <w:color w:val="auto"/>
        </w:rPr>
      </w:pPr>
    </w:p>
    <w:p>
      <w:pPr>
        <w:ind w:firstLine="1304"/>
        <w:spacing w:after="0" w:line="263" w:lineRule="auto"/>
        <w:tabs>
          <w:tab w:leader="none" w:pos="194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Whenever a provision of this Agreement requires an approval or consent by a Party to this Agreement and notification of such approval or consent is not delivered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2"/>
          <w:szCs w:val="22"/>
          <w:color w:val="auto"/>
        </w:rPr>
        <w:t>the applicable time limit,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either Party to this Agreement because such Party drafted or caused such Party’s legal representative to draft any provision contained herein.</w:t>
      </w:r>
    </w:p>
    <w:p>
      <w:pPr>
        <w:spacing w:after="0" w:line="188" w:lineRule="exact"/>
        <w:rPr>
          <w:sz w:val="20"/>
          <w:szCs w:val="20"/>
          <w:color w:val="auto"/>
        </w:rPr>
      </w:pPr>
    </w:p>
    <w:p>
      <w:pPr>
        <w:jc w:val="both"/>
        <w:ind w:firstLine="1304"/>
        <w:spacing w:after="0" w:line="312" w:lineRule="auto"/>
        <w:tabs>
          <w:tab w:leader="none" w:pos="193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the event of any conflict between this Agreement and the Schedules and Appendices hereto, this Agreement shall prevail. In the event of any conflict between this Agreement and a Praluent Supply Agreement, such Praluent Supply Agreement shall control in respect of any supply-related terms, and this Agreement shall control for any other terms.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77" w:name="page178"/>
    <w:bookmarkEnd w:id="177"/>
    <w:p>
      <w:pPr>
        <w:ind w:firstLine="1296"/>
        <w:spacing w:after="0" w:line="263" w:lineRule="auto"/>
        <w:rPr>
          <w:sz w:val="20"/>
          <w:szCs w:val="20"/>
          <w:color w:val="auto"/>
        </w:rPr>
      </w:pPr>
      <w:r>
        <w:rPr>
          <w:rFonts w:ascii="Arial" w:cs="Arial" w:eastAsia="Arial" w:hAnsi="Arial"/>
          <w:sz w:val="22"/>
          <w:szCs w:val="22"/>
          <w:color w:val="auto"/>
        </w:rPr>
        <w:t>IN WITNESS WHEREOF, Sanofi and Regeneron have caused this Agreement to be executed by their duly authorized representatives as of the Execution Date.</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Benedicte Bonny</w:t>
      </w:r>
    </w:p>
    <w:p>
      <w:pPr>
        <w:spacing w:after="0" w:line="85"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Benedicte Bonny</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E. Landry</w:t>
      </w:r>
    </w:p>
    <w:p>
      <w:pPr>
        <w:spacing w:after="0" w:line="7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Robert E. Landry</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Executive Vice President, Finance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Praluent Cross License &amp; Commercialization Agreement</w:t>
      </w:r>
    </w:p>
    <w:p>
      <w:pPr>
        <w:sectPr>
          <w:pgSz w:w="11900" w:h="16838" w:orient="portrait"/>
          <w:cols w:equalWidth="0" w:num="1">
            <w:col w:w="11240"/>
          </w:cols>
          <w:pgMar w:left="320" w:top="1428"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22"/>
          <w:szCs w:val="22"/>
          <w:b w:val="1"/>
          <w:bCs w:val="1"/>
          <w:color w:val="auto"/>
        </w:rPr>
        <w:t>Schedules to the Praluent Cross License &amp; Commercialization Agreement</w:t>
      </w: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1.57</w:t>
      </w:r>
    </w:p>
    <w:p>
      <w:pPr>
        <w:spacing w:after="0" w:line="139"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Global Trial Costs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Global Trial Costs</w:t>
      </w:r>
      <w:r>
        <w:rPr>
          <w:rFonts w:ascii="Arial" w:cs="Arial" w:eastAsia="Arial" w:hAnsi="Arial"/>
          <w:sz w:val="21"/>
          <w:szCs w:val="21"/>
          <w:color w:val="auto"/>
        </w:rPr>
        <w:t>” shall mean, with respect to a Global Clinical Trial, costs incurred by a Party directly in connection with the conduct of such Global Clinical Trial in accordance with this Agreement and the applicable Global Development Plan (as defined under the LCA) in effect under the LCA immediately prior to the Transition Date and applicable protocol and budget for such Global Clinical Trial as in effect as of immediately prior to the Transition Date, [* * *].</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Schedule 1.57:</w:t>
      </w:r>
    </w:p>
    <w:p>
      <w:pPr>
        <w:spacing w:after="0" w:line="206" w:lineRule="exact"/>
        <w:rPr>
          <w:sz w:val="20"/>
          <w:szCs w:val="20"/>
          <w:color w:val="auto"/>
        </w:rPr>
      </w:pPr>
    </w:p>
    <w:p>
      <w:pPr>
        <w:jc w:val="both"/>
        <w:ind w:right="60"/>
        <w:spacing w:after="0" w:line="27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Trial FTE Cost</w:t>
      </w:r>
      <w:r>
        <w:rPr>
          <w:rFonts w:ascii="Arial" w:cs="Arial" w:eastAsia="Arial" w:hAnsi="Arial"/>
          <w:sz w:val="22"/>
          <w:szCs w:val="22"/>
          <w:color w:val="auto"/>
        </w:rPr>
        <w:t>” shall mean, for all clinical Development activities performed by a Party to conduct any Global Clinical Trials in accordance with Section 4.2(a), excluding regulatory activities in support thereof, the product of (a) the number of FTEs used for such Development activities and (b) the applicable FTE Rate(s).</w:t>
      </w:r>
    </w:p>
    <w:p>
      <w:pPr>
        <w:sectPr>
          <w:pgSz w:w="11900" w:h="16838" w:orient="portrait"/>
          <w:cols w:equalWidth="0" w:num="1">
            <w:col w:w="11240"/>
          </w:cols>
          <w:pgMar w:left="320" w:top="1422" w:right="339" w:bottom="1440" w:gutter="0" w:footer="0" w:header="0"/>
        </w:sectPr>
      </w:pPr>
    </w:p>
    <w:bookmarkStart w:id="179" w:name="page180"/>
    <w:bookmarkEnd w:id="179"/>
    <w:p>
      <w:pPr>
        <w:jc w:val="center"/>
        <w:ind w:right="-200"/>
        <w:spacing w:after="0"/>
        <w:rPr>
          <w:sz w:val="20"/>
          <w:szCs w:val="20"/>
          <w:color w:val="auto"/>
        </w:rPr>
      </w:pPr>
      <w:r>
        <w:rPr>
          <w:rFonts w:ascii="Arial" w:cs="Arial" w:eastAsia="Arial" w:hAnsi="Arial"/>
          <w:sz w:val="18"/>
          <w:szCs w:val="18"/>
          <w:b w:val="1"/>
          <w:bCs w:val="1"/>
          <w:color w:val="auto"/>
        </w:rPr>
        <w:t>Schedule 1.72</w:t>
      </w:r>
    </w:p>
    <w:p>
      <w:pPr>
        <w:sectPr>
          <w:pgSz w:w="11900" w:h="16838" w:orient="portrait"/>
          <w:cols w:equalWidth="0" w:num="1">
            <w:col w:w="9019"/>
          </w:cols>
          <w:pgMar w:left="1440" w:top="1435" w:right="1440" w:bottom="1440" w:gutter="0" w:footer="0" w:header="0"/>
        </w:sectPr>
      </w:pPr>
    </w:p>
    <w:p>
      <w:pPr>
        <w:spacing w:after="0" w:line="185" w:lineRule="exact"/>
        <w:rPr>
          <w:sz w:val="20"/>
          <w:szCs w:val="20"/>
          <w:color w:val="auto"/>
        </w:rPr>
      </w:pPr>
    </w:p>
    <w:p>
      <w:pPr>
        <w:ind w:left="4000"/>
        <w:spacing w:after="0"/>
        <w:rPr>
          <w:sz w:val="20"/>
          <w:szCs w:val="20"/>
          <w:color w:val="auto"/>
        </w:rPr>
      </w:pPr>
      <w:r>
        <w:rPr>
          <w:rFonts w:ascii="Arial" w:cs="Arial" w:eastAsia="Arial" w:hAnsi="Arial"/>
          <w:sz w:val="19"/>
          <w:szCs w:val="19"/>
          <w:b w:val="1"/>
          <w:bCs w:val="1"/>
          <w:color w:val="auto"/>
        </w:rPr>
        <w:t>Joint Patents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type w:val="continuous"/>
        </w:sectPr>
      </w:pPr>
    </w:p>
    <w:bookmarkStart w:id="180" w:name="page181"/>
    <w:bookmarkEnd w:id="180"/>
    <w:p>
      <w:pPr>
        <w:ind w:left="3920"/>
        <w:spacing w:after="0"/>
        <w:rPr>
          <w:sz w:val="20"/>
          <w:szCs w:val="20"/>
          <w:color w:val="auto"/>
        </w:rPr>
      </w:pPr>
      <w:r>
        <w:rPr>
          <w:rFonts w:ascii="Arial" w:cs="Arial" w:eastAsia="Arial" w:hAnsi="Arial"/>
          <w:sz w:val="22"/>
          <w:szCs w:val="22"/>
          <w:b w:val="1"/>
          <w:bCs w:val="1"/>
          <w:color w:val="auto"/>
        </w:rPr>
        <w:t>Schedule 1.135</w:t>
      </w:r>
    </w:p>
    <w:p>
      <w:pPr>
        <w:spacing w:after="0" w:line="139" w:lineRule="exact"/>
        <w:rPr>
          <w:sz w:val="20"/>
          <w:szCs w:val="20"/>
          <w:color w:val="auto"/>
        </w:rPr>
      </w:pPr>
    </w:p>
    <w:p>
      <w:pPr>
        <w:ind w:left="3480"/>
        <w:spacing w:after="0"/>
        <w:rPr>
          <w:sz w:val="20"/>
          <w:szCs w:val="20"/>
          <w:color w:val="auto"/>
        </w:rPr>
      </w:pPr>
      <w:r>
        <w:rPr>
          <w:rFonts w:ascii="Arial" w:cs="Arial" w:eastAsia="Arial" w:hAnsi="Arial"/>
          <w:sz w:val="19"/>
          <w:szCs w:val="19"/>
          <w:b w:val="1"/>
          <w:bCs w:val="1"/>
          <w:color w:val="auto"/>
        </w:rPr>
        <w:t>Regeneron Core Patents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1" w:name="page182"/>
    <w:bookmarkEnd w:id="181"/>
    <w:p>
      <w:pPr>
        <w:ind w:left="3920"/>
        <w:spacing w:after="0"/>
        <w:rPr>
          <w:sz w:val="20"/>
          <w:szCs w:val="20"/>
          <w:color w:val="auto"/>
        </w:rPr>
      </w:pPr>
      <w:r>
        <w:rPr>
          <w:rFonts w:ascii="Arial" w:cs="Arial" w:eastAsia="Arial" w:hAnsi="Arial"/>
          <w:sz w:val="22"/>
          <w:szCs w:val="22"/>
          <w:b w:val="1"/>
          <w:bCs w:val="1"/>
          <w:color w:val="auto"/>
        </w:rPr>
        <w:t>Schedule 1.156</w:t>
      </w:r>
    </w:p>
    <w:p>
      <w:pPr>
        <w:spacing w:after="0" w:line="139"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Sanofi Core Patents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2" w:name="page183"/>
    <w:bookmarkEnd w:id="182"/>
    <w:p>
      <w:pPr>
        <w:ind w:left="3920"/>
        <w:spacing w:after="0"/>
        <w:rPr>
          <w:sz w:val="20"/>
          <w:szCs w:val="20"/>
          <w:color w:val="auto"/>
        </w:rPr>
      </w:pPr>
      <w:r>
        <w:rPr>
          <w:rFonts w:ascii="Arial" w:cs="Arial" w:eastAsia="Arial" w:hAnsi="Arial"/>
          <w:sz w:val="22"/>
          <w:szCs w:val="22"/>
          <w:b w:val="1"/>
          <w:bCs w:val="1"/>
          <w:color w:val="auto"/>
        </w:rPr>
        <w:t>Schedule 1.180</w:t>
      </w:r>
    </w:p>
    <w:p>
      <w:pPr>
        <w:spacing w:after="0" w:line="139" w:lineRule="exact"/>
        <w:rPr>
          <w:sz w:val="20"/>
          <w:szCs w:val="20"/>
          <w:color w:val="auto"/>
        </w:rPr>
      </w:pPr>
    </w:p>
    <w:p>
      <w:pPr>
        <w:ind w:left="3540"/>
        <w:spacing w:after="0"/>
        <w:rPr>
          <w:sz w:val="20"/>
          <w:szCs w:val="20"/>
          <w:color w:val="auto"/>
        </w:rPr>
      </w:pPr>
      <w:r>
        <w:rPr>
          <w:rFonts w:ascii="Arial" w:cs="Arial" w:eastAsia="Arial" w:hAnsi="Arial"/>
          <w:sz w:val="19"/>
          <w:szCs w:val="19"/>
          <w:b w:val="1"/>
          <w:bCs w:val="1"/>
          <w:color w:val="auto"/>
        </w:rPr>
        <w:t>Transferred Approvals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3" w:name="page184"/>
    <w:bookmarkEnd w:id="183"/>
    <w:p>
      <w:pPr>
        <w:ind w:left="3820"/>
        <w:spacing w:after="0"/>
        <w:rPr>
          <w:sz w:val="20"/>
          <w:szCs w:val="20"/>
          <w:color w:val="auto"/>
        </w:rPr>
      </w:pPr>
      <w:r>
        <w:rPr>
          <w:rFonts w:ascii="Arial" w:cs="Arial" w:eastAsia="Arial" w:hAnsi="Arial"/>
          <w:sz w:val="22"/>
          <w:szCs w:val="22"/>
          <w:b w:val="1"/>
          <w:bCs w:val="1"/>
          <w:color w:val="auto"/>
        </w:rPr>
        <w:t>Schedule 1.182</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Transferred Product Contracts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4" w:name="page185"/>
    <w:bookmarkEnd w:id="184"/>
    <w:p>
      <w:pPr>
        <w:ind w:left="3820"/>
        <w:spacing w:after="0"/>
        <w:rPr>
          <w:sz w:val="20"/>
          <w:szCs w:val="20"/>
          <w:color w:val="auto"/>
        </w:rPr>
      </w:pPr>
      <w:r>
        <w:rPr>
          <w:rFonts w:ascii="Arial" w:cs="Arial" w:eastAsia="Arial" w:hAnsi="Arial"/>
          <w:sz w:val="22"/>
          <w:szCs w:val="22"/>
          <w:b w:val="1"/>
          <w:bCs w:val="1"/>
          <w:color w:val="auto"/>
        </w:rPr>
        <w:t>Schedule 1.183</w:t>
      </w:r>
    </w:p>
    <w:p>
      <w:pPr>
        <w:spacing w:after="0" w:line="206" w:lineRule="exact"/>
        <w:rPr>
          <w:sz w:val="20"/>
          <w:szCs w:val="20"/>
          <w:color w:val="auto"/>
        </w:rPr>
      </w:pPr>
    </w:p>
    <w:p>
      <w:pPr>
        <w:ind w:left="2920"/>
        <w:spacing w:after="0"/>
        <w:rPr>
          <w:sz w:val="20"/>
          <w:szCs w:val="20"/>
          <w:color w:val="auto"/>
        </w:rPr>
      </w:pPr>
      <w:r>
        <w:rPr>
          <w:rFonts w:ascii="Arial" w:cs="Arial" w:eastAsia="Arial" w:hAnsi="Arial"/>
          <w:sz w:val="19"/>
          <w:szCs w:val="19"/>
          <w:b w:val="1"/>
          <w:bCs w:val="1"/>
          <w:color w:val="auto"/>
        </w:rPr>
        <w:t>Transferred Product Domain Names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5" w:name="page186"/>
    <w:bookmarkEnd w:id="185"/>
    <w:p>
      <w:pPr>
        <w:ind w:left="3920"/>
        <w:spacing w:after="0"/>
        <w:rPr>
          <w:sz w:val="20"/>
          <w:szCs w:val="20"/>
          <w:color w:val="auto"/>
        </w:rPr>
      </w:pPr>
      <w:r>
        <w:rPr>
          <w:rFonts w:ascii="Arial" w:cs="Arial" w:eastAsia="Arial" w:hAnsi="Arial"/>
          <w:sz w:val="22"/>
          <w:szCs w:val="22"/>
          <w:b w:val="1"/>
          <w:bCs w:val="1"/>
          <w:color w:val="auto"/>
        </w:rPr>
        <w:t>Schedule 1.184</w:t>
      </w:r>
    </w:p>
    <w:p>
      <w:pPr>
        <w:spacing w:after="0" w:line="139"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Transferred Product Records</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6" w:name="page187"/>
    <w:bookmarkEnd w:id="186"/>
    <w:p>
      <w:pPr>
        <w:ind w:left="3920"/>
        <w:spacing w:after="0"/>
        <w:rPr>
          <w:sz w:val="20"/>
          <w:szCs w:val="20"/>
          <w:color w:val="auto"/>
        </w:rPr>
      </w:pPr>
      <w:r>
        <w:rPr>
          <w:rFonts w:ascii="Arial" w:cs="Arial" w:eastAsia="Arial" w:hAnsi="Arial"/>
          <w:sz w:val="22"/>
          <w:szCs w:val="22"/>
          <w:b w:val="1"/>
          <w:bCs w:val="1"/>
          <w:color w:val="auto"/>
        </w:rPr>
        <w:t>Schedule 1.185</w:t>
      </w:r>
    </w:p>
    <w:p>
      <w:pPr>
        <w:spacing w:after="0" w:line="139"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auto"/>
        </w:rPr>
        <w:t>Transferred Product Trademarks</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7" w:name="page188"/>
    <w:bookmarkEnd w:id="187"/>
    <w:p>
      <w:pPr>
        <w:jc w:val="center"/>
        <w:ind w:right="460"/>
        <w:spacing w:after="0"/>
        <w:rPr>
          <w:sz w:val="20"/>
          <w:szCs w:val="20"/>
          <w:color w:val="auto"/>
        </w:rPr>
      </w:pPr>
      <w:r>
        <w:rPr>
          <w:rFonts w:ascii="Arial" w:cs="Arial" w:eastAsia="Arial" w:hAnsi="Arial"/>
          <w:sz w:val="22"/>
          <w:szCs w:val="22"/>
          <w:b w:val="1"/>
          <w:bCs w:val="1"/>
          <w:color w:val="auto"/>
        </w:rPr>
        <w:t>Schedule 2.3(c)</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Approved Contract Manufacturers</w:t>
      </w:r>
    </w:p>
    <w:p>
      <w:pPr>
        <w:spacing w:after="0" w:line="13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Each of companies listed below shall be deemed to include the listed company (including following any change of name) as well as any of its existing or future affiliates or successors-in-interest by virtue of mergers or similar operations.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For use by Regeneron: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For use by Sanofi: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580"/>
          </w:cols>
          <w:pgMar w:left="980" w:top="1435" w:right="339" w:bottom="1440" w:gutter="0" w:footer="0" w:header="0"/>
        </w:sectPr>
      </w:pPr>
    </w:p>
    <w:bookmarkStart w:id="188" w:name="page189"/>
    <w:bookmarkEnd w:id="188"/>
    <w:p>
      <w:pPr>
        <w:ind w:left="3900"/>
        <w:spacing w:after="0"/>
        <w:rPr>
          <w:sz w:val="20"/>
          <w:szCs w:val="20"/>
          <w:color w:val="auto"/>
        </w:rPr>
      </w:pPr>
      <w:r>
        <w:rPr>
          <w:rFonts w:ascii="Arial" w:cs="Arial" w:eastAsia="Arial" w:hAnsi="Arial"/>
          <w:sz w:val="22"/>
          <w:szCs w:val="22"/>
          <w:b w:val="1"/>
          <w:bCs w:val="1"/>
          <w:color w:val="auto"/>
        </w:rPr>
        <w:t>Schedule 4.2(a)</w:t>
      </w:r>
    </w:p>
    <w:p>
      <w:pPr>
        <w:spacing w:after="0" w:line="139" w:lineRule="exact"/>
        <w:rPr>
          <w:sz w:val="20"/>
          <w:szCs w:val="20"/>
          <w:color w:val="auto"/>
        </w:rPr>
      </w:pPr>
    </w:p>
    <w:p>
      <w:pPr>
        <w:ind w:left="3600"/>
        <w:spacing w:after="0"/>
        <w:rPr>
          <w:sz w:val="20"/>
          <w:szCs w:val="20"/>
          <w:color w:val="auto"/>
        </w:rPr>
      </w:pPr>
      <w:r>
        <w:rPr>
          <w:rFonts w:ascii="Arial" w:cs="Arial" w:eastAsia="Arial" w:hAnsi="Arial"/>
          <w:sz w:val="19"/>
          <w:szCs w:val="19"/>
          <w:b w:val="1"/>
          <w:bCs w:val="1"/>
          <w:color w:val="auto"/>
        </w:rPr>
        <w:t>Global Clinical Trials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89" w:name="page190"/>
    <w:bookmarkEnd w:id="189"/>
    <w:p>
      <w:pPr>
        <w:ind w:left="4020"/>
        <w:spacing w:after="0"/>
        <w:rPr>
          <w:sz w:val="20"/>
          <w:szCs w:val="20"/>
          <w:color w:val="auto"/>
        </w:rPr>
      </w:pPr>
      <w:r>
        <w:rPr>
          <w:rFonts w:ascii="Arial" w:cs="Arial" w:eastAsia="Arial" w:hAnsi="Arial"/>
          <w:sz w:val="22"/>
          <w:szCs w:val="22"/>
          <w:b w:val="1"/>
          <w:bCs w:val="1"/>
          <w:color w:val="auto"/>
        </w:rPr>
        <w:t>Schedule 4.3</w:t>
      </w:r>
    </w:p>
    <w:p>
      <w:pPr>
        <w:spacing w:after="0" w:line="139"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Certain Other Existing Trials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0" w:name="page191"/>
    <w:bookmarkEnd w:id="190"/>
    <w:p>
      <w:pPr>
        <w:ind w:left="4020"/>
        <w:spacing w:after="0"/>
        <w:rPr>
          <w:sz w:val="20"/>
          <w:szCs w:val="20"/>
          <w:color w:val="auto"/>
        </w:rPr>
      </w:pPr>
      <w:r>
        <w:rPr>
          <w:rFonts w:ascii="Arial" w:cs="Arial" w:eastAsia="Arial" w:hAnsi="Arial"/>
          <w:sz w:val="22"/>
          <w:szCs w:val="22"/>
          <w:b w:val="1"/>
          <w:bCs w:val="1"/>
          <w:color w:val="auto"/>
        </w:rPr>
        <w:t>Schedule 4.4</w:t>
      </w:r>
    </w:p>
    <w:p>
      <w:pPr>
        <w:spacing w:after="0" w:line="139" w:lineRule="exact"/>
        <w:rPr>
          <w:sz w:val="20"/>
          <w:szCs w:val="20"/>
          <w:color w:val="auto"/>
        </w:rPr>
      </w:pPr>
    </w:p>
    <w:p>
      <w:pPr>
        <w:ind w:left="2880"/>
        <w:spacing w:after="0"/>
        <w:rPr>
          <w:sz w:val="20"/>
          <w:szCs w:val="20"/>
          <w:color w:val="auto"/>
        </w:rPr>
      </w:pPr>
      <w:r>
        <w:rPr>
          <w:rFonts w:ascii="Arial" w:cs="Arial" w:eastAsia="Arial" w:hAnsi="Arial"/>
          <w:sz w:val="19"/>
          <w:szCs w:val="19"/>
          <w:b w:val="1"/>
          <w:bCs w:val="1"/>
          <w:color w:val="auto"/>
        </w:rPr>
        <w:t>Certain Investigator-Initiated Studies</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1" w:name="page192"/>
    <w:bookmarkEnd w:id="191"/>
    <w:p>
      <w:pPr>
        <w:ind w:left="4020"/>
        <w:spacing w:after="0"/>
        <w:rPr>
          <w:sz w:val="20"/>
          <w:szCs w:val="20"/>
          <w:color w:val="auto"/>
        </w:rPr>
      </w:pPr>
      <w:r>
        <w:rPr>
          <w:rFonts w:ascii="Arial" w:cs="Arial" w:eastAsia="Arial" w:hAnsi="Arial"/>
          <w:sz w:val="19"/>
          <w:szCs w:val="19"/>
          <w:b w:val="1"/>
          <w:bCs w:val="1"/>
          <w:color w:val="auto"/>
        </w:rPr>
        <w:t>Schedule 4.7</w:t>
      </w:r>
    </w:p>
    <w:p>
      <w:pPr>
        <w:spacing w:after="0" w:line="17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Assay Services</w:t>
      </w:r>
    </w:p>
    <w:p>
      <w:pPr>
        <w:spacing w:after="0" w:line="1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2" w:name="page193"/>
    <w:bookmarkEnd w:id="192"/>
    <w:p>
      <w:pPr>
        <w:jc w:val="center"/>
        <w:ind w:right="-180"/>
        <w:spacing w:after="0"/>
        <w:rPr>
          <w:sz w:val="20"/>
          <w:szCs w:val="20"/>
          <w:color w:val="auto"/>
        </w:rPr>
      </w:pPr>
      <w:r>
        <w:rPr>
          <w:rFonts w:ascii="Arial" w:cs="Arial" w:eastAsia="Arial" w:hAnsi="Arial"/>
          <w:sz w:val="19"/>
          <w:szCs w:val="19"/>
          <w:b w:val="1"/>
          <w:bCs w:val="1"/>
          <w:color w:val="auto"/>
        </w:rPr>
        <w:t>Schedule 7.2(a)</w:t>
      </w:r>
    </w:p>
    <w:p>
      <w:pPr>
        <w:sectPr>
          <w:pgSz w:w="11900" w:h="16838" w:orient="portrait"/>
          <w:cols w:equalWidth="0" w:num="1">
            <w:col w:w="9019"/>
          </w:cols>
          <w:pgMar w:left="1440" w:top="1435"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type w:val="continuous"/>
        </w:sectPr>
      </w:pPr>
    </w:p>
    <w:bookmarkStart w:id="193" w:name="page194"/>
    <w:bookmarkEnd w:id="193"/>
    <w:p>
      <w:pPr>
        <w:ind w:left="3800"/>
        <w:spacing w:after="0"/>
        <w:rPr>
          <w:sz w:val="20"/>
          <w:szCs w:val="20"/>
          <w:color w:val="auto"/>
        </w:rPr>
      </w:pPr>
      <w:r>
        <w:rPr>
          <w:rFonts w:ascii="Arial" w:cs="Arial" w:eastAsia="Arial" w:hAnsi="Arial"/>
          <w:sz w:val="22"/>
          <w:szCs w:val="22"/>
          <w:b w:val="1"/>
          <w:bCs w:val="1"/>
          <w:color w:val="auto"/>
        </w:rPr>
        <w:t>Schedule 7.3(a)</w:t>
      </w: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Drug Substance Tech Transfer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4" w:name="page195"/>
    <w:bookmarkEnd w:id="194"/>
    <w:p>
      <w:pPr>
        <w:jc w:val="center"/>
        <w:ind w:right="-1300"/>
        <w:spacing w:after="0"/>
        <w:rPr>
          <w:sz w:val="20"/>
          <w:szCs w:val="20"/>
          <w:color w:val="auto"/>
        </w:rPr>
      </w:pPr>
      <w:r>
        <w:rPr>
          <w:rFonts w:ascii="Arial" w:cs="Arial" w:eastAsia="Arial" w:hAnsi="Arial"/>
          <w:sz w:val="22"/>
          <w:szCs w:val="22"/>
          <w:b w:val="1"/>
          <w:bCs w:val="1"/>
          <w:color w:val="auto"/>
        </w:rPr>
        <w:t>Schedule 8.4</w:t>
      </w:r>
    </w:p>
    <w:p>
      <w:pPr>
        <w:spacing w:after="0" w:line="139" w:lineRule="exact"/>
        <w:rPr>
          <w:sz w:val="20"/>
          <w:szCs w:val="20"/>
          <w:color w:val="auto"/>
        </w:rPr>
      </w:pPr>
    </w:p>
    <w:p>
      <w:pPr>
        <w:jc w:val="center"/>
        <w:ind w:right="-1300"/>
        <w:spacing w:after="0"/>
        <w:rPr>
          <w:sz w:val="20"/>
          <w:szCs w:val="20"/>
          <w:color w:val="auto"/>
        </w:rPr>
      </w:pPr>
      <w:r>
        <w:rPr>
          <w:rFonts w:ascii="Arial" w:cs="Arial" w:eastAsia="Arial" w:hAnsi="Arial"/>
          <w:sz w:val="19"/>
          <w:szCs w:val="19"/>
          <w:b w:val="1"/>
          <w:bCs w:val="1"/>
          <w:color w:val="auto"/>
        </w:rPr>
        <w:t>Royalty Invoicing Directions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Invoices shall be made out as follows: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be sent to the following mailing address: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35" w:right="1440" w:bottom="1440" w:gutter="0" w:footer="0" w:header="0"/>
        </w:sectPr>
      </w:pPr>
    </w:p>
    <w:bookmarkStart w:id="195" w:name="page196"/>
    <w:bookmarkEnd w:id="195"/>
    <w:p>
      <w:pPr>
        <w:jc w:val="center"/>
        <w:ind w:right="-1319"/>
        <w:spacing w:after="0"/>
        <w:rPr>
          <w:sz w:val="20"/>
          <w:szCs w:val="20"/>
          <w:color w:val="auto"/>
        </w:rPr>
      </w:pPr>
      <w:r>
        <w:rPr>
          <w:rFonts w:ascii="Arial" w:cs="Arial" w:eastAsia="Arial" w:hAnsi="Arial"/>
          <w:sz w:val="22"/>
          <w:szCs w:val="22"/>
          <w:b w:val="1"/>
          <w:bCs w:val="1"/>
          <w:color w:val="auto"/>
        </w:rPr>
        <w:t>Schedule 8.5</w:t>
      </w:r>
    </w:p>
    <w:p>
      <w:pPr>
        <w:spacing w:after="0" w:line="139" w:lineRule="exact"/>
        <w:rPr>
          <w:sz w:val="20"/>
          <w:szCs w:val="20"/>
          <w:color w:val="auto"/>
        </w:rPr>
      </w:pPr>
    </w:p>
    <w:p>
      <w:pPr>
        <w:jc w:val="center"/>
        <w:ind w:right="-1319"/>
        <w:spacing w:after="0"/>
        <w:rPr>
          <w:sz w:val="20"/>
          <w:szCs w:val="20"/>
          <w:color w:val="auto"/>
        </w:rPr>
      </w:pPr>
      <w:r>
        <w:rPr>
          <w:rFonts w:ascii="Arial" w:cs="Arial" w:eastAsia="Arial" w:hAnsi="Arial"/>
          <w:sz w:val="22"/>
          <w:szCs w:val="22"/>
          <w:b w:val="1"/>
          <w:bCs w:val="1"/>
          <w:color w:val="auto"/>
        </w:rPr>
        <w:t>Transferred Inventory Prices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prices listed above include all tax and duties, such as sales, export, import, value added and excise tax or duty.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Sanofi shall issue invoices for Transferred Inventory under this Agreement consistent with relevant tax requirements.</w:t>
      </w:r>
    </w:p>
    <w:p>
      <w:pPr>
        <w:sectPr>
          <w:pgSz w:w="11900" w:h="16838" w:orient="portrait"/>
          <w:cols w:equalWidth="0" w:num="1">
            <w:col w:w="10140"/>
          </w:cols>
          <w:pgMar w:left="320" w:top="1435" w:right="1439" w:bottom="1440" w:gutter="0" w:footer="0" w:header="0"/>
        </w:sectPr>
      </w:pPr>
    </w:p>
    <w:bookmarkStart w:id="196" w:name="page197"/>
    <w:bookmarkEnd w:id="196"/>
    <w:p>
      <w:pPr>
        <w:ind w:left="3860"/>
        <w:spacing w:after="0"/>
        <w:rPr>
          <w:sz w:val="20"/>
          <w:szCs w:val="20"/>
          <w:color w:val="auto"/>
        </w:rPr>
      </w:pPr>
      <w:r>
        <w:rPr>
          <w:rFonts w:ascii="Arial" w:cs="Arial" w:eastAsia="Arial" w:hAnsi="Arial"/>
          <w:sz w:val="22"/>
          <w:szCs w:val="22"/>
          <w:b w:val="1"/>
          <w:bCs w:val="1"/>
          <w:color w:val="auto"/>
        </w:rPr>
        <w:t>Schedule 11.5(a)</w:t>
      </w:r>
    </w:p>
    <w:p>
      <w:pPr>
        <w:spacing w:after="0" w:line="139" w:lineRule="exact"/>
        <w:rPr>
          <w:sz w:val="20"/>
          <w:szCs w:val="20"/>
          <w:color w:val="auto"/>
        </w:rPr>
      </w:pPr>
    </w:p>
    <w:p>
      <w:pPr>
        <w:ind w:left="3420"/>
        <w:spacing w:after="0"/>
        <w:rPr>
          <w:sz w:val="20"/>
          <w:szCs w:val="20"/>
          <w:color w:val="auto"/>
        </w:rPr>
      </w:pPr>
      <w:r>
        <w:rPr>
          <w:rFonts w:ascii="Arial" w:cs="Arial" w:eastAsia="Arial" w:hAnsi="Arial"/>
          <w:sz w:val="19"/>
          <w:szCs w:val="19"/>
          <w:b w:val="1"/>
          <w:bCs w:val="1"/>
          <w:color w:val="auto"/>
        </w:rPr>
        <w:t>Existing Sole Oppositions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7" w:name="page198"/>
    <w:bookmarkEnd w:id="197"/>
    <w:p>
      <w:pPr>
        <w:ind w:left="3840"/>
        <w:spacing w:after="0"/>
        <w:rPr>
          <w:sz w:val="20"/>
          <w:szCs w:val="20"/>
          <w:color w:val="auto"/>
        </w:rPr>
      </w:pPr>
      <w:r>
        <w:rPr>
          <w:rFonts w:ascii="Arial" w:cs="Arial" w:eastAsia="Arial" w:hAnsi="Arial"/>
          <w:sz w:val="22"/>
          <w:szCs w:val="22"/>
          <w:b w:val="1"/>
          <w:bCs w:val="1"/>
          <w:color w:val="auto"/>
        </w:rPr>
        <w:t>Schedule 11.5(b)</w:t>
      </w:r>
    </w:p>
    <w:p>
      <w:pPr>
        <w:spacing w:after="0" w:line="139"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Existing European Oppositions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8" w:name="page199"/>
    <w:bookmarkEnd w:id="198"/>
    <w:p>
      <w:pPr>
        <w:jc w:val="center"/>
        <w:ind w:right="-180"/>
        <w:spacing w:after="0"/>
        <w:rPr>
          <w:sz w:val="20"/>
          <w:szCs w:val="20"/>
          <w:color w:val="auto"/>
        </w:rPr>
      </w:pPr>
      <w:r>
        <w:rPr>
          <w:rFonts w:ascii="Arial" w:cs="Arial" w:eastAsia="Arial" w:hAnsi="Arial"/>
          <w:sz w:val="22"/>
          <w:szCs w:val="22"/>
          <w:b w:val="1"/>
          <w:bCs w:val="1"/>
          <w:color w:val="auto"/>
        </w:rPr>
        <w:t>Schedule 12.2(c)</w:t>
      </w:r>
    </w:p>
    <w:p>
      <w:pPr>
        <w:spacing w:after="0" w:line="13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Pending or Threatened Litigation or Adverse Agreements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199" w:name="page200"/>
    <w:bookmarkEnd w:id="199"/>
    <w:p>
      <w:pPr>
        <w:jc w:val="center"/>
        <w:ind w:right="-1300"/>
        <w:spacing w:after="0"/>
        <w:rPr>
          <w:sz w:val="20"/>
          <w:szCs w:val="20"/>
          <w:color w:val="auto"/>
        </w:rPr>
      </w:pPr>
      <w:r>
        <w:rPr>
          <w:rFonts w:ascii="Arial" w:cs="Arial" w:eastAsia="Arial" w:hAnsi="Arial"/>
          <w:sz w:val="22"/>
          <w:szCs w:val="22"/>
          <w:b w:val="1"/>
          <w:bCs w:val="1"/>
          <w:color w:val="auto"/>
        </w:rPr>
        <w:t>Schedule 18.4</w:t>
      </w:r>
    </w:p>
    <w:p>
      <w:pPr>
        <w:spacing w:after="0" w:line="13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Sanofi: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Copy (which shall not constitute notice) to:</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Regeneron: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35"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Exhibit 31.1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44"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44"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340" w:right="20" w:hanging="332"/>
        <w:spacing w:after="0" w:line="310"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ind w:left="980" w:right="60" w:hanging="324"/>
        <w:spacing w:after="0" w:line="310" w:lineRule="auto"/>
        <w:tabs>
          <w:tab w:leader="none" w:pos="97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980" w:right="360" w:hanging="324"/>
        <w:spacing w:after="0" w:line="310" w:lineRule="auto"/>
        <w:tabs>
          <w:tab w:leader="none" w:pos="9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980" w:right="540" w:hanging="324"/>
        <w:spacing w:after="0" w:line="395" w:lineRule="auto"/>
        <w:tabs>
          <w:tab w:leader="none" w:pos="97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100" w:hanging="324"/>
        <w:spacing w:after="0" w:line="310" w:lineRule="auto"/>
        <w:tabs>
          <w:tab w:leader="none" w:pos="9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340" w:hanging="332"/>
        <w:spacing w:after="0" w:line="357"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980" w:right="100" w:hanging="324"/>
        <w:spacing w:after="0" w:line="357" w:lineRule="auto"/>
        <w:tabs>
          <w:tab w:leader="none" w:pos="83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980" w:right="60" w:hanging="324"/>
        <w:spacing w:after="0" w:line="324" w:lineRule="auto"/>
        <w:tabs>
          <w:tab w:leader="none" w:pos="84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2"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27"/>
        </w:trPr>
        <w:tc>
          <w:tcPr>
            <w:tcW w:w="4300" w:type="dxa"/>
            <w:vAlign w:val="bottom"/>
          </w:tcPr>
          <w:p>
            <w:pPr>
              <w:ind w:left="280"/>
              <w:spacing w:after="0"/>
              <w:rPr>
                <w:sz w:val="20"/>
                <w:szCs w:val="20"/>
                <w:color w:val="auto"/>
              </w:rPr>
            </w:pPr>
            <w:r>
              <w:rPr>
                <w:rFonts w:ascii="Arial" w:cs="Arial" w:eastAsia="Arial" w:hAnsi="Arial"/>
                <w:sz w:val="18"/>
                <w:szCs w:val="18"/>
                <w:color w:val="auto"/>
              </w:rPr>
              <w:t>Date: August 5, 2020</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00" w:type="dxa"/>
            <w:vAlign w:val="bottom"/>
          </w:tcPr>
          <w:p>
            <w:pPr>
              <w:spacing w:after="0"/>
              <w:rPr>
                <w:sz w:val="19"/>
                <w:szCs w:val="19"/>
                <w:color w:val="auto"/>
              </w:rPr>
            </w:pPr>
          </w:p>
        </w:tc>
      </w:tr>
      <w:tr>
        <w:trPr>
          <w:trHeight w:val="290"/>
        </w:trPr>
        <w:tc>
          <w:tcPr>
            <w:tcW w:w="430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70"/>
        </w:trPr>
        <w:tc>
          <w:tcPr>
            <w:tcW w:w="430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430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196"/>
        </w:trPr>
        <w:tc>
          <w:tcPr>
            <w:tcW w:w="4300" w:type="dxa"/>
            <w:vAlign w:val="bottom"/>
            <w:tcBorders>
              <w:bottom w:val="single" w:sz="8" w:color="666666"/>
            </w:tcBorders>
          </w:tcPr>
          <w:p>
            <w:pPr>
              <w:spacing w:after="0"/>
              <w:rPr>
                <w:sz w:val="17"/>
                <w:szCs w:val="17"/>
                <w:color w:val="auto"/>
              </w:rPr>
            </w:pPr>
          </w:p>
        </w:tc>
        <w:tc>
          <w:tcPr>
            <w:tcW w:w="1700" w:type="dxa"/>
            <w:vAlign w:val="bottom"/>
            <w:tcBorders>
              <w:bottom w:val="single" w:sz="8" w:color="666666"/>
            </w:tcBorders>
          </w:tcPr>
          <w:p>
            <w:pPr>
              <w:spacing w:after="0"/>
              <w:rPr>
                <w:sz w:val="17"/>
                <w:szCs w:val="17"/>
                <w:color w:val="auto"/>
              </w:rPr>
            </w:pPr>
          </w:p>
        </w:tc>
        <w:tc>
          <w:tcPr>
            <w:tcW w:w="5200" w:type="dxa"/>
            <w:vAlign w:val="bottom"/>
            <w:tcBorders>
              <w:bottom w:val="single" w:sz="8" w:color="666666"/>
            </w:tcBorders>
          </w:tcPr>
          <w:p>
            <w:pPr>
              <w:spacing w:after="0"/>
              <w:rPr>
                <w:sz w:val="17"/>
                <w:szCs w:val="17"/>
                <w:color w:val="auto"/>
              </w:rPr>
            </w:pPr>
          </w:p>
        </w:tc>
      </w:tr>
    </w:tbl>
    <w:p>
      <w:pPr>
        <w:sectPr>
          <w:pgSz w:w="11900" w:h="16838" w:orient="portrait"/>
          <w:cols w:equalWidth="0" w:num="1">
            <w:col w:w="11200"/>
          </w:cols>
          <w:pgMar w:left="340" w:top="993" w:right="35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44"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44"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340" w:right="20" w:hanging="332"/>
        <w:spacing w:after="0" w:line="310"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ind w:left="980" w:right="60" w:hanging="324"/>
        <w:spacing w:after="0" w:line="310" w:lineRule="auto"/>
        <w:tabs>
          <w:tab w:leader="none" w:pos="97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980" w:right="360" w:hanging="324"/>
        <w:spacing w:after="0" w:line="310" w:lineRule="auto"/>
        <w:tabs>
          <w:tab w:leader="none" w:pos="9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980" w:right="540" w:hanging="324"/>
        <w:spacing w:after="0" w:line="395" w:lineRule="auto"/>
        <w:tabs>
          <w:tab w:leader="none" w:pos="97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100" w:hanging="324"/>
        <w:spacing w:after="0" w:line="310" w:lineRule="auto"/>
        <w:tabs>
          <w:tab w:leader="none" w:pos="9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340" w:hanging="332"/>
        <w:spacing w:after="0" w:line="357"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980" w:right="100" w:hanging="324"/>
        <w:spacing w:after="0" w:line="357" w:lineRule="auto"/>
        <w:tabs>
          <w:tab w:leader="none" w:pos="83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980" w:right="60" w:hanging="324"/>
        <w:spacing w:after="0" w:line="324" w:lineRule="auto"/>
        <w:tabs>
          <w:tab w:leader="none" w:pos="84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2" w:right="339" w:bottom="1440" w:gutter="0" w:footer="0" w:header="0"/>
        </w:sectPr>
      </w:pPr>
    </w:p>
    <w:bookmarkStart w:id="203" w:name="page204"/>
    <w:bookmarkEnd w:id="203"/>
    <w:p>
      <w:pPr>
        <w:ind w:left="3200" w:right="4359" w:hanging="4002"/>
        <w:spacing w:after="0" w:line="352" w:lineRule="auto"/>
        <w:tabs>
          <w:tab w:leader="none" w:pos="31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ind w:left="3200"/>
        <w:spacing w:after="0"/>
        <w:rPr>
          <w:sz w:val="20"/>
          <w:szCs w:val="20"/>
          <w:color w:val="auto"/>
        </w:rPr>
      </w:pPr>
      <w:r>
        <w:rPr>
          <w:rFonts w:ascii="Arial" w:cs="Arial" w:eastAsia="Arial" w:hAnsi="Arial"/>
          <w:sz w:val="16"/>
          <w:szCs w:val="16"/>
          <w:color w:val="auto"/>
        </w:rPr>
        <w:t>Executive Vice President, Finance and Chief</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Financial Officer</w:t>
      </w:r>
    </w:p>
    <w:p>
      <w:pPr>
        <w:spacing w:after="0" w:line="47"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134620</wp:posOffset>
            </wp:positionV>
            <wp:extent cx="71151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8" w:lineRule="exact"/>
        <w:rPr>
          <w:sz w:val="20"/>
          <w:szCs w:val="20"/>
          <w:color w:val="auto"/>
        </w:rPr>
      </w:pPr>
    </w:p>
    <w:p>
      <w:pPr>
        <w:ind w:right="10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June 30, 2020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49" w:lineRule="exact"/>
        <w:rPr>
          <w:sz w:val="20"/>
          <w:szCs w:val="20"/>
          <w:color w:val="auto"/>
        </w:rPr>
      </w:pPr>
    </w:p>
    <w:p>
      <w:pPr>
        <w:ind w:left="640" w:hanging="308"/>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5, 2020</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E. Landry</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Executive Vice President, Finance and Chief</w:t>
      </w:r>
    </w:p>
    <w:p>
      <w:pPr>
        <w:ind w:left="60"/>
        <w:spacing w:after="0"/>
        <w:rPr>
          <w:sz w:val="20"/>
          <w:szCs w:val="20"/>
          <w:color w:val="auto"/>
        </w:rPr>
      </w:pPr>
      <w:r>
        <w:rPr>
          <w:rFonts w:ascii="Arial" w:cs="Arial" w:eastAsia="Arial" w:hAnsi="Arial"/>
          <w:sz w:val="18"/>
          <w:szCs w:val="18"/>
          <w:color w:val="auto"/>
        </w:rPr>
        <w:t>Financial Officer</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5, 2020</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1)"/>
      <w:numFmt w:val="lowerLetter"/>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1)"/>
      <w:numFmt w:val="lowerLetter"/>
      <w:start w:val="1"/>
    </w:lvl>
  </w:abstractNum>
  <w:abstractNum w:abstractNumId="15">
    <w:nsid w:val="5DC79EA8"/>
    <w:multiLevelType w:val="hybridMultilevel"/>
    <w:lvl w:ilvl="0">
      <w:lvlJc w:val="left"/>
      <w:lvlText w:val="(%1)"/>
      <w:numFmt w:val="lowerLetter"/>
      <w:start w:val="25"/>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lowerLetter"/>
      <w:start w:val="1"/>
    </w:lvl>
  </w:abstractNum>
  <w:abstractNum w:abstractNumId="33">
    <w:nsid w:val="1A27709E"/>
    <w:multiLevelType w:val="hybridMultilevel"/>
    <w:lvl w:ilvl="0">
      <w:lvlJc w:val="left"/>
      <w:lvlText w:val="(%1)"/>
      <w:numFmt w:val="lowerLetter"/>
      <w:start w:val="2"/>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1)"/>
      <w:numFmt w:val="lowerLetter"/>
      <w:start w:val="1"/>
    </w:lvl>
  </w:abstractNum>
  <w:abstractNum w:abstractNumId="36">
    <w:nsid w:val="7FB7E0AA"/>
    <w:multiLevelType w:val="hybridMultilevel"/>
    <w:lvl w:ilvl="0">
      <w:lvlJc w:val="left"/>
      <w:lvlText w:val="(%1)"/>
      <w:numFmt w:val="lowerLetter"/>
      <w:start w:val="1"/>
    </w:lvl>
  </w:abstractNum>
  <w:abstractNum w:abstractNumId="37">
    <w:nsid w:val="6EB5BD4"/>
    <w:multiLevelType w:val="hybridMultilevel"/>
    <w:lvl w:ilvl="0">
      <w:lvlJc w:val="left"/>
      <w:lvlText w:val="%1."/>
      <w:numFmt w:val="decimal"/>
      <w:start w:val="1"/>
    </w:lvl>
  </w:abstractNum>
  <w:abstractNum w:abstractNumId="38">
    <w:nsid w:val="6F6DD9AC"/>
    <w:multiLevelType w:val="hybridMultilevel"/>
    <w:lvl w:ilvl="0">
      <w:lvlJc w:val="left"/>
      <w:lvlText w:val="(%1)"/>
      <w:numFmt w:val="lowerLetter"/>
      <w:start w:val="1"/>
    </w:lvl>
  </w:abstractNum>
  <w:abstractNum w:abstractNumId="39">
    <w:nsid w:val="94211F2"/>
    <w:multiLevelType w:val="hybridMultilevel"/>
    <w:lvl w:ilvl="0">
      <w:lvlJc w:val="left"/>
      <w:lvlText w:val="(%1)"/>
      <w:numFmt w:val="lowerLetter"/>
      <w:start w:val="1"/>
    </w:lvl>
  </w:abstractNum>
  <w:abstractNum w:abstractNumId="40">
    <w:nsid w:val="885E1B"/>
    <w:multiLevelType w:val="hybridMultilevel"/>
    <w:lvl w:ilvl="0">
      <w:lvlJc w:val="left"/>
      <w:lvlText w:val="(%1)"/>
      <w:numFmt w:val="lowerLetter"/>
      <w:start w:val="2"/>
    </w:lvl>
  </w:abstractNum>
  <w:abstractNum w:abstractNumId="41">
    <w:nsid w:val="76272110"/>
    <w:multiLevelType w:val="hybridMultilevel"/>
    <w:lvl w:ilvl="0">
      <w:lvlJc w:val="left"/>
      <w:lvlText w:val="(%1)"/>
      <w:numFmt w:val="lowerLetter"/>
      <w:start w:val="3"/>
    </w:lvl>
  </w:abstractNum>
  <w:abstractNum w:abstractNumId="42">
    <w:nsid w:val="4C04A8AF"/>
    <w:multiLevelType w:val="hybridMultilevel"/>
    <w:lvl w:ilvl="0">
      <w:lvlJc w:val="left"/>
      <w:lvlText w:val="%1"/>
      <w:numFmt w:val="decimal"/>
      <w:start w:val="1"/>
    </w:lvl>
    <w:lvl w:ilvl="1">
      <w:lvlJc w:val="left"/>
      <w:lvlText w:val="(%2)"/>
      <w:numFmt w:val="lowerLetter"/>
      <w:start w:val="4"/>
    </w:lvl>
  </w:abstractNum>
  <w:abstractNum w:abstractNumId="43">
    <w:nsid w:val="1716703B"/>
    <w:multiLevelType w:val="hybridMultilevel"/>
    <w:lvl w:ilvl="0">
      <w:lvlJc w:val="left"/>
      <w:lvlText w:val="%1."/>
      <w:numFmt w:val="decimal"/>
      <w:start w:val="3"/>
    </w:lvl>
    <w:lvl w:ilvl="1">
      <w:lvlJc w:val="left"/>
      <w:lvlText w:val="%2"/>
      <w:numFmt w:val="lowerLetter"/>
      <w:start w:val="1"/>
    </w:lvl>
  </w:abstractNum>
  <w:abstractNum w:abstractNumId="44">
    <w:nsid w:val="14E17E33"/>
    <w:multiLevelType w:val="hybridMultilevel"/>
    <w:lvl w:ilvl="0">
      <w:lvlJc w:val="left"/>
      <w:lvlText w:val="(%1)"/>
      <w:numFmt w:val="lowerLetter"/>
      <w:start w:val="1"/>
    </w:lvl>
  </w:abstractNum>
  <w:abstractNum w:abstractNumId="45">
    <w:nsid w:val="3222E7CD"/>
    <w:multiLevelType w:val="hybridMultilevel"/>
    <w:lvl w:ilvl="0">
      <w:lvlJc w:val="left"/>
      <w:lvlText w:val="(%1)"/>
      <w:numFmt w:val="lowerLetter"/>
      <w:start w:val="5"/>
    </w:lvl>
  </w:abstractNum>
  <w:abstractNum w:abstractNumId="46">
    <w:nsid w:val="74DE0EE3"/>
    <w:multiLevelType w:val="hybridMultilevel"/>
    <w:lvl w:ilvl="0">
      <w:lvlJc w:val="left"/>
      <w:lvlText w:val="(%1)"/>
      <w:numFmt w:val="lowerLetter"/>
      <w:start w:val="6"/>
    </w:lvl>
    <w:lvl w:ilvl="1">
      <w:lvlJc w:val="left"/>
      <w:lvlText w:val="(%2)"/>
      <w:numFmt w:val="lowerLetter"/>
      <w:start w:val="9"/>
    </w:lvl>
  </w:abstractNum>
  <w:abstractNum w:abstractNumId="47">
    <w:nsid w:val="68EBC550"/>
    <w:multiLevelType w:val="hybridMultilevel"/>
    <w:lvl w:ilvl="0">
      <w:lvlJc w:val="left"/>
      <w:lvlText w:val="(%1)"/>
      <w:numFmt w:val="upperLetter"/>
      <w:start w:val="1"/>
    </w:lvl>
  </w:abstractNum>
  <w:abstractNum w:abstractNumId="48">
    <w:nsid w:val="2DF6D648"/>
    <w:multiLevelType w:val="hybridMultilevel"/>
    <w:lvl w:ilvl="0">
      <w:lvlJc w:val="left"/>
      <w:lvlText w:val="%1."/>
      <w:numFmt w:val="decimal"/>
      <w:start w:val="5"/>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Letter"/>
      <w:start w:val="6"/>
    </w:lvl>
  </w:abstractNum>
  <w:abstractNum w:abstractNumId="51">
    <w:nsid w:val="39EE015C"/>
    <w:multiLevelType w:val="hybridMultilevel"/>
    <w:lvl w:ilvl="0">
      <w:lvlJc w:val="left"/>
      <w:lvlText w:val="(%1)"/>
      <w:numFmt w:val="lowerLetter"/>
      <w:start w:val="1"/>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1)"/>
      <w:numFmt w:val="lowerLetter"/>
      <w:start w:val="2"/>
    </w:lvl>
  </w:abstractNum>
  <w:abstractNum w:abstractNumId="55">
    <w:nsid w:val="60EF0119"/>
    <w:multiLevelType w:val="hybridMultilevel"/>
    <w:lvl w:ilvl="0">
      <w:lvlJc w:val="left"/>
      <w:lvlText w:val="(%1)"/>
      <w:numFmt w:val="lowerLetter"/>
      <w:start w:val="1"/>
    </w:lvl>
  </w:abstractNum>
  <w:abstractNum w:abstractNumId="56">
    <w:nsid w:val="26F324BA"/>
    <w:multiLevelType w:val="hybridMultilevel"/>
    <w:lvl w:ilvl="0">
      <w:lvlJc w:val="left"/>
      <w:lvlText w:val="(%1)"/>
      <w:numFmt w:val="lowerLetter"/>
      <w:start w:val="2"/>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1)"/>
      <w:numFmt w:val="lowerLetter"/>
      <w:start w:val="1"/>
    </w:lvl>
  </w:abstractNum>
  <w:abstractNum w:abstractNumId="60">
    <w:nsid w:val="5FB8370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1">
    <w:nsid w:val="50801EE1"/>
    <w:multiLevelType w:val="hybridMultilevel"/>
    <w:lvl w:ilvl="0">
      <w:lvlJc w:val="left"/>
      <w:lvlText w:val="(%1)"/>
      <w:numFmt w:val="lowerLetter"/>
      <w:start w:val="1"/>
    </w:lvl>
  </w:abstractNum>
  <w:abstractNum w:abstractNumId="62">
    <w:nsid w:val="488AC1A"/>
    <w:multiLevelType w:val="hybridMultilevel"/>
    <w:lvl w:ilvl="0">
      <w:lvlJc w:val="left"/>
      <w:lvlText w:val="%1"/>
      <w:numFmt w:val="upperLetter"/>
      <w:start w:val="1"/>
    </w:lvl>
    <w:lvl w:ilvl="1">
      <w:lvlJc w:val="left"/>
      <w:lvlText w:val="(%2)"/>
      <w:numFmt w:val="lowerLetter"/>
      <w:start w:val="1"/>
    </w:lvl>
  </w:abstractNum>
  <w:abstractNum w:abstractNumId="63">
    <w:nsid w:val="5FB8011C"/>
    <w:multiLevelType w:val="hybridMultilevel"/>
    <w:lvl w:ilvl="0">
      <w:lvlJc w:val="left"/>
      <w:lvlText w:val="(%1)"/>
      <w:numFmt w:val="upperLetter"/>
      <w:start w:val="2"/>
    </w:lvl>
    <w:lvl w:ilvl="1">
      <w:lvlJc w:val="left"/>
      <w:lvlText w:val="(%2)"/>
      <w:numFmt w:val="lowerLetter"/>
      <w:start w:val="3"/>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lowerLetter"/>
      <w:start w:val="3"/>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1)"/>
      <w:numFmt w:val="lowerLetter"/>
      <w:start w:val="1"/>
    </w:lvl>
  </w:abstractNum>
  <w:abstractNum w:abstractNumId="68">
    <w:nsid w:val="7D5E18F8"/>
    <w:multiLevelType w:val="hybridMultilevel"/>
    <w:lvl w:ilvl="0">
      <w:lvlJc w:val="left"/>
      <w:lvlText w:val="(%1)"/>
      <w:numFmt w:val="lowerLetter"/>
      <w:start w:val="1"/>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1)"/>
      <w:numFmt w:val="lowerLetter"/>
      <w:start w:val="2"/>
    </w:lvl>
    <w:lvl w:ilvl="1">
      <w:lvlJc w:val="left"/>
      <w:lvlText w:val="(%2)"/>
      <w:numFmt w:val="lowerRoman"/>
      <w:start w:val="1"/>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decimal"/>
      <w:start w:val="30"/>
    </w:lvl>
  </w:abstractNum>
  <w:abstractNum w:abstractNumId="73">
    <w:nsid w:val="3FA62ACA"/>
    <w:multiLevelType w:val="hybridMultilevel"/>
    <w:lvl w:ilvl="0">
      <w:lvlJc w:val="left"/>
      <w:lvlText w:val="%1"/>
      <w:numFmt w:val="lowerLetter"/>
      <w:start w:val="1"/>
    </w:lvl>
    <w:lvl w:ilvl="1">
      <w:lvlJc w:val="left"/>
      <w:lvlText w:val="(%2)"/>
      <w:numFmt w:val="lowerLetter"/>
      <w:start w:val="1"/>
    </w:lvl>
  </w:abstractNum>
  <w:abstractNum w:abstractNumId="74">
    <w:nsid w:val="14FCE74E"/>
    <w:multiLevelType w:val="hybridMultilevel"/>
    <w:lvl w:ilvl="0">
      <w:lvlJc w:val="left"/>
      <w:lvlText w:val="(%1)"/>
      <w:numFmt w:val="lowerLetter"/>
      <w:start w:val="9"/>
    </w:lvl>
    <w:lvl w:ilvl="1">
      <w:lvlJc w:val="left"/>
      <w:lvlText w:val="(%2)"/>
      <w:numFmt w:val="lowerLetter"/>
      <w:start w:val="4"/>
    </w:lvl>
  </w:abstractNum>
  <w:abstractNum w:abstractNumId="75">
    <w:nsid w:val="6A3DD3E8"/>
    <w:multiLevelType w:val="hybridMultilevel"/>
    <w:lvl w:ilvl="0">
      <w:lvlJc w:val="left"/>
      <w:lvlText w:val="(%1)"/>
      <w:numFmt w:val="lowerLetter"/>
      <w:start w:val="5"/>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2"/>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2"/>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1)"/>
      <w:numFmt w:val="lowerLetter"/>
      <w:start w:val="3"/>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2"/>
    </w:lvl>
    <w:lvl w:ilvl="1">
      <w:lvlJc w:val="left"/>
      <w:lvlText w:val="(%2)"/>
      <w:numFmt w:val="lowerRoman"/>
      <w:start w:val="1"/>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lowerLetter"/>
      <w:start w:val="2"/>
    </w:lvl>
  </w:abstractNum>
  <w:abstractNum w:abstractNumId="89">
    <w:nsid w:val="53584BCB"/>
    <w:multiLevelType w:val="hybridMultilevel"/>
    <w:lvl w:ilvl="0">
      <w:lvlJc w:val="left"/>
      <w:lvlText w:val="*"/>
      <w:numFmt w:val="bullet"/>
      <w:start w:val="1"/>
    </w:lvl>
    <w:lvl w:ilvl="1">
      <w:lvlJc w:val="left"/>
      <w:lvlText w:val="(%2)"/>
      <w:numFmt w:val="lowerLetter"/>
      <w:start w:val="4"/>
    </w:lvl>
  </w:abstractNum>
  <w:abstractNum w:abstractNumId="90">
    <w:nsid w:val="415E286C"/>
    <w:multiLevelType w:val="hybridMultilevel"/>
    <w:lvl w:ilvl="0">
      <w:lvlJc w:val="left"/>
      <w:lvlText w:val="*"/>
      <w:numFmt w:val="bullet"/>
      <w:start w:val="1"/>
    </w:lvl>
    <w:lvl w:ilvl="1">
      <w:lvlJc w:val="left"/>
      <w:lvlText w:val="(%2)"/>
      <w:numFmt w:val="lowerLetter"/>
      <w:start w:val="5"/>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2"/>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decimal"/>
      <w:start w:val="2"/>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1)"/>
      <w:numFmt w:val="lowerLetter"/>
      <w:start w:val="2"/>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lowerLetter"/>
      <w:start w:val="1"/>
    </w:lvl>
  </w:abstractNum>
  <w:abstractNum w:abstractNumId="100">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6C80EC70"/>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1"/>
    </w:lvl>
    <w:lvl w:ilvl="1">
      <w:lvlJc w:val="left"/>
      <w:lvlText w:val="(%2)"/>
      <w:numFmt w:val="lowerLetter"/>
      <w:start w:val="2"/>
    </w:lvl>
  </w:abstractNum>
  <w:abstractNum w:abstractNumId="104">
    <w:nsid w:val="2C27173B"/>
    <w:multiLevelType w:val="hybridMultilevel"/>
    <w:lvl w:ilvl="0">
      <w:lvlJc w:val="left"/>
      <w:lvlText w:val="(%1)"/>
      <w:numFmt w:val="lowerLetter"/>
      <w:start w:val="35"/>
    </w:lvl>
    <w:lvl w:ilvl="1">
      <w:lvlJc w:val="left"/>
      <w:lvlText w:val="%2"/>
      <w:numFmt w:val="lowerLetter"/>
      <w:start w:val="1"/>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
      <w:numFmt w:val="bullet"/>
      <w:start w:val="1"/>
    </w:lvl>
    <w:lvl w:ilvl="1">
      <w:lvlJc w:val="left"/>
      <w:lvlText w:val="(%2)"/>
      <w:numFmt w:val="lowerLetter"/>
      <w:start w:val="2"/>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2"/>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2">
    <w:nsid w:val="5B25ACE2"/>
    <w:multiLevelType w:val="hybridMultilevel"/>
    <w:lvl w:ilvl="0">
      <w:lvlJc w:val="left"/>
      <w:lvlText w:val="(%1)"/>
      <w:numFmt w:val="lowerLetter"/>
      <w:start w:val="3"/>
    </w:lvl>
  </w:abstractNum>
  <w:abstractNum w:abstractNumId="113">
    <w:nsid w:val="175DFCF0"/>
    <w:multiLevelType w:val="hybridMultilevel"/>
    <w:lvl w:ilvl="0">
      <w:lvlJc w:val="left"/>
      <w:lvlText w:val="(%1)"/>
      <w:numFmt w:val="lowerRoman"/>
      <w:start w:val="3"/>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1"/>
    </w:lvl>
    <w:lvl w:ilvl="1">
      <w:lvlJc w:val="left"/>
      <w:lvlText w:val="(%2)"/>
      <w:numFmt w:val="lowerRoman"/>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Roman"/>
      <w:start w:val="1"/>
    </w:lvl>
  </w:abstractNum>
  <w:abstractNum w:abstractNumId="118">
    <w:nsid w:val="56438D15"/>
    <w:multiLevelType w:val="hybridMultilevel"/>
    <w:lvl w:ilvl="0">
      <w:lvlJc w:val="left"/>
      <w:lvlText w:val="(%1)"/>
      <w:numFmt w:val="lowerLetter"/>
      <w:start w:val="2"/>
    </w:lvl>
    <w:lvl w:ilvl="1">
      <w:lvlJc w:val="left"/>
      <w:lvlText w:val="(%2)"/>
      <w:numFmt w:val="lowerRoman"/>
      <w:start w:val="1"/>
    </w:lvl>
  </w:abstractNum>
  <w:abstractNum w:abstractNumId="119">
    <w:nsid w:val="519E314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0">
    <w:nsid w:val="2C6E4AFD"/>
    <w:multiLevelType w:val="hybridMultilevel"/>
    <w:lvl w:ilvl="0">
      <w:lvlJc w:val="left"/>
      <w:lvlText w:val="%1"/>
      <w:numFmt w:val="lowerLetter"/>
      <w:start w:val="1"/>
    </w:lvl>
    <w:lvl w:ilvl="1">
      <w:lvlJc w:val="left"/>
      <w:lvlText w:val="(%2)"/>
      <w:numFmt w:val="upperLetter"/>
      <w:start w:val="1"/>
    </w:lvl>
  </w:abstractNum>
  <w:abstractNum w:abstractNumId="121">
    <w:nsid w:val="17A1B582"/>
    <w:multiLevelType w:val="hybridMultilevel"/>
    <w:lvl w:ilvl="0">
      <w:lvlJc w:val="left"/>
      <w:lvlText w:val="(%1)"/>
      <w:numFmt w:val="lowerLetter"/>
      <w:start w:val="4"/>
    </w:lvl>
    <w:lvl w:ilvl="1">
      <w:lvlJc w:val="left"/>
      <w:lvlText w:val="%2"/>
      <w:numFmt w:val="upperLetter"/>
      <w:start w:val="1"/>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lowerRoman"/>
      <w:start w:val="1"/>
    </w:lvl>
  </w:abstractNum>
  <w:abstractNum w:abstractNumId="124">
    <w:nsid w:val="5D888A08"/>
    <w:multiLevelType w:val="hybridMultilevel"/>
    <w:lvl w:ilvl="0">
      <w:lvlJc w:val="left"/>
      <w:lvlText w:val="(%1)"/>
      <w:numFmt w:val="decimal"/>
      <w:start w:val="90"/>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30"/>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4"/>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27" Type="http://schemas.openxmlformats.org/officeDocument/2006/relationships/hyperlink" Target="https://www.sec.gov/Archives/edgar/data/872589/000110465920073764/tm2022552d1_ex99-1.htm" TargetMode="External"/><Relationship Id="rId128" Type="http://schemas.openxmlformats.org/officeDocument/2006/relationships/hyperlink" Target="http://www.sec.gov/Archives/edgar/data/872589/000110465920067752/tm2021201d1_ex10-3.htm" TargetMode="External"/><Relationship Id="rId129" Type="http://schemas.openxmlformats.org/officeDocument/2006/relationships/hyperlink" Target="http://www.sec.gov/Archives/edgar/data/872589/000110465920067752/tm2021201d1_ex10-1.htm" TargetMode="External"/><Relationship Id="rId130" Type="http://schemas.openxmlformats.org/officeDocument/2006/relationships/hyperlink" Target="http://www.sec.gov/Archives/edgar/data/872589/000110465920067752/tm202120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2020-08-05T06:40:24Z</dcterms:created>
  <dcterms:modified xsi:type="dcterms:W3CDTF">2020-08-05T06:40:24Z</dcterms:modified>
</cp:coreProperties>
</file>