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3216275</wp:posOffset>
            </wp:positionH>
            <wp:positionV relativeFrom="paragraph">
              <wp:posOffset>91440</wp:posOffset>
            </wp:positionV>
            <wp:extent cx="788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2" w:lineRule="exact"/>
        <w:rPr>
          <w:sz w:val="24"/>
          <w:szCs w:val="24"/>
          <w:color w:val="auto"/>
        </w:rPr>
      </w:pPr>
    </w:p>
    <w:p>
      <w:pPr>
        <w:jc w:val="center"/>
        <w:ind w:right="-4"/>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3216275</wp:posOffset>
            </wp:positionH>
            <wp:positionV relativeFrom="paragraph">
              <wp:posOffset>31115</wp:posOffset>
            </wp:positionV>
            <wp:extent cx="788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91" w:lineRule="exact"/>
        <w:rPr>
          <w:sz w:val="24"/>
          <w:szCs w:val="24"/>
          <w:color w:val="auto"/>
        </w:rPr>
      </w:pPr>
    </w:p>
    <w:p>
      <w:pPr>
        <w:ind w:left="5"/>
        <w:spacing w:after="0"/>
        <w:rPr>
          <w:sz w:val="20"/>
          <w:szCs w:val="20"/>
          <w:color w:val="auto"/>
        </w:rPr>
      </w:pPr>
      <w:r>
        <w:rPr>
          <w:rFonts w:ascii="Arial" w:cs="Arial" w:eastAsia="Arial" w:hAnsi="Arial"/>
          <w:sz w:val="18"/>
          <w:szCs w:val="18"/>
          <w:color w:val="auto"/>
        </w:rPr>
        <w:t>(Mark One)</w:t>
      </w:r>
    </w:p>
    <w:p>
      <w:pPr>
        <w:spacing w:after="0" w:line="54" w:lineRule="exact"/>
        <w:rPr>
          <w:sz w:val="24"/>
          <w:szCs w:val="24"/>
          <w:color w:val="auto"/>
        </w:rPr>
      </w:pPr>
    </w:p>
    <w:p>
      <w:pPr>
        <w:ind w:left="225" w:hanging="225"/>
        <w:spacing w:after="0"/>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5" w:lineRule="exact"/>
        <w:rPr>
          <w:sz w:val="24"/>
          <w:szCs w:val="24"/>
          <w:color w:val="auto"/>
        </w:rPr>
      </w:pPr>
    </w:p>
    <w:p>
      <w:pPr>
        <w:ind w:left="225"/>
        <w:spacing w:after="0"/>
        <w:rPr>
          <w:sz w:val="20"/>
          <w:szCs w:val="20"/>
          <w:color w:val="auto"/>
        </w:rPr>
      </w:pPr>
      <w:r>
        <w:rPr>
          <w:rFonts w:ascii="Arial" w:cs="Arial" w:eastAsia="Arial" w:hAnsi="Arial"/>
          <w:sz w:val="17"/>
          <w:szCs w:val="17"/>
          <w:b w:val="1"/>
          <w:bCs w:val="1"/>
          <w:color w:val="auto"/>
        </w:rPr>
        <w:t xml:space="preserve">For the fiscal year ended </w:t>
      </w:r>
      <w:r>
        <w:rPr>
          <w:rFonts w:ascii="Arial" w:cs="Arial" w:eastAsia="Arial" w:hAnsi="Arial"/>
          <w:sz w:val="17"/>
          <w:szCs w:val="17"/>
          <w:b w:val="1"/>
          <w:bCs w:val="1"/>
          <w:u w:val="single" w:color="auto"/>
          <w:color w:val="auto"/>
        </w:rPr>
        <w:t>December 31, 2018</w:t>
      </w:r>
    </w:p>
    <w:p>
      <w:pPr>
        <w:spacing w:after="0" w:line="75" w:lineRule="exact"/>
        <w:rPr>
          <w:sz w:val="24"/>
          <w:szCs w:val="24"/>
          <w:color w:val="auto"/>
        </w:rPr>
      </w:pPr>
    </w:p>
    <w:p>
      <w:pPr>
        <w:ind w:left="1905"/>
        <w:spacing w:after="0"/>
        <w:rPr>
          <w:sz w:val="20"/>
          <w:szCs w:val="20"/>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225" w:right="2420" w:hanging="225"/>
        <w:spacing w:after="0" w:line="364" w:lineRule="auto"/>
        <w:tabs>
          <w:tab w:leader="none" w:pos="225" w:val="left"/>
        </w:tabs>
        <w:numPr>
          <w:ilvl w:val="0"/>
          <w:numId w:val="2"/>
        </w:numPr>
        <w:rPr>
          <w:rFonts w:ascii="MS PGothic" w:cs="MS PGothic" w:eastAsia="MS PGothic" w:hAnsi="MS PGothic"/>
          <w:sz w:val="16"/>
          <w:szCs w:val="16"/>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92" w:lineRule="exact"/>
        <w:rPr>
          <w:sz w:val="24"/>
          <w:szCs w:val="24"/>
          <w:color w:val="auto"/>
        </w:rPr>
      </w:pPr>
    </w:p>
    <w:p>
      <w:pPr>
        <w:jc w:val="center"/>
        <w:ind w:right="55"/>
        <w:spacing w:after="0"/>
        <w:rPr>
          <w:sz w:val="20"/>
          <w:szCs w:val="20"/>
          <w:color w:val="auto"/>
        </w:rPr>
      </w:pPr>
      <w:r>
        <w:rPr>
          <w:rFonts w:ascii="Arial" w:cs="Arial" w:eastAsia="Arial" w:hAnsi="Arial"/>
          <w:sz w:val="16"/>
          <w:szCs w:val="16"/>
          <w:b w:val="1"/>
          <w:bCs w:val="1"/>
          <w:color w:val="auto"/>
        </w:rPr>
        <w:t>Commission File Number: 0-19034</w:t>
      </w:r>
    </w:p>
    <w:p>
      <w:pPr>
        <w:spacing w:after="0" w:line="145"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REGENERON PHARMACEUTICALS, INC.</w:t>
      </w:r>
    </w:p>
    <w:p>
      <w:pPr>
        <w:spacing w:after="0" w:line="34" w:lineRule="exact"/>
        <w:rPr>
          <w:sz w:val="24"/>
          <w:szCs w:val="24"/>
          <w:color w:val="auto"/>
        </w:rPr>
      </w:pPr>
    </w:p>
    <w:p>
      <w:pPr>
        <w:jc w:val="center"/>
        <w:ind w:right="-4"/>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825"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40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2"/>
              </w:rPr>
              <w:t>New York</w:t>
            </w:r>
          </w:p>
        </w:tc>
        <w:tc>
          <w:tcPr>
            <w:tcW w:w="4880" w:type="dxa"/>
            <w:vAlign w:val="bottom"/>
            <w:gridSpan w:val="3"/>
          </w:tcPr>
          <w:p>
            <w:pPr>
              <w:jc w:val="center"/>
              <w:ind w:left="2453"/>
              <w:spacing w:after="0"/>
              <w:rPr>
                <w:sz w:val="20"/>
                <w:szCs w:val="20"/>
                <w:color w:val="auto"/>
              </w:rPr>
            </w:pPr>
            <w:r>
              <w:rPr>
                <w:rFonts w:ascii="Arial" w:cs="Arial" w:eastAsia="Arial" w:hAnsi="Arial"/>
                <w:sz w:val="18"/>
                <w:szCs w:val="18"/>
                <w:b w:val="1"/>
                <w:bCs w:val="1"/>
                <w:color w:val="auto"/>
                <w:w w:val="89"/>
              </w:rPr>
              <w:t>13-3444607</w:t>
            </w:r>
          </w:p>
        </w:tc>
      </w:tr>
      <w:tr>
        <w:trPr>
          <w:trHeight w:val="20"/>
        </w:trPr>
        <w:tc>
          <w:tcPr>
            <w:tcW w:w="1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85"/>
        </w:trPr>
        <w:tc>
          <w:tcPr>
            <w:tcW w:w="4040" w:type="dxa"/>
            <w:vAlign w:val="bottom"/>
            <w:gridSpan w:val="3"/>
          </w:tcPr>
          <w:p>
            <w:pPr>
              <w:jc w:val="center"/>
              <w:ind w:right="2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4880" w:type="dxa"/>
            <w:vAlign w:val="bottom"/>
            <w:gridSpan w:val="3"/>
          </w:tcPr>
          <w:p>
            <w:pPr>
              <w:jc w:val="center"/>
              <w:ind w:left="2473"/>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57"/>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4880" w:type="dxa"/>
            <w:vAlign w:val="bottom"/>
            <w:gridSpan w:val="3"/>
          </w:tcPr>
          <w:p>
            <w:pPr>
              <w:jc w:val="center"/>
              <w:ind w:left="2453"/>
              <w:spacing w:after="0"/>
              <w:rPr>
                <w:sz w:val="20"/>
                <w:szCs w:val="20"/>
                <w:color w:val="auto"/>
              </w:rPr>
            </w:pPr>
            <w:r>
              <w:rPr>
                <w:rFonts w:ascii="Arial" w:cs="Arial" w:eastAsia="Arial" w:hAnsi="Arial"/>
                <w:sz w:val="18"/>
                <w:szCs w:val="18"/>
                <w:b w:val="1"/>
                <w:bCs w:val="1"/>
                <w:color w:val="auto"/>
                <w:w w:val="89"/>
              </w:rPr>
              <w:t>10591-6707</w:t>
            </w:r>
          </w:p>
        </w:tc>
      </w:tr>
      <w:tr>
        <w:trPr>
          <w:trHeight w:val="285"/>
        </w:trPr>
        <w:tc>
          <w:tcPr>
            <w:tcW w:w="40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28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(Zip Code)</w:t>
            </w:r>
          </w:p>
        </w:tc>
        <w:tc>
          <w:tcPr>
            <w:tcW w:w="740" w:type="dxa"/>
            <w:vAlign w:val="bottom"/>
          </w:tcPr>
          <w:p>
            <w:pPr>
              <w:spacing w:after="0"/>
              <w:rPr>
                <w:sz w:val="24"/>
                <w:szCs w:val="24"/>
                <w:color w:val="auto"/>
              </w:rPr>
            </w:pPr>
          </w:p>
        </w:tc>
      </w:tr>
    </w:tbl>
    <w:p>
      <w:pPr>
        <w:spacing w:after="0" w:line="1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(914) 847-7000</w:t>
      </w:r>
    </w:p>
    <w:p>
      <w:pPr>
        <w:spacing w:after="0" w:line="27" w:lineRule="exact"/>
        <w:rPr>
          <w:sz w:val="24"/>
          <w:szCs w:val="24"/>
          <w:color w:val="auto"/>
        </w:rPr>
      </w:pPr>
    </w:p>
    <w:p>
      <w:pPr>
        <w:jc w:val="center"/>
        <w:ind w:right="-4"/>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95" w:lineRule="exact"/>
        <w:rPr>
          <w:sz w:val="24"/>
          <w:szCs w:val="24"/>
          <w:color w:val="auto"/>
        </w:rPr>
      </w:pPr>
    </w:p>
    <w:p>
      <w:pPr>
        <w:jc w:val="center"/>
        <w:ind w:righ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5" w:lineRule="exact"/>
        <w:rPr>
          <w:sz w:val="24"/>
          <w:szCs w:val="24"/>
          <w:color w:val="auto"/>
        </w:rPr>
      </w:pPr>
    </w:p>
    <w:p>
      <w:pPr>
        <w:jc w:val="right"/>
        <w:ind w:right="1440"/>
        <w:spacing w:after="0"/>
        <w:tabs>
          <w:tab w:leader="none" w:pos="3140" w:val="left"/>
        </w:tabs>
        <w:rPr>
          <w:sz w:val="20"/>
          <w:szCs w:val="20"/>
          <w:color w:val="auto"/>
        </w:rPr>
      </w:pPr>
      <w:r>
        <w:rPr>
          <w:rFonts w:ascii="Arial" w:cs="Arial" w:eastAsia="Arial" w:hAnsi="Arial"/>
          <w:sz w:val="18"/>
          <w:szCs w:val="18"/>
          <w:i w:val="1"/>
          <w:iCs w:val="1"/>
          <w:u w:val="single" w:color="auto"/>
          <w:color w:val="auto"/>
        </w:rPr>
        <w:t>Title of each class</w:t>
      </w:r>
      <w:r>
        <w:rPr>
          <w:sz w:val="20"/>
          <w:szCs w:val="20"/>
          <w:color w:val="auto"/>
        </w:rPr>
        <w:tab/>
      </w:r>
      <w:r>
        <w:rPr>
          <w:rFonts w:ascii="Arial" w:cs="Arial" w:eastAsia="Arial" w:hAnsi="Arial"/>
          <w:sz w:val="15"/>
          <w:szCs w:val="15"/>
          <w:i w:val="1"/>
          <w:iCs w:val="1"/>
          <w:u w:val="single" w:color="auto"/>
          <w:color w:val="auto"/>
        </w:rPr>
        <w:t>Name of each exchange on which registered</w:t>
      </w:r>
    </w:p>
    <w:p>
      <w:pPr>
        <w:sectPr>
          <w:pgSz w:w="11900" w:h="16838" w:orient="portrait"/>
          <w:cols w:equalWidth="0" w:num="1">
            <w:col w:w="11345"/>
          </w:cols>
          <w:pgMar w:left="275" w:top="472" w:right="279" w:bottom="1440" w:gutter="0" w:footer="0" w:header="0"/>
        </w:sectPr>
      </w:pPr>
    </w:p>
    <w:p>
      <w:pPr>
        <w:spacing w:after="0" w:line="59" w:lineRule="exact"/>
        <w:rPr>
          <w:sz w:val="24"/>
          <w:szCs w:val="24"/>
          <w:color w:val="auto"/>
        </w:rPr>
      </w:pPr>
    </w:p>
    <w:p>
      <w:pPr>
        <w:ind w:left="1345"/>
        <w:spacing w:after="0"/>
        <w:tabs>
          <w:tab w:leader="none" w:pos="7085" w:val="left"/>
        </w:tabs>
        <w:rPr>
          <w:sz w:val="20"/>
          <w:szCs w:val="20"/>
          <w:color w:val="auto"/>
        </w:rPr>
      </w:pPr>
      <w:r>
        <w:rPr>
          <w:rFonts w:ascii="Arial" w:cs="Arial" w:eastAsia="Arial" w:hAnsi="Arial"/>
          <w:sz w:val="18"/>
          <w:szCs w:val="18"/>
          <w:b w:val="1"/>
          <w:bCs w:val="1"/>
          <w:color w:val="auto"/>
        </w:rPr>
        <w:t>Common Stock - par value $.001 per share</w:t>
      </w:r>
      <w:r>
        <w:rPr>
          <w:sz w:val="20"/>
          <w:szCs w:val="20"/>
          <w:color w:val="auto"/>
        </w:rPr>
        <w:tab/>
      </w:r>
      <w:r>
        <w:rPr>
          <w:rFonts w:ascii="Arial" w:cs="Arial" w:eastAsia="Arial" w:hAnsi="Arial"/>
          <w:sz w:val="16"/>
          <w:szCs w:val="16"/>
          <w:b w:val="1"/>
          <w:bCs w:val="1"/>
          <w:color w:val="auto"/>
        </w:rPr>
        <w:t>NASDAQ Global Select Market</w:t>
      </w:r>
    </w:p>
    <w:p>
      <w:pPr>
        <w:spacing w:after="0" w:line="144" w:lineRule="exact"/>
        <w:rPr>
          <w:sz w:val="24"/>
          <w:szCs w:val="24"/>
          <w:color w:val="auto"/>
        </w:rPr>
      </w:pPr>
    </w:p>
    <w:p>
      <w:pPr>
        <w:ind w:left="3285"/>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43"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29"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161" w:lineRule="exact"/>
        <w:rPr>
          <w:sz w:val="24"/>
          <w:szCs w:val="24"/>
          <w:color w:val="auto"/>
        </w:rPr>
      </w:pPr>
    </w:p>
    <w:p>
      <w:pPr>
        <w:ind w:left="5" w:right="100"/>
        <w:spacing w:after="0" w:line="23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4"/>
          <w:szCs w:val="24"/>
          <w:color w:val="auto"/>
        </w:rPr>
      </w:pPr>
    </w:p>
    <w:p>
      <w:pPr>
        <w:ind w:left="5" w:right="240"/>
        <w:spacing w:after="0" w:line="23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0" w:lineRule="exact"/>
        <w:rPr>
          <w:sz w:val="24"/>
          <w:szCs w:val="24"/>
          <w:color w:val="auto"/>
        </w:rPr>
      </w:pPr>
    </w:p>
    <w:p>
      <w:pPr>
        <w:ind w:left="5"/>
        <w:spacing w:after="0" w:line="237"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378"/>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84" w:lineRule="exact"/>
              <w:rPr>
                <w:sz w:val="20"/>
                <w:szCs w:val="20"/>
                <w:color w:val="auto"/>
              </w:rPr>
            </w:pPr>
            <w:r>
              <w:rPr>
                <w:rFonts w:ascii="Arial" w:cs="Arial" w:eastAsia="Arial" w:hAnsi="Arial"/>
                <w:sz w:val="13"/>
                <w:szCs w:val="13"/>
                <w:color w:val="auto"/>
                <w:w w:val="85"/>
              </w:rPr>
              <w:t xml:space="preserve">Yes </w:t>
            </w:r>
            <w:r>
              <w:rPr>
                <w:rFonts w:ascii="MS PGothic" w:cs="MS PGothic" w:eastAsia="MS PGothic" w:hAnsi="MS PGothic"/>
                <w:sz w:val="16"/>
                <w:szCs w:val="16"/>
                <w:color w:val="auto"/>
                <w:w w:val="85"/>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r>
      <w:tr>
        <w:trPr>
          <w:trHeight w:val="446"/>
        </w:trPr>
        <w:tc>
          <w:tcPr>
            <w:tcW w:w="540" w:type="dxa"/>
            <w:vAlign w:val="bottom"/>
          </w:tcPr>
          <w:p>
            <w:pPr>
              <w:jc w:val="right"/>
              <w:ind w:right="93"/>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4"/>
                <w:szCs w:val="24"/>
                <w:color w:val="auto"/>
              </w:rPr>
            </w:pPr>
          </w:p>
        </w:tc>
      </w:tr>
    </w:tbl>
    <w:p>
      <w:pPr>
        <w:spacing w:after="0" w:line="149" w:lineRule="exact"/>
        <w:rPr>
          <w:sz w:val="24"/>
          <w:szCs w:val="24"/>
          <w:color w:val="auto"/>
        </w:rPr>
      </w:pPr>
    </w:p>
    <w:p>
      <w:pPr>
        <w:sectPr>
          <w:pgSz w:w="11900" w:h="16838" w:orient="portrait"/>
          <w:cols w:equalWidth="0" w:num="2">
            <w:col w:w="10005" w:space="160"/>
            <w:col w:w="1180"/>
          </w:cols>
          <w:pgMar w:left="275" w:top="472" w:right="279" w:bottom="1440" w:gutter="0" w:footer="0" w:header="0"/>
          <w:type w:val="continuous"/>
        </w:sectPr>
      </w:pPr>
    </w:p>
    <w:p>
      <w:pPr>
        <w:jc w:val="both"/>
        <w:ind w:left="5"/>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5" w:type="dxa"/>
        <w:tblCellMar>
          <w:top w:w="0" w:type="dxa"/>
          <w:left w:w="0" w:type="dxa"/>
          <w:bottom w:w="0" w:type="dxa"/>
          <w:right w:w="0" w:type="dxa"/>
        </w:tblCellMar>
      </w:tblPr>
      <w:tr>
        <w:trPr>
          <w:trHeight w:val="254"/>
        </w:trPr>
        <w:tc>
          <w:tcPr>
            <w:tcW w:w="1760" w:type="dxa"/>
            <w:vAlign w:val="bottom"/>
          </w:tcPr>
          <w:p>
            <w:pPr>
              <w:ind w:left="160"/>
              <w:spacing w:after="0" w:line="184"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6"/>
                <w:szCs w:val="16"/>
                <w:color w:val="auto"/>
              </w:rPr>
              <w:t>☒</w:t>
            </w:r>
          </w:p>
        </w:tc>
        <w:tc>
          <w:tcPr>
            <w:tcW w:w="1660" w:type="dxa"/>
            <w:vAlign w:val="bottom"/>
          </w:tcPr>
          <w:p>
            <w:pPr>
              <w:ind w:left="260"/>
              <w:spacing w:after="0" w:line="184"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6"/>
                <w:szCs w:val="16"/>
                <w:color w:val="auto"/>
              </w:rPr>
              <w:t>☐</w:t>
            </w:r>
          </w:p>
        </w:tc>
        <w:tc>
          <w:tcPr>
            <w:tcW w:w="202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6"/>
                <w:szCs w:val="16"/>
                <w:color w:val="auto"/>
              </w:rPr>
              <w:t>☐</w:t>
            </w:r>
          </w:p>
        </w:tc>
        <w:tc>
          <w:tcPr>
            <w:tcW w:w="2180" w:type="dxa"/>
            <w:vAlign w:val="bottom"/>
          </w:tcPr>
          <w:p>
            <w:pPr>
              <w:ind w:left="260"/>
              <w:spacing w:after="0" w:line="184"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6"/>
                <w:szCs w:val="16"/>
                <w:color w:val="auto"/>
              </w:rPr>
              <w:t>☐</w:t>
            </w:r>
          </w:p>
        </w:tc>
        <w:tc>
          <w:tcPr>
            <w:tcW w:w="2740" w:type="dxa"/>
            <w:vAlign w:val="bottom"/>
          </w:tcPr>
          <w:p>
            <w:pPr>
              <w:ind w:left="340"/>
              <w:spacing w:after="0" w:line="184"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0360" w:type="dxa"/>
            <w:vAlign w:val="bottom"/>
            <w:gridSpan w:val="5"/>
          </w:tcPr>
          <w:p>
            <w:pPr>
              <w:spacing w:after="0"/>
              <w:rPr>
                <w:sz w:val="20"/>
                <w:szCs w:val="20"/>
                <w:color w:val="auto"/>
              </w:rPr>
            </w:pPr>
            <w:r>
              <w:rPr>
                <w:rFonts w:ascii="Arial" w:cs="Arial" w:eastAsia="Arial" w:hAnsi="Arial"/>
                <w:sz w:val="13"/>
                <w:szCs w:val="13"/>
                <w:color w:val="auto"/>
                <w:w w:val="88"/>
              </w:rPr>
              <w:t>If an emerging growth company, indicate by check mark if the registrant has elected not to use the extended transition period for complying with any new or revised financial accounting standards provided</w:t>
            </w:r>
          </w:p>
        </w:tc>
        <w:tc>
          <w:tcPr>
            <w:tcW w:w="340" w:type="dxa"/>
            <w:vAlign w:val="bottom"/>
            <w:vMerge w:val="restart"/>
          </w:tcPr>
          <w:p>
            <w:pPr>
              <w:jc w:val="right"/>
              <w:ind w:right="79"/>
              <w:spacing w:after="0" w:line="161" w:lineRule="exact"/>
              <w:rPr>
                <w:sz w:val="20"/>
                <w:szCs w:val="20"/>
                <w:color w:val="auto"/>
              </w:rPr>
            </w:pPr>
            <w:r>
              <w:rPr>
                <w:rFonts w:ascii="MS PGothic" w:cs="MS PGothic" w:eastAsia="MS PGothic" w:hAnsi="MS PGothic"/>
                <w:sz w:val="16"/>
                <w:szCs w:val="16"/>
                <w:color w:val="auto"/>
                <w:w w:val="99"/>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420" w:type="dxa"/>
            <w:vAlign w:val="bottom"/>
            <w:gridSpan w:val="2"/>
          </w:tcPr>
          <w:p>
            <w:pPr>
              <w:spacing w:after="0"/>
              <w:rPr>
                <w:sz w:val="20"/>
                <w:szCs w:val="20"/>
                <w:color w:val="auto"/>
              </w:rPr>
            </w:pPr>
            <w:r>
              <w:rPr>
                <w:rFonts w:ascii="Arial" w:cs="Arial" w:eastAsia="Arial" w:hAnsi="Arial"/>
                <w:sz w:val="13"/>
                <w:szCs w:val="13"/>
                <w:color w:val="auto"/>
              </w:rPr>
              <w:t>pursuant to Section 13(a) of the Exchange Act.</w:t>
            </w:r>
          </w:p>
        </w:tc>
        <w:tc>
          <w:tcPr>
            <w:tcW w:w="2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Arial" w:cs="Arial" w:eastAsia="Arial" w:hAnsi="Arial"/>
                <w:sz w:val="13"/>
                <w:szCs w:val="13"/>
                <w:color w:val="auto"/>
                <w:w w:val="92"/>
              </w:rPr>
              <w:t>Indicate by check mark whether the registrant is a shell company (as defined in Rule 12b-2 of the Act).</w:t>
            </w:r>
          </w:p>
        </w:tc>
        <w:tc>
          <w:tcPr>
            <w:tcW w:w="2180" w:type="dxa"/>
            <w:vAlign w:val="bottom"/>
          </w:tcPr>
          <w:p>
            <w:pPr>
              <w:spacing w:after="0"/>
              <w:rPr>
                <w:sz w:val="24"/>
                <w:szCs w:val="24"/>
                <w:color w:val="auto"/>
              </w:rPr>
            </w:pPr>
          </w:p>
        </w:tc>
        <w:tc>
          <w:tcPr>
            <w:tcW w:w="3080" w:type="dxa"/>
            <w:vAlign w:val="bottom"/>
            <w:gridSpan w:val="2"/>
          </w:tcPr>
          <w:p>
            <w:pPr>
              <w:jc w:val="right"/>
              <w:ind w:right="79"/>
              <w:spacing w:after="0" w:line="184"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p>
        </w:tc>
        <w:tc>
          <w:tcPr>
            <w:tcW w:w="520" w:type="dxa"/>
            <w:vAlign w:val="bottom"/>
          </w:tcPr>
          <w:p>
            <w:pPr>
              <w:ind w:left="160"/>
              <w:spacing w:after="0" w:line="184" w:lineRule="exact"/>
              <w:rPr>
                <w:sz w:val="20"/>
                <w:szCs w:val="20"/>
                <w:color w:val="auto"/>
              </w:rPr>
            </w:pPr>
            <w:r>
              <w:rPr>
                <w:rFonts w:ascii="Arial" w:cs="Arial" w:eastAsia="Arial" w:hAnsi="Arial"/>
                <w:sz w:val="13"/>
                <w:szCs w:val="13"/>
                <w:color w:val="auto"/>
                <w:w w:val="93"/>
              </w:rPr>
              <w:t xml:space="preserve">No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bl>
    <w:p>
      <w:pPr>
        <w:spacing w:after="0" w:line="149" w:lineRule="exact"/>
        <w:rPr>
          <w:sz w:val="24"/>
          <w:szCs w:val="24"/>
          <w:color w:val="auto"/>
        </w:rPr>
      </w:pPr>
    </w:p>
    <w:p>
      <w:pPr>
        <w:jc w:val="both"/>
        <w:ind w:left="5"/>
        <w:spacing w:after="0" w:line="230"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$35,741,000,000, computed by reference to the closing sales price of the stock on NASDAQ on June 29, 2018,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86" w:lineRule="exact"/>
        <w:rPr>
          <w:sz w:val="24"/>
          <w:szCs w:val="24"/>
          <w:color w:val="auto"/>
        </w:rPr>
      </w:pPr>
    </w:p>
    <w:tbl>
      <w:tblPr>
        <w:tblLayout w:type="fixed"/>
        <w:tblInd w:w="5" w:type="dxa"/>
        <w:tblCellMar>
          <w:top w:w="0" w:type="dxa"/>
          <w:left w:w="0" w:type="dxa"/>
          <w:bottom w:w="0" w:type="dxa"/>
          <w:right w:w="0" w:type="dxa"/>
        </w:tblCellMar>
      </w:tblPr>
      <w:tr>
        <w:trPr>
          <w:trHeight w:val="160"/>
        </w:trPr>
        <w:tc>
          <w:tcPr>
            <w:tcW w:w="5740" w:type="dxa"/>
            <w:vAlign w:val="bottom"/>
            <w:gridSpan w:val="3"/>
          </w:tcPr>
          <w:p>
            <w:pPr>
              <w:spacing w:after="0"/>
              <w:rPr>
                <w:sz w:val="20"/>
                <w:szCs w:val="20"/>
                <w:color w:val="auto"/>
              </w:rPr>
            </w:pPr>
            <w:r>
              <w:rPr>
                <w:rFonts w:ascii="Arial" w:cs="Arial" w:eastAsia="Arial" w:hAnsi="Arial"/>
                <w:sz w:val="13"/>
                <w:szCs w:val="13"/>
                <w:color w:val="auto"/>
                <w:w w:val="90"/>
              </w:rPr>
              <w:t>The number of shares outstanding of each of the registrant's classes of common stock as of January 31, 2019:</w:t>
            </w:r>
          </w:p>
        </w:tc>
        <w:tc>
          <w:tcPr>
            <w:tcW w:w="2140" w:type="dxa"/>
            <w:vAlign w:val="bottom"/>
          </w:tcPr>
          <w:p>
            <w:pPr>
              <w:spacing w:after="0"/>
              <w:rPr>
                <w:sz w:val="13"/>
                <w:szCs w:val="13"/>
                <w:color w:val="auto"/>
              </w:rPr>
            </w:pPr>
          </w:p>
        </w:tc>
      </w:tr>
      <w:tr>
        <w:trPr>
          <w:trHeight w:val="415"/>
        </w:trPr>
        <w:tc>
          <w:tcPr>
            <w:tcW w:w="348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Number of Shares</w:t>
            </w:r>
          </w:p>
        </w:tc>
      </w:tr>
      <w:tr>
        <w:trPr>
          <w:trHeight w:val="241"/>
        </w:trPr>
        <w:tc>
          <w:tcPr>
            <w:tcW w:w="348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Class A Stock, $.001 par value</w:t>
            </w:r>
          </w:p>
        </w:tc>
        <w:tc>
          <w:tcPr>
            <w:tcW w:w="2140" w:type="dxa"/>
            <w:vAlign w:val="bottom"/>
          </w:tcPr>
          <w:p>
            <w:pPr>
              <w:jc w:val="right"/>
              <w:ind w:right="757"/>
              <w:spacing w:after="0"/>
              <w:rPr>
                <w:sz w:val="20"/>
                <w:szCs w:val="20"/>
                <w:color w:val="auto"/>
              </w:rPr>
            </w:pPr>
            <w:r>
              <w:rPr>
                <w:rFonts w:ascii="Arial" w:cs="Arial" w:eastAsia="Arial" w:hAnsi="Arial"/>
                <w:sz w:val="13"/>
                <w:szCs w:val="13"/>
                <w:color w:val="auto"/>
              </w:rPr>
              <w:t>1,911,354</w:t>
            </w:r>
          </w:p>
        </w:tc>
      </w:tr>
      <w:tr>
        <w:trPr>
          <w:trHeight w:val="270"/>
        </w:trPr>
        <w:tc>
          <w:tcPr>
            <w:tcW w:w="348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2140" w:type="dxa"/>
            <w:vAlign w:val="bottom"/>
          </w:tcPr>
          <w:p>
            <w:pPr>
              <w:jc w:val="right"/>
              <w:ind w:right="697"/>
              <w:spacing w:after="0"/>
              <w:rPr>
                <w:sz w:val="20"/>
                <w:szCs w:val="20"/>
                <w:color w:val="auto"/>
              </w:rPr>
            </w:pPr>
            <w:r>
              <w:rPr>
                <w:rFonts w:ascii="Arial" w:cs="Arial" w:eastAsia="Arial" w:hAnsi="Arial"/>
                <w:sz w:val="13"/>
                <w:szCs w:val="13"/>
                <w:color w:val="auto"/>
              </w:rPr>
              <w:t>107,365,835</w:t>
            </w:r>
          </w:p>
        </w:tc>
      </w:tr>
    </w:tbl>
    <w:p>
      <w:pPr>
        <w:spacing w:after="0" w:line="160"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DOCUMENTS INCORPORATED BY REFERENCE</w:t>
      </w:r>
    </w:p>
    <w:p>
      <w:pPr>
        <w:spacing w:after="0" w:line="179" w:lineRule="exact"/>
        <w:rPr>
          <w:sz w:val="24"/>
          <w:szCs w:val="24"/>
          <w:color w:val="auto"/>
        </w:rPr>
      </w:pPr>
    </w:p>
    <w:p>
      <w:pPr>
        <w:ind w:left="5"/>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2019 Annual Meeting of Shareholders are incorporated by reference into Part III of this Form 10-K.</w:t>
      </w:r>
    </w:p>
    <w:p>
      <w:pPr>
        <w:spacing w:after="0" w:line="19" w:lineRule="exact"/>
        <w:rPr>
          <w:sz w:val="24"/>
          <w:szCs w:val="24"/>
          <w:color w:val="auto"/>
        </w:rPr>
      </w:pPr>
    </w:p>
    <w:p>
      <w:pPr>
        <w:ind w:left="5"/>
        <w:spacing w:after="0"/>
        <w:rPr>
          <w:sz w:val="20"/>
          <w:szCs w:val="20"/>
          <w:color w:val="auto"/>
        </w:rPr>
      </w:pPr>
      <w:r>
        <w:rPr>
          <w:rFonts w:ascii="Arial" w:cs="Arial" w:eastAsia="Arial" w:hAnsi="Arial"/>
          <w:sz w:val="13"/>
          <w:szCs w:val="13"/>
          <w:color w:val="auto"/>
        </w:rPr>
        <w:t>Exhibit index is located on pages 78 to 83 of this filing.</w:t>
      </w:r>
    </w:p>
    <w:p>
      <w:pPr>
        <w:sectPr>
          <w:pgSz w:w="11900" w:h="16838" w:orient="portrait"/>
          <w:cols w:equalWidth="0" w:num="1">
            <w:col w:w="11345"/>
          </w:cols>
          <w:pgMar w:left="275" w:top="472"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FF"/>
            </w:tcBorders>
            <w:gridSpan w:val="2"/>
            <w:shd w:val="clear" w:color="auto" w:fill="CCEEFF"/>
          </w:tcPr>
          <w:p>
            <w:pPr>
              <w:spacing w:after="0" w:line="202" w:lineRule="exact"/>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680" w:type="dxa"/>
            <w:vAlign w:val="bottom"/>
            <w:tcBorders>
              <w:bottom w:val="single" w:sz="8" w:color="CCEEFF"/>
            </w:tcBorders>
            <w:gridSpan w:val="5"/>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Item 1A.</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FF"/>
                <w:w w:val="92"/>
              </w:rPr>
            </w:pPr>
            <w:hyperlink w:anchor="page58">
              <w:r>
                <w:rPr>
                  <w:rFonts w:ascii="Arial" w:cs="Arial" w:eastAsia="Arial" w:hAnsi="Arial"/>
                  <w:sz w:val="18"/>
                  <w:szCs w:val="18"/>
                  <w:color w:val="0000FF"/>
                  <w:w w:val="92"/>
                </w:rPr>
                <w:t>Item 1B.</w:t>
              </w:r>
            </w:hyperlink>
          </w:p>
        </w:tc>
        <w:tc>
          <w:tcPr>
            <w:tcW w:w="640" w:type="dxa"/>
            <w:vAlign w:val="bottom"/>
            <w:gridSpan w:val="4"/>
          </w:tcPr>
          <w:p>
            <w:pPr>
              <w:spacing w:after="0"/>
              <w:rPr>
                <w:sz w:val="17"/>
                <w:szCs w:val="17"/>
                <w:color w:val="auto"/>
              </w:rPr>
            </w:pPr>
          </w:p>
        </w:tc>
        <w:tc>
          <w:tcPr>
            <w:tcW w:w="7140" w:type="dxa"/>
            <w:vAlign w:val="bottom"/>
            <w:gridSpan w:val="26"/>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Unresolved Staff Comments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Item 2.</w:t>
              </w:r>
            </w:hyperlink>
          </w:p>
        </w:tc>
        <w:tc>
          <w:tcPr>
            <w:tcW w:w="760" w:type="dxa"/>
            <w:vAlign w:val="bottom"/>
            <w:gridSpan w:val="6"/>
            <w:shd w:val="clear" w:color="auto" w:fill="CCEEFF"/>
          </w:tcPr>
          <w:p>
            <w:pPr>
              <w:spacing w:after="0"/>
              <w:rPr>
                <w:sz w:val="17"/>
                <w:szCs w:val="17"/>
                <w:color w:val="auto"/>
              </w:rPr>
            </w:pPr>
          </w:p>
        </w:tc>
        <w:tc>
          <w:tcPr>
            <w:tcW w:w="740" w:type="dxa"/>
            <w:vAlign w:val="bottom"/>
            <w:gridSpan w:val="3"/>
            <w:shd w:val="clear" w:color="auto" w:fill="CCEEFF"/>
          </w:tcPr>
          <w:p>
            <w:pPr>
              <w:spacing w:after="0" w:line="202" w:lineRule="exact"/>
              <w:rPr>
                <w:rFonts w:ascii="Arial" w:cs="Arial" w:eastAsia="Arial" w:hAnsi="Arial"/>
                <w:sz w:val="18"/>
                <w:szCs w:val="18"/>
                <w:color w:val="0000FF"/>
                <w:w w:val="87"/>
              </w:rPr>
            </w:pPr>
            <w:hyperlink w:anchor="page58">
              <w:r>
                <w:rPr>
                  <w:rFonts w:ascii="Arial" w:cs="Arial" w:eastAsia="Arial" w:hAnsi="Arial"/>
                  <w:sz w:val="18"/>
                  <w:szCs w:val="18"/>
                  <w:color w:val="0000FF"/>
                  <w:w w:val="87"/>
                </w:rPr>
                <w:t>Properties</w:t>
              </w:r>
            </w:hyperlink>
          </w:p>
        </w:tc>
        <w:tc>
          <w:tcPr>
            <w:tcW w:w="6400" w:type="dxa"/>
            <w:vAlign w:val="bottom"/>
            <w:gridSpan w:val="2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Item 3.</w:t>
              </w:r>
            </w:hyperlink>
          </w:p>
        </w:tc>
        <w:tc>
          <w:tcPr>
            <w:tcW w:w="760" w:type="dxa"/>
            <w:vAlign w:val="bottom"/>
            <w:gridSpan w:val="6"/>
          </w:tcPr>
          <w:p>
            <w:pPr>
              <w:spacing w:after="0"/>
              <w:rPr>
                <w:sz w:val="17"/>
                <w:szCs w:val="17"/>
                <w:color w:val="auto"/>
              </w:rPr>
            </w:pPr>
          </w:p>
        </w:tc>
        <w:tc>
          <w:tcPr>
            <w:tcW w:w="7140" w:type="dxa"/>
            <w:vAlign w:val="bottom"/>
            <w:gridSpan w:val="26"/>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Legal Proceedings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Item 4.</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Mine Safety Disclosures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58</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PART II</w:t>
              </w:r>
            </w:hyperlink>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line="202"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Item 5.</w:t>
              </w:r>
            </w:hyperlink>
          </w:p>
        </w:tc>
        <w:tc>
          <w:tcPr>
            <w:tcW w:w="140" w:type="dxa"/>
            <w:vAlign w:val="bottom"/>
            <w:tcBorders>
              <w:top w:val="single" w:sz="8" w:color="0000FF"/>
            </w:tcBorders>
            <w:gridSpan w:val="3"/>
          </w:tcPr>
          <w:p>
            <w:pPr>
              <w:spacing w:after="0"/>
              <w:rPr>
                <w:sz w:val="17"/>
                <w:szCs w:val="17"/>
                <w:color w:val="auto"/>
              </w:rPr>
            </w:pPr>
          </w:p>
        </w:tc>
        <w:tc>
          <w:tcPr>
            <w:tcW w:w="620" w:type="dxa"/>
            <w:vAlign w:val="bottom"/>
            <w:tcBorders>
              <w:top w:val="single" w:sz="8" w:color="CCEEFF"/>
            </w:tcBorders>
            <w:gridSpan w:val="3"/>
          </w:tcPr>
          <w:p>
            <w:pPr>
              <w:spacing w:after="0"/>
              <w:rPr>
                <w:sz w:val="17"/>
                <w:szCs w:val="17"/>
                <w:color w:val="auto"/>
              </w:rPr>
            </w:pPr>
          </w:p>
        </w:tc>
        <w:tc>
          <w:tcPr>
            <w:tcW w:w="5880" w:type="dxa"/>
            <w:vAlign w:val="bottom"/>
            <w:tcBorders>
              <w:top w:val="single" w:sz="8" w:color="CCEEFF"/>
            </w:tcBorders>
            <w:gridSpan w:val="25"/>
          </w:tcPr>
          <w:p>
            <w:pPr>
              <w:spacing w:after="0" w:line="202"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Market for Registrant's Common Equity, Related Stockholder Matters, and Issuer</w:t>
              </w:r>
            </w:hyperlink>
          </w:p>
        </w:tc>
        <w:tc>
          <w:tcPr>
            <w:tcW w:w="12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gridSpan w:val="2"/>
          </w:tcPr>
          <w:p>
            <w:pPr>
              <w:jc w:val="center"/>
              <w:ind w:left="390"/>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59</w:t>
              </w:r>
            </w:hyperlink>
          </w:p>
        </w:tc>
        <w:tc>
          <w:tcPr>
            <w:tcW w:w="4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Purchases of Equity Securities</w:t>
              </w:r>
            </w:hyperlink>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Item 6.</w:t>
              </w:r>
            </w:hyperlink>
          </w:p>
        </w:tc>
        <w:tc>
          <w:tcPr>
            <w:tcW w:w="760" w:type="dxa"/>
            <w:vAlign w:val="bottom"/>
            <w:gridSpan w:val="6"/>
            <w:shd w:val="clear" w:color="auto" w:fill="CCEEFF"/>
          </w:tcPr>
          <w:p>
            <w:pPr>
              <w:spacing w:after="0"/>
              <w:rPr>
                <w:sz w:val="17"/>
                <w:szCs w:val="17"/>
                <w:color w:val="auto"/>
              </w:rPr>
            </w:pPr>
          </w:p>
        </w:tc>
        <w:tc>
          <w:tcPr>
            <w:tcW w:w="1720" w:type="dxa"/>
            <w:vAlign w:val="bottom"/>
            <w:gridSpan w:val="11"/>
            <w:shd w:val="clear" w:color="auto" w:fill="CCEEFF"/>
          </w:tcPr>
          <w:p>
            <w:pPr>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Selected Financial Data</w:t>
              </w:r>
            </w:hyperlink>
          </w:p>
        </w:tc>
        <w:tc>
          <w:tcPr>
            <w:tcW w:w="5420" w:type="dxa"/>
            <w:vAlign w:val="bottom"/>
            <w:gridSpan w:val="15"/>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60</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62">
              <w:r>
                <w:rPr>
                  <w:rFonts w:ascii="Arial" w:cs="Arial" w:eastAsia="Arial" w:hAnsi="Arial"/>
                  <w:sz w:val="18"/>
                  <w:szCs w:val="18"/>
                  <w:color w:val="0000FF"/>
                  <w:w w:val="90"/>
                </w:rPr>
                <w:t>Item 7.</w:t>
              </w:r>
            </w:hyperlink>
          </w:p>
        </w:tc>
        <w:tc>
          <w:tcPr>
            <w:tcW w:w="760" w:type="dxa"/>
            <w:vAlign w:val="bottom"/>
            <w:gridSpan w:val="6"/>
          </w:tcPr>
          <w:p>
            <w:pPr>
              <w:spacing w:after="0"/>
              <w:rPr>
                <w:sz w:val="17"/>
                <w:szCs w:val="17"/>
                <w:color w:val="auto"/>
              </w:rPr>
            </w:pPr>
          </w:p>
        </w:tc>
        <w:tc>
          <w:tcPr>
            <w:tcW w:w="5620" w:type="dxa"/>
            <w:vAlign w:val="bottom"/>
            <w:gridSpan w:val="22"/>
          </w:tcPr>
          <w:p>
            <w:pPr>
              <w:spacing w:after="0" w:line="202" w:lineRule="exact"/>
              <w:rPr>
                <w:rFonts w:ascii="Arial" w:cs="Arial" w:eastAsia="Arial" w:hAnsi="Arial"/>
                <w:sz w:val="18"/>
                <w:szCs w:val="18"/>
                <w:color w:val="0000FF"/>
                <w:w w:val="91"/>
              </w:rPr>
            </w:pPr>
            <w:hyperlink w:anchor="page62">
              <w:r>
                <w:rPr>
                  <w:rFonts w:ascii="Arial" w:cs="Arial" w:eastAsia="Arial" w:hAnsi="Arial"/>
                  <w:sz w:val="18"/>
                  <w:szCs w:val="18"/>
                  <w:color w:val="0000FF"/>
                  <w:w w:val="91"/>
                </w:rPr>
                <w:t>Management's Discussion and Analysis of Financial Condition and Results of</w:t>
              </w:r>
            </w:hyperlink>
          </w:p>
        </w:tc>
        <w:tc>
          <w:tcPr>
            <w:tcW w:w="1520" w:type="dxa"/>
            <w:vAlign w:val="bottom"/>
            <w:gridSpan w:val="4"/>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61</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Operations</w:t>
              </w:r>
            </w:hyperlink>
          </w:p>
        </w:tc>
        <w:tc>
          <w:tcPr>
            <w:tcW w:w="15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7A.</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76</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Item 8.</w:t>
              </w:r>
            </w:hyperlink>
          </w:p>
        </w:tc>
        <w:tc>
          <w:tcPr>
            <w:tcW w:w="640" w:type="dxa"/>
            <w:vAlign w:val="bottom"/>
            <w:gridSpan w:val="4"/>
          </w:tcPr>
          <w:p>
            <w:pPr>
              <w:spacing w:after="0"/>
              <w:rPr>
                <w:sz w:val="17"/>
                <w:szCs w:val="17"/>
                <w:color w:val="auto"/>
              </w:rPr>
            </w:pPr>
          </w:p>
        </w:tc>
        <w:tc>
          <w:tcPr>
            <w:tcW w:w="4360" w:type="dxa"/>
            <w:vAlign w:val="bottom"/>
            <w:gridSpan w:val="20"/>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Financial Statements and Supplementary Data</w:t>
              </w:r>
            </w:hyperlink>
          </w:p>
        </w:tc>
        <w:tc>
          <w:tcPr>
            <w:tcW w:w="2780" w:type="dxa"/>
            <w:vAlign w:val="bottom"/>
            <w:gridSpan w:val="6"/>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77</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Item 9.</w:t>
              </w:r>
            </w:hyperlink>
          </w:p>
        </w:tc>
        <w:tc>
          <w:tcPr>
            <w:tcW w:w="760" w:type="dxa"/>
            <w:vAlign w:val="bottom"/>
            <w:gridSpan w:val="6"/>
            <w:shd w:val="clear" w:color="auto" w:fill="CCEEFF"/>
          </w:tcPr>
          <w:p>
            <w:pPr>
              <w:spacing w:after="0"/>
              <w:rPr>
                <w:sz w:val="17"/>
                <w:szCs w:val="17"/>
                <w:color w:val="auto"/>
              </w:rPr>
            </w:pPr>
          </w:p>
        </w:tc>
        <w:tc>
          <w:tcPr>
            <w:tcW w:w="5680" w:type="dxa"/>
            <w:vAlign w:val="bottom"/>
            <w:gridSpan w:val="23"/>
            <w:shd w:val="clear" w:color="auto" w:fill="CCEEFF"/>
          </w:tcPr>
          <w:p>
            <w:pPr>
              <w:spacing w:after="0" w:line="202"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Changes in and Disagreements with Accountants on Accounting and Financial</w:t>
              </w:r>
            </w:hyperlink>
          </w:p>
        </w:tc>
        <w:tc>
          <w:tcPr>
            <w:tcW w:w="1460" w:type="dxa"/>
            <w:vAlign w:val="bottom"/>
            <w:gridSpan w:val="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77</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Disclosure</w:t>
              </w:r>
            </w:hyperlink>
          </w:p>
        </w:tc>
        <w:tc>
          <w:tcPr>
            <w:tcW w:w="4900" w:type="dxa"/>
            <w:vAlign w:val="bottom"/>
            <w:tcBorders>
              <w:top w:val="single" w:sz="8" w:color="0000FF"/>
              <w:bottom w:val="single" w:sz="8" w:color="CCEEFF"/>
            </w:tcBorders>
            <w:gridSpan w:val="19"/>
            <w:shd w:val="clear" w:color="auto" w:fill="CCEEFF"/>
          </w:tcPr>
          <w:p>
            <w:pPr>
              <w:spacing w:after="0"/>
              <w:rPr>
                <w:sz w:val="21"/>
                <w:szCs w:val="21"/>
                <w:color w:val="auto"/>
              </w:rPr>
            </w:pPr>
          </w:p>
        </w:tc>
        <w:tc>
          <w:tcPr>
            <w:tcW w:w="146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Item 9A.</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Controls and Procedures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77</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9B.</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Other Information</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b w:val="1"/>
                <w:bCs w:val="1"/>
                <w:color w:val="0000FF"/>
              </w:rPr>
            </w:pPr>
            <w:hyperlink w:anchor="page79">
              <w:r>
                <w:rPr>
                  <w:rFonts w:ascii="Arial" w:cs="Arial" w:eastAsia="Arial" w:hAnsi="Arial"/>
                  <w:sz w:val="18"/>
                  <w:szCs w:val="18"/>
                  <w:b w:val="1"/>
                  <w:bCs w:val="1"/>
                  <w:color w:val="0000FF"/>
                </w:rPr>
                <w:t>PART III</w:t>
              </w:r>
            </w:hyperlink>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10.</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Directors, Executive Officers and Corporate Governance</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Item 11.</w:t>
              </w:r>
            </w:hyperlink>
          </w:p>
        </w:tc>
        <w:tc>
          <w:tcPr>
            <w:tcW w:w="680" w:type="dxa"/>
            <w:vAlign w:val="bottom"/>
            <w:gridSpan w:val="5"/>
            <w:shd w:val="clear" w:color="auto" w:fill="CCEEFF"/>
          </w:tcPr>
          <w:p>
            <w:pPr>
              <w:spacing w:after="0"/>
              <w:rPr>
                <w:sz w:val="17"/>
                <w:szCs w:val="17"/>
                <w:color w:val="auto"/>
              </w:rPr>
            </w:pPr>
          </w:p>
        </w:tc>
        <w:tc>
          <w:tcPr>
            <w:tcW w:w="1820" w:type="dxa"/>
            <w:vAlign w:val="bottom"/>
            <w:gridSpan w:val="13"/>
            <w:shd w:val="clear" w:color="auto" w:fill="CCEEFF"/>
          </w:tcPr>
          <w:p>
            <w:pPr>
              <w:spacing w:after="0" w:line="202" w:lineRule="exact"/>
              <w:rPr>
                <w:rFonts w:ascii="Arial" w:cs="Arial" w:eastAsia="Arial" w:hAnsi="Arial"/>
                <w:sz w:val="18"/>
                <w:szCs w:val="18"/>
                <w:color w:val="0000FF"/>
                <w:w w:val="90"/>
              </w:rPr>
            </w:pPr>
            <w:hyperlink w:anchor="page79">
              <w:r>
                <w:rPr>
                  <w:rFonts w:ascii="Arial" w:cs="Arial" w:eastAsia="Arial" w:hAnsi="Arial"/>
                  <w:sz w:val="18"/>
                  <w:szCs w:val="18"/>
                  <w:color w:val="0000FF"/>
                  <w:w w:val="90"/>
                </w:rPr>
                <w:t>Executive Compensation</w:t>
              </w:r>
            </w:hyperlink>
          </w:p>
        </w:tc>
        <w:tc>
          <w:tcPr>
            <w:tcW w:w="5320" w:type="dxa"/>
            <w:vAlign w:val="bottom"/>
            <w:gridSpan w:val="13"/>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12.</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Security Ownership of Certain Beneficial Owners and Management and Related</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Stockholder Matters</w:t>
              </w:r>
            </w:hyperlink>
          </w:p>
        </w:tc>
        <w:tc>
          <w:tcPr>
            <w:tcW w:w="13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13.</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Certain Relationships and Related Transactions, and Director Independence</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14.</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Principal Accounting Fees and Services</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7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b w:val="1"/>
                <w:bCs w:val="1"/>
                <w:color w:val="0000FF"/>
              </w:rPr>
            </w:pPr>
            <w:hyperlink w:anchor="page79">
              <w:r>
                <w:rPr>
                  <w:rFonts w:ascii="Arial" w:cs="Arial" w:eastAsia="Arial" w:hAnsi="Arial"/>
                  <w:sz w:val="18"/>
                  <w:szCs w:val="18"/>
                  <w:b w:val="1"/>
                  <w:bCs w:val="1"/>
                  <w:color w:val="0000FF"/>
                </w:rPr>
                <w:t>PART IV</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80" w:type="dxa"/>
            <w:vAlign w:val="bottom"/>
            <w:gridSpan w:val="7"/>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Item 15.</w:t>
              </w:r>
            </w:hyperlink>
          </w:p>
        </w:tc>
        <w:tc>
          <w:tcPr>
            <w:tcW w:w="7140" w:type="dxa"/>
            <w:vAlign w:val="bottom"/>
            <w:gridSpan w:val="26"/>
            <w:shd w:val="clear" w:color="auto" w:fill="CCEEFF"/>
          </w:tcPr>
          <w:p>
            <w:pPr>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Exhibits and Financial Statement Schedules</w:t>
              </w:r>
            </w:hyperlink>
          </w:p>
        </w:tc>
        <w:tc>
          <w:tcPr>
            <w:tcW w:w="660" w:type="dxa"/>
            <w:vAlign w:val="bottom"/>
            <w:tcBorders>
              <w:right w:val="single" w:sz="8" w:color="CCEEFF"/>
            </w:tcBorders>
            <w:gridSpan w:val="2"/>
            <w:shd w:val="clear" w:color="auto" w:fill="CCEEFF"/>
          </w:tcPr>
          <w:p>
            <w:pPr>
              <w:jc w:val="center"/>
              <w:ind w:left="390"/>
              <w:spacing w:after="0" w:line="20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78</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80" w:type="dxa"/>
            <w:vAlign w:val="bottom"/>
            <w:gridSpan w:val="7"/>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Item 16.</w:t>
              </w:r>
            </w:hyperlink>
          </w:p>
        </w:tc>
        <w:tc>
          <w:tcPr>
            <w:tcW w:w="7140" w:type="dxa"/>
            <w:vAlign w:val="bottom"/>
            <w:gridSpan w:val="26"/>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Form 10-K Summary</w:t>
              </w:r>
            </w:hyperlink>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78"/>
        </w:trPr>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600" w:type="dxa"/>
            <w:vAlign w:val="bottom"/>
            <w:gridSpan w:val="8"/>
          </w:tcPr>
          <w:p>
            <w:pPr>
              <w:spacing w:after="0" w:line="202" w:lineRule="exact"/>
              <w:rPr>
                <w:rFonts w:ascii="Arial" w:cs="Arial" w:eastAsia="Arial" w:hAnsi="Arial"/>
                <w:sz w:val="18"/>
                <w:szCs w:val="18"/>
                <w:b w:val="1"/>
                <w:bCs w:val="1"/>
                <w:color w:val="0000FF"/>
                <w:w w:val="97"/>
              </w:rPr>
            </w:pPr>
            <w:hyperlink w:anchor="page85">
              <w:r>
                <w:rPr>
                  <w:rFonts w:ascii="Arial" w:cs="Arial" w:eastAsia="Arial" w:hAnsi="Arial"/>
                  <w:sz w:val="18"/>
                  <w:szCs w:val="18"/>
                  <w:b w:val="1"/>
                  <w:bCs w:val="1"/>
                  <w:color w:val="0000FF"/>
                  <w:w w:val="97"/>
                </w:rPr>
                <w:t>SIGNATURE PAGE</w:t>
              </w:r>
            </w:hyperlink>
          </w:p>
        </w:tc>
        <w:tc>
          <w:tcPr>
            <w:tcW w:w="6820" w:type="dxa"/>
            <w:vAlign w:val="bottom"/>
            <w:gridSpan w:val="25"/>
          </w:tcPr>
          <w:p>
            <w:pPr>
              <w:spacing w:after="0"/>
              <w:rPr>
                <w:sz w:val="17"/>
                <w:szCs w:val="17"/>
                <w:color w:val="auto"/>
              </w:rPr>
            </w:pPr>
          </w:p>
        </w:tc>
        <w:tc>
          <w:tcPr>
            <w:tcW w:w="660" w:type="dxa"/>
            <w:vAlign w:val="bottom"/>
            <w:gridSpan w:val="2"/>
          </w:tcPr>
          <w:p>
            <w:pPr>
              <w:jc w:val="center"/>
              <w:ind w:left="390"/>
              <w:spacing w:after="0" w:line="202"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40"/>
        <w:spacing w:after="0" w:line="21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"Libtayo</w:t>
      </w:r>
      <w:r>
        <w:rPr>
          <w:rFonts w:ascii="Arial" w:cs="Arial" w:eastAsia="Arial" w:hAnsi="Arial"/>
          <w:sz w:val="25"/>
          <w:szCs w:val="25"/>
          <w:color w:val="auto"/>
          <w:vertAlign w:val="superscript"/>
        </w:rPr>
        <w:t>®</w:t>
      </w:r>
      <w:r>
        <w:rPr>
          <w:rFonts w:ascii="Arial" w:cs="Arial" w:eastAsia="Arial" w:hAnsi="Arial"/>
          <w:sz w:val="18"/>
          <w:szCs w:val="18"/>
          <w:color w:val="auto"/>
        </w:rPr>
        <w:t>" (in the United States), "Regeneron</w:t>
      </w:r>
      <w:r>
        <w:rPr>
          <w:rFonts w:ascii="Arial" w:cs="Arial" w:eastAsia="Arial" w:hAnsi="Arial"/>
          <w:sz w:val="25"/>
          <w:szCs w:val="25"/>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5"/>
          <w:szCs w:val="25"/>
          <w:color w:val="auto"/>
          <w:vertAlign w:val="superscript"/>
        </w:rPr>
        <w:t>TM</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280"/>
          </w:cols>
          <w:pgMar w:left="240" w:top="130" w:right="3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Libtayo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(cemiplimab) Injection, fasinumab, and evinacumab; the likelihood and timing of achieving any of our anticipated clinical development milestones and the impact of the recent and any potential future U.S. government shutdowns on the anticipated timing of any U.S. Food and Drug Administration regulatory action referenced in this report;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described further in Note 17 to our Consolidated Financial Statements included in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30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895.5</w:t>
            </w:r>
          </w:p>
        </w:tc>
      </w:tr>
      <w:tr>
        <w:trPr>
          <w:trHeight w:val="27"/>
        </w:trPr>
        <w:tc>
          <w:tcPr>
            <w:tcW w:w="3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594"/>
        </w:trPr>
        <w:tc>
          <w:tcPr>
            <w:tcW w:w="30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Territory</w:t>
            </w: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Certain other</w:t>
            </w: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countries outside</w:t>
            </w:r>
          </w:p>
        </w:tc>
      </w:tr>
      <w:tr>
        <w:trPr>
          <w:trHeight w:val="261"/>
        </w:trPr>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Product</w:t>
            </w:r>
          </w:p>
        </w:tc>
        <w:tc>
          <w:tcPr>
            <w:tcW w:w="200" w:type="dxa"/>
            <w:vAlign w:val="bottom"/>
            <w:tcBorders>
              <w:bottom w:val="single" w:sz="8" w:color="CCEEFF"/>
            </w:tcBorders>
          </w:tcPr>
          <w:p>
            <w:pPr>
              <w:spacing w:after="0"/>
              <w:rPr>
                <w:sz w:val="22"/>
                <w:szCs w:val="22"/>
                <w:color w:val="auto"/>
              </w:rPr>
            </w:pPr>
          </w:p>
        </w:tc>
        <w:tc>
          <w:tcPr>
            <w:tcW w:w="3220" w:type="dxa"/>
            <w:vAlign w:val="bottom"/>
            <w:tcBorders>
              <w:bottom w:val="single" w:sz="8" w:color="auto"/>
            </w:tcBorders>
          </w:tcPr>
          <w:p>
            <w:pPr>
              <w:ind w:left="1040"/>
              <w:spacing w:after="0" w:line="262"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EU</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Japan</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U.S.</w:t>
            </w:r>
          </w:p>
        </w:tc>
      </w:tr>
      <w:tr>
        <w:trPr>
          <w:trHeight w:val="222"/>
        </w:trPr>
        <w:tc>
          <w:tcPr>
            <w:tcW w:w="306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Neovascular age-related macular</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degeneration (wet AMD)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0"/>
        </w:trPr>
        <w:tc>
          <w:tcPr>
            <w:tcW w:w="306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0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occlusion (RVO), which includes macular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edema following central retinal vein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(CRVO) and macular edema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following branch retinal vein occlusion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(BRVO)</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56"/>
        </w:trPr>
        <w:tc>
          <w:tcPr>
            <w:tcW w:w="30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Myopic choroidal neovascularization</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(mCNV)</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7"/>
        </w:trPr>
        <w:tc>
          <w:tcPr>
            <w:tcW w:w="3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Diabetic retinopathy in patients with DME</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83"/>
        </w:trPr>
        <w:tc>
          <w:tcPr>
            <w:tcW w:w="3060" w:type="dxa"/>
            <w:vAlign w:val="bottom"/>
          </w:tcPr>
          <w:p>
            <w:pPr>
              <w:ind w:left="20"/>
              <w:spacing w:after="0" w:line="283"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Atopic dermatitis (in adults)</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060" w:type="dxa"/>
            <w:vAlign w:val="bottom"/>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Asthma (in adults and adolescents)</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(3)</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Heterozygous familial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 (HeFH) or clinical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atherosclerotic cardiovascular disease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(ASCVD) (in adults)</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Kevzara (sarilumab) Solution for</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Ÿ Rheumatoid arthritis (RA) (in adults)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060" w:type="dxa"/>
            <w:vAlign w:val="bottom"/>
          </w:tcPr>
          <w:p>
            <w:pPr>
              <w:ind w:left="2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Libtayo (cemiplimab) Injection</w:t>
            </w:r>
            <w:r>
              <w:rPr>
                <w:rFonts w:ascii="Arial" w:cs="Arial" w:eastAsia="Arial" w:hAnsi="Arial"/>
                <w:sz w:val="25"/>
                <w:szCs w:val="25"/>
                <w:color w:val="auto"/>
                <w:vertAlign w:val="superscript"/>
              </w:rPr>
              <w:t>(3)(5)</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Ÿ Metastatic or locally advanced cutaneous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9"/>
        </w:trPr>
        <w:tc>
          <w:tcPr>
            <w:tcW w:w="3060" w:type="dxa"/>
            <w:vAlign w:val="bottom"/>
          </w:tcPr>
          <w:p>
            <w:pPr>
              <w:ind w:left="2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(rilonacept) Injection for</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4"/>
              </w:rPr>
              <w:t>Ÿ Cryopyrin-Associated Periodic Syndromes</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Subcutaneous Use</w:t>
            </w:r>
          </w:p>
        </w:tc>
        <w:tc>
          <w:tcPr>
            <w:tcW w:w="2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(CAPS), including Familial Cold Auto-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inflammatory Syndrome (FCAS) and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Muckle-Wells Syndrome (MWS)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(ziv-aflibercept) Injection</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Metastatic colorectal cancer (mCRC)</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79"/>
              </w:rPr>
              <w:t>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0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for Intravenous Infusion</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bl>
    <w:p>
      <w:pPr>
        <w:spacing w:after="0" w:line="89" w:lineRule="exact"/>
        <w:rPr>
          <w:sz w:val="20"/>
          <w:szCs w:val="20"/>
          <w:color w:val="auto"/>
        </w:rPr>
      </w:pPr>
    </w:p>
    <w:p>
      <w:pPr>
        <w:ind w:left="720" w:hanging="199"/>
        <w:spacing w:after="0"/>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Refer to label information in each territory for specific indication</w:t>
      </w:r>
    </w:p>
    <w:p>
      <w:pPr>
        <w:spacing w:after="0" w:line="55"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collaboration with Bayer (outside the United States)</w:t>
      </w:r>
    </w:p>
    <w:p>
      <w:pPr>
        <w:spacing w:after="0" w:line="56" w:lineRule="exact"/>
        <w:rPr>
          <w:rFonts w:ascii="Arial" w:cs="Arial" w:eastAsia="Arial" w:hAnsi="Arial"/>
          <w:sz w:val="24"/>
          <w:szCs w:val="24"/>
          <w:color w:val="auto"/>
          <w:vertAlign w:val="superscript"/>
        </w:rPr>
      </w:pPr>
    </w:p>
    <w:p>
      <w:pPr>
        <w:ind w:left="720" w:hanging="199"/>
        <w:spacing w:after="0" w:line="186" w:lineRule="auto"/>
        <w:tabs>
          <w:tab w:leader="none" w:pos="7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collaboration with Sanofi</w:t>
      </w:r>
    </w:p>
    <w:p>
      <w:pPr>
        <w:spacing w:after="0" w:line="56" w:lineRule="exact"/>
        <w:rPr>
          <w:rFonts w:ascii="Arial" w:cs="Arial" w:eastAsia="Arial" w:hAnsi="Arial"/>
          <w:sz w:val="24"/>
          <w:szCs w:val="24"/>
          <w:color w:val="auto"/>
          <w:vertAlign w:val="superscript"/>
        </w:rPr>
      </w:pPr>
    </w:p>
    <w:p>
      <w:pPr>
        <w:ind w:left="520" w:right="540" w:firstLine="1"/>
        <w:spacing w:after="0" w:line="262" w:lineRule="auto"/>
        <w:tabs>
          <w:tab w:leader="none" w:pos="698"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Pursuant to a 2015 amended and restated ZALTRAP agreement, Sanofi is solely responsible for the development and commercialization of ZALTRAP, and Sanofi pays us a percentage of aggregate net sales of ZALTRAP</w:t>
      </w:r>
    </w:p>
    <w:p>
      <w:pPr>
        <w:spacing w:after="0" w:line="7" w:lineRule="exact"/>
        <w:rPr>
          <w:rFonts w:ascii="Arial" w:cs="Arial" w:eastAsia="Arial" w:hAnsi="Arial"/>
          <w:sz w:val="21"/>
          <w:szCs w:val="21"/>
          <w:color w:val="auto"/>
          <w:vertAlign w:val="superscript"/>
        </w:rPr>
      </w:pPr>
    </w:p>
    <w:p>
      <w:pPr>
        <w:ind w:left="700" w:hanging="179"/>
        <w:spacing w:after="0"/>
        <w:tabs>
          <w:tab w:leader="none" w:pos="70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Marketed as Libtayo (cemiplimab-rwlc) Injection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130" w:right="3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Net Product Sales of</w:t>
            </w:r>
          </w:p>
        </w:tc>
        <w:tc>
          <w:tcPr>
            <w:tcW w:w="7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Regeneron-Discovered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b w:val="1"/>
                <w:bCs w:val="1"/>
                <w:color w:val="auto"/>
                <w:w w:val="84"/>
              </w:rPr>
              <w:t>Products</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(2)</w:t>
            </w:r>
          </w:p>
        </w:tc>
        <w:tc>
          <w:tcPr>
            <w:tcW w:w="900" w:type="dxa"/>
            <w:vAlign w:val="bottom"/>
            <w:tcBorders>
              <w:top w:val="single" w:sz="8" w:color="auto"/>
              <w:bottom w:val="single" w:sz="8" w:color="auto"/>
            </w:tcBorders>
            <w:gridSpan w:val="2"/>
            <w:vMerge w:val="restart"/>
          </w:tcPr>
          <w:p>
            <w:pPr>
              <w:spacing w:after="0"/>
              <w:rPr>
                <w:sz w:val="12"/>
                <w:szCs w:val="12"/>
                <w:color w:val="auto"/>
              </w:rPr>
            </w:pPr>
          </w:p>
        </w:tc>
        <w:tc>
          <w:tcPr>
            <w:tcW w:w="5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8"/>
            <w:vMerge w:val="restart"/>
          </w:tcPr>
          <w:p>
            <w:pPr>
              <w:ind w:left="240"/>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40" w:type="dxa"/>
            <w:vAlign w:val="bottom"/>
            <w:gridSpan w:val="8"/>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9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U.S.</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0"/>
              <w:spacing w:after="0" w:line="264" w:lineRule="exact"/>
              <w:rPr>
                <w:sz w:val="20"/>
                <w:szCs w:val="20"/>
                <w:color w:val="auto"/>
              </w:rPr>
            </w:pPr>
            <w:r>
              <w:rPr>
                <w:rFonts w:ascii="Arial" w:cs="Arial" w:eastAsia="Arial" w:hAnsi="Arial"/>
                <w:sz w:val="18"/>
                <w:szCs w:val="18"/>
                <w:b w:val="1"/>
                <w:bCs w:val="1"/>
                <w:color w:val="auto"/>
                <w:w w:val="93"/>
              </w:rPr>
              <w:t>ROW</w:t>
            </w:r>
            <w:r>
              <w:rPr>
                <w:rFonts w:ascii="Arial" w:cs="Arial" w:eastAsia="Arial" w:hAnsi="Arial"/>
                <w:sz w:val="25"/>
                <w:szCs w:val="25"/>
                <w:b w:val="1"/>
                <w:bCs w:val="1"/>
                <w:color w:val="auto"/>
                <w:w w:val="93"/>
                <w:vertAlign w:val="superscript"/>
              </w:rPr>
              <w:t>(1)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gridSpan w:val="5"/>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9"/>
              </w:rPr>
              <w:t>4,076.7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2,668.9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6,745.6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3,701.9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2,226.9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5,928.8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3,323.1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1,872.3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5,195.4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Libtayo</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auto"/>
              </w:rPr>
              <w:t>ARCALYST</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7"/>
              </w:rPr>
              <w:t>Net product sales recorded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4,106.2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6"/>
              </w:rPr>
              <w:t>3,718.5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6"/>
              </w:rPr>
              <w:t>3,338.4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by Regeneron</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w:t>
      </w:r>
    </w:p>
    <w:tbl>
      <w:tblPr>
        <w:tblLayout w:type="fixed"/>
        <w:tblInd w:w="0" w:type="dxa"/>
        <w:tblCellMar>
          <w:top w:w="0" w:type="dxa"/>
          <w:left w:w="0" w:type="dxa"/>
          <w:bottom w:w="0" w:type="dxa"/>
          <w:right w:w="0" w:type="dxa"/>
        </w:tblCellMar>
      </w:tblPr>
      <w:tr>
        <w:trPr>
          <w:trHeight w:val="236"/>
        </w:trPr>
        <w:tc>
          <w:tcPr>
            <w:tcW w:w="1580" w:type="dxa"/>
            <w:vAlign w:val="bottom"/>
          </w:tcPr>
          <w:p>
            <w:pPr>
              <w:ind w:left="40"/>
              <w:spacing w:after="0"/>
              <w:rPr>
                <w:sz w:val="20"/>
                <w:szCs w:val="20"/>
                <w:color w:val="auto"/>
              </w:rPr>
            </w:pPr>
            <w:r>
              <w:rPr>
                <w:rFonts w:ascii="Arial" w:cs="Arial" w:eastAsia="Arial" w:hAnsi="Arial"/>
                <w:sz w:val="18"/>
                <w:szCs w:val="18"/>
                <w:color w:val="auto"/>
              </w:rPr>
              <w:t>Dupixent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776.3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922.0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256.5</w:t>
            </w:r>
          </w:p>
        </w:tc>
        <w:tc>
          <w:tcPr>
            <w:tcW w:w="3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r>
      <w:tr>
        <w:trPr>
          <w:trHeight w:val="243"/>
        </w:trPr>
        <w:tc>
          <w:tcPr>
            <w:tcW w:w="1580" w:type="dxa"/>
            <w:vAlign w:val="bottom"/>
          </w:tcPr>
          <w:p>
            <w:pPr>
              <w:ind w:left="40"/>
              <w:spacing w:after="0"/>
              <w:rPr>
                <w:sz w:val="20"/>
                <w:szCs w:val="20"/>
                <w:color w:val="auto"/>
              </w:rPr>
            </w:pPr>
            <w:r>
              <w:rPr>
                <w:rFonts w:ascii="Arial" w:cs="Arial" w:eastAsia="Arial" w:hAnsi="Arial"/>
                <w:sz w:val="18"/>
                <w:szCs w:val="18"/>
                <w:color w:val="auto"/>
              </w:rPr>
              <w:t>Kevzara</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74.7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96.6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ZALTRAP</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1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left="480" w:hanging="202"/>
        <w:spacing w:after="0"/>
        <w:tabs>
          <w:tab w:leader="none" w:pos="48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Rest of world</w:t>
      </w:r>
    </w:p>
    <w:p>
      <w:pPr>
        <w:spacing w:after="0" w:line="55" w:lineRule="exact"/>
        <w:rPr>
          <w:rFonts w:ascii="Arial" w:cs="Arial" w:eastAsia="Arial" w:hAnsi="Arial"/>
          <w:sz w:val="24"/>
          <w:szCs w:val="24"/>
          <w:color w:val="auto"/>
          <w:vertAlign w:val="superscript"/>
        </w:rPr>
      </w:pPr>
    </w:p>
    <w:p>
      <w:pPr>
        <w:ind w:left="280" w:right="240" w:hanging="2"/>
        <w:spacing w:after="0" w:line="224" w:lineRule="auto"/>
        <w:tabs>
          <w:tab w:leader="none" w:pos="472"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Bayer records net product sales of EYLEA outside the United States and Sanofi records global net product sales of Dupixent, Praluent, Kevzara, and ZALTRAP. Refer to "General" above and "Collaboration Agreements" below for further details.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7"/>
          <w:szCs w:val="17"/>
          <w:color w:val="auto"/>
        </w:rPr>
        <w:t xml:space="preserve">All 21 of our product candidates in clinical development were discovered in our research laboratories and are summarized below. We used our </w:t>
      </w:r>
      <w:r>
        <w:rPr>
          <w:rFonts w:ascii="Arial" w:cs="Arial" w:eastAsia="Arial" w:hAnsi="Arial"/>
          <w:sz w:val="17"/>
          <w:szCs w:val="17"/>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to generate each of the antibodies in the table below. There are numerous uncertainties associated with drug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Item 1A. "Risk Factors" for a description of these and other risks and uncertainties that may affect our clinical programs.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40" w:type="dxa"/>
            <w:vAlign w:val="bottom"/>
            <w:gridSpan w:val="2"/>
          </w:tcPr>
          <w:p>
            <w:pPr>
              <w:ind w:left="680"/>
              <w:spacing w:after="0"/>
              <w:rPr>
                <w:sz w:val="20"/>
                <w:szCs w:val="20"/>
                <w:color w:val="auto"/>
              </w:rPr>
            </w:pPr>
            <w:r>
              <w:rPr>
                <w:rFonts w:ascii="Arial" w:cs="Arial" w:eastAsia="Arial" w:hAnsi="Arial"/>
                <w:sz w:val="18"/>
                <w:szCs w:val="18"/>
                <w:b w:val="1"/>
                <w:bCs w:val="1"/>
                <w:color w:val="auto"/>
              </w:rPr>
              <w:t>Clinical Program</w:t>
            </w:r>
          </w:p>
        </w:tc>
        <w:tc>
          <w:tcPr>
            <w:tcW w:w="1860" w:type="dxa"/>
            <w:vAlign w:val="bottom"/>
          </w:tcPr>
          <w:p>
            <w:pPr>
              <w:ind w:left="620"/>
              <w:spacing w:after="0"/>
              <w:rPr>
                <w:sz w:val="20"/>
                <w:szCs w:val="20"/>
                <w:color w:val="auto"/>
              </w:rPr>
            </w:pPr>
            <w:r>
              <w:rPr>
                <w:rFonts w:ascii="Arial" w:cs="Arial" w:eastAsia="Arial" w:hAnsi="Arial"/>
                <w:sz w:val="18"/>
                <w:szCs w:val="18"/>
                <w:b w:val="1"/>
                <w:bCs w:val="1"/>
                <w:color w:val="auto"/>
              </w:rPr>
              <w:t>Phase 1</w:t>
            </w:r>
          </w:p>
        </w:tc>
        <w:tc>
          <w:tcPr>
            <w:tcW w:w="18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Phase 2</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EYLEA</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Dupixent (dupilumab)</w:t>
            </w:r>
            <w:r>
              <w:rPr>
                <w:rFonts w:ascii="Arial" w:cs="Arial" w:eastAsia="Arial" w:hAnsi="Arial"/>
                <w:sz w:val="25"/>
                <w:szCs w:val="25"/>
                <w:b w:val="1"/>
                <w:bCs w:val="1"/>
                <w:color w:val="auto"/>
                <w:vertAlign w:val="superscript"/>
              </w:rPr>
              <w:t>(a)</w:t>
            </w:r>
          </w:p>
        </w:tc>
        <w:tc>
          <w:tcPr>
            <w:tcW w:w="186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Ÿ Grass allergy</w:t>
            </w: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Antibody to IL-4R alpha subunit</w:t>
            </w:r>
          </w:p>
        </w:tc>
        <w:tc>
          <w:tcPr>
            <w:tcW w:w="1860" w:type="dxa"/>
            <w:vAlign w:val="bottom"/>
          </w:tcPr>
          <w:p>
            <w:pPr>
              <w:spacing w:after="0"/>
              <w:rPr>
                <w:sz w:val="20"/>
                <w:szCs w:val="20"/>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8"/>
                <w:szCs w:val="18"/>
                <w:color w:val="auto"/>
              </w:rPr>
              <w:t>Ÿ Peanut allergy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-831215</wp:posOffset>
            </wp:positionV>
            <wp:extent cx="7117715" cy="45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923"/>
        <w:spacing w:after="0"/>
        <w:rPr>
          <w:sz w:val="20"/>
          <w:szCs w:val="20"/>
          <w:color w:val="auto"/>
        </w:rPr>
      </w:pPr>
      <w:r>
        <w:rPr>
          <w:rFonts w:ascii="Arial" w:cs="Arial" w:eastAsia="Arial" w:hAnsi="Arial"/>
          <w:sz w:val="18"/>
          <w:szCs w:val="18"/>
          <w:b w:val="1"/>
          <w:bCs w:val="1"/>
          <w:color w:val="auto"/>
        </w:rPr>
        <w:t>Phase 3</w:t>
      </w:r>
    </w:p>
    <w:p>
      <w:pPr>
        <w:spacing w:after="0" w:line="81" w:lineRule="exact"/>
        <w:rPr>
          <w:sz w:val="20"/>
          <w:szCs w:val="20"/>
          <w:color w:val="auto"/>
        </w:rPr>
      </w:pPr>
    </w:p>
    <w:p>
      <w:pPr>
        <w:ind w:left="183" w:right="80" w:hanging="183"/>
        <w:spacing w:after="0" w:line="305" w:lineRule="auto"/>
        <w:tabs>
          <w:tab w:leader="none" w:pos="183"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Non-proliferative diabetic retinopathy (NPDR) in patients without DME</w:t>
      </w:r>
    </w:p>
    <w:p>
      <w:pPr>
        <w:ind w:left="183" w:right="80" w:hanging="183"/>
        <w:spacing w:after="0" w:line="293" w:lineRule="auto"/>
        <w:tabs>
          <w:tab w:leader="none" w:pos="183" w:val="left"/>
        </w:tabs>
        <w:numPr>
          <w:ilvl w:val="0"/>
          <w:numId w:val="5"/>
        </w:numPr>
        <w:rPr>
          <w:rFonts w:ascii="Arial" w:cs="Arial" w:eastAsia="Arial" w:hAnsi="Arial"/>
          <w:sz w:val="15"/>
          <w:szCs w:val="15"/>
          <w:color w:val="auto"/>
        </w:rPr>
      </w:pPr>
      <w:r>
        <w:rPr>
          <w:rFonts w:ascii="Arial" w:cs="Arial" w:eastAsia="Arial" w:hAnsi="Arial"/>
          <w:sz w:val="15"/>
          <w:szCs w:val="15"/>
          <w:color w:val="auto"/>
        </w:rPr>
        <w:t>Atopic dermatitis in adolescents and pediatrics (6–11 years of age)</w:t>
      </w:r>
      <w:r>
        <w:rPr>
          <w:rFonts w:ascii="Arial" w:cs="Arial" w:eastAsia="Arial" w:hAnsi="Arial"/>
          <w:sz w:val="21"/>
          <w:szCs w:val="21"/>
          <w:color w:val="auto"/>
          <w:vertAlign w:val="superscript"/>
        </w:rPr>
        <w:t>(d)</w:t>
      </w:r>
    </w:p>
    <w:p>
      <w:pPr>
        <w:spacing w:after="0" w:line="2" w:lineRule="exact"/>
        <w:rPr>
          <w:rFonts w:ascii="Arial" w:cs="Arial" w:eastAsia="Arial" w:hAnsi="Arial"/>
          <w:sz w:val="15"/>
          <w:szCs w:val="15"/>
          <w:color w:val="auto"/>
        </w:rPr>
      </w:pPr>
    </w:p>
    <w:p>
      <w:pPr>
        <w:ind w:left="183" w:right="20" w:hanging="183"/>
        <w:spacing w:after="0" w:line="287" w:lineRule="auto"/>
        <w:tabs>
          <w:tab w:leader="none" w:pos="183" w:val="left"/>
        </w:tabs>
        <w:numPr>
          <w:ilvl w:val="0"/>
          <w:numId w:val="5"/>
        </w:numPr>
        <w:rPr>
          <w:rFonts w:ascii="Arial" w:cs="Arial" w:eastAsia="Arial" w:hAnsi="Arial"/>
          <w:sz w:val="15"/>
          <w:szCs w:val="15"/>
          <w:color w:val="auto"/>
        </w:rPr>
      </w:pPr>
      <w:r>
        <w:rPr>
          <w:rFonts w:ascii="Arial" w:cs="Arial" w:eastAsia="Arial" w:hAnsi="Arial"/>
          <w:sz w:val="15"/>
          <w:szCs w:val="15"/>
          <w:color w:val="auto"/>
        </w:rPr>
        <w:t>Atopic dermatitis in pediatrics (6 months–5 years of age) (Phase 2/3)</w:t>
      </w:r>
      <w:r>
        <w:rPr>
          <w:rFonts w:ascii="Arial" w:cs="Arial" w:eastAsia="Arial" w:hAnsi="Arial"/>
          <w:sz w:val="21"/>
          <w:szCs w:val="21"/>
          <w:color w:val="auto"/>
          <w:vertAlign w:val="superscript"/>
        </w:rPr>
        <w:t>(d)</w:t>
      </w:r>
    </w:p>
    <w:p>
      <w:pPr>
        <w:ind w:left="183" w:hanging="183"/>
        <w:spacing w:after="0" w:line="259" w:lineRule="auto"/>
        <w:tabs>
          <w:tab w:leader="none" w:pos="183" w:val="left"/>
        </w:tabs>
        <w:numPr>
          <w:ilvl w:val="0"/>
          <w:numId w:val="5"/>
        </w:numPr>
        <w:rPr>
          <w:rFonts w:ascii="Arial" w:cs="Arial" w:eastAsia="Arial" w:hAnsi="Arial"/>
          <w:sz w:val="18"/>
          <w:szCs w:val="18"/>
          <w:color w:val="auto"/>
        </w:rPr>
      </w:pPr>
      <w:r>
        <w:rPr>
          <w:rFonts w:ascii="Arial" w:cs="Arial" w:eastAsia="Arial" w:hAnsi="Arial"/>
          <w:sz w:val="18"/>
          <w:szCs w:val="18"/>
          <w:color w:val="auto"/>
        </w:rPr>
        <w:t>Asthma in pediatrics (6–11 years of age)</w:t>
      </w:r>
    </w:p>
    <w:p>
      <w:pPr>
        <w:spacing w:after="0" w:line="23" w:lineRule="exact"/>
        <w:rPr>
          <w:rFonts w:ascii="Arial" w:cs="Arial" w:eastAsia="Arial" w:hAnsi="Arial"/>
          <w:sz w:val="18"/>
          <w:szCs w:val="18"/>
          <w:color w:val="auto"/>
        </w:rPr>
      </w:pPr>
    </w:p>
    <w:p>
      <w:pPr>
        <w:ind w:left="183" w:right="180" w:hanging="183"/>
        <w:spacing w:after="0" w:line="342" w:lineRule="auto"/>
        <w:tabs>
          <w:tab w:leader="none" w:pos="183" w:val="left"/>
        </w:tabs>
        <w:numPr>
          <w:ilvl w:val="0"/>
          <w:numId w:val="5"/>
        </w:numPr>
        <w:rPr>
          <w:rFonts w:ascii="Arial" w:cs="Arial" w:eastAsia="Arial" w:hAnsi="Arial"/>
          <w:sz w:val="16"/>
          <w:szCs w:val="16"/>
          <w:color w:val="auto"/>
        </w:rPr>
      </w:pPr>
      <w:r>
        <w:rPr>
          <w:rFonts w:ascii="Arial" w:cs="Arial" w:eastAsia="Arial" w:hAnsi="Arial"/>
          <w:sz w:val="16"/>
          <w:szCs w:val="16"/>
          <w:color w:val="auto"/>
        </w:rPr>
        <w:t>Eosinophilic esophagitis (EOE) (Phase 2/3)</w:t>
      </w:r>
      <w:r>
        <w:rPr>
          <w:rFonts w:ascii="Arial" w:cs="Arial" w:eastAsia="Arial" w:hAnsi="Arial"/>
          <w:sz w:val="22"/>
          <w:szCs w:val="22"/>
          <w:color w:val="auto"/>
          <w:vertAlign w:val="superscript"/>
        </w:rPr>
        <w:t>(c)</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01"/>
        <w:spacing w:after="0"/>
        <w:rPr>
          <w:sz w:val="20"/>
          <w:szCs w:val="20"/>
          <w:color w:val="auto"/>
        </w:rPr>
      </w:pPr>
      <w:r>
        <w:rPr>
          <w:rFonts w:ascii="Arial" w:cs="Arial" w:eastAsia="Arial" w:hAnsi="Arial"/>
          <w:sz w:val="17"/>
          <w:szCs w:val="17"/>
          <w:b w:val="1"/>
          <w:bCs w:val="1"/>
          <w:color w:val="auto"/>
        </w:rPr>
        <w:t>Regulatory Review</w:t>
      </w:r>
      <w:r>
        <w:rPr>
          <w:rFonts w:ascii="Arial" w:cs="Arial" w:eastAsia="Arial" w:hAnsi="Arial"/>
          <w:sz w:val="24"/>
          <w:szCs w:val="24"/>
          <w:b w:val="1"/>
          <w:bCs w:val="1"/>
          <w:color w:val="auto"/>
          <w:vertAlign w:val="superscript"/>
        </w:rPr>
        <w:t>(i)</w:t>
      </w:r>
    </w:p>
    <w:p>
      <w:pPr>
        <w:spacing w:after="0" w:line="14" w:lineRule="exact"/>
        <w:rPr>
          <w:sz w:val="20"/>
          <w:szCs w:val="20"/>
          <w:color w:val="auto"/>
        </w:rPr>
      </w:pPr>
    </w:p>
    <w:p>
      <w:pPr>
        <w:ind w:left="181" w:right="480" w:hanging="181"/>
        <w:spacing w:after="0" w:line="274" w:lineRule="auto"/>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color w:val="auto"/>
        </w:rPr>
        <w:t>Diabetic retinopathy (U.S.)</w:t>
      </w:r>
    </w:p>
    <w:p>
      <w:pPr>
        <w:spacing w:after="0" w:line="227" w:lineRule="exact"/>
        <w:rPr>
          <w:rFonts w:ascii="Arial" w:cs="Arial" w:eastAsia="Arial" w:hAnsi="Arial"/>
          <w:sz w:val="18"/>
          <w:szCs w:val="18"/>
          <w:color w:val="auto"/>
        </w:rPr>
      </w:pPr>
    </w:p>
    <w:p>
      <w:pPr>
        <w:jc w:val="both"/>
        <w:ind w:left="181" w:right="420" w:hanging="181"/>
        <w:spacing w:after="0" w:line="264" w:lineRule="auto"/>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Asthma in adults and adolescents (EU and Japan)</w:t>
      </w:r>
    </w:p>
    <w:p>
      <w:pPr>
        <w:spacing w:after="0" w:line="19" w:lineRule="exact"/>
        <w:rPr>
          <w:rFonts w:ascii="Arial" w:cs="Arial" w:eastAsia="Arial" w:hAnsi="Arial"/>
          <w:sz w:val="18"/>
          <w:szCs w:val="18"/>
          <w:color w:val="auto"/>
        </w:rPr>
      </w:pPr>
    </w:p>
    <w:p>
      <w:pPr>
        <w:ind w:left="181" w:right="140" w:hanging="181"/>
        <w:spacing w:after="0" w:line="325" w:lineRule="auto"/>
        <w:tabs>
          <w:tab w:leader="none" w:pos="181" w:val="left"/>
        </w:tabs>
        <w:numPr>
          <w:ilvl w:val="0"/>
          <w:numId w:val="6"/>
        </w:numPr>
        <w:rPr>
          <w:rFonts w:ascii="Arial" w:cs="Arial" w:eastAsia="Arial" w:hAnsi="Arial"/>
          <w:sz w:val="15"/>
          <w:szCs w:val="15"/>
          <w:color w:val="auto"/>
        </w:rPr>
      </w:pPr>
      <w:r>
        <w:rPr>
          <w:rFonts w:ascii="Arial" w:cs="Arial" w:eastAsia="Arial" w:hAnsi="Arial"/>
          <w:sz w:val="15"/>
          <w:szCs w:val="15"/>
          <w:color w:val="auto"/>
        </w:rPr>
        <w:t>Atopic dermatitis in adolescents (12–17 years of age) (U.S. and EU)</w:t>
      </w:r>
    </w:p>
    <w:p>
      <w:pPr>
        <w:spacing w:after="0" w:line="1" w:lineRule="exact"/>
        <w:rPr>
          <w:rFonts w:ascii="Arial" w:cs="Arial" w:eastAsia="Arial" w:hAnsi="Arial"/>
          <w:sz w:val="15"/>
          <w:szCs w:val="15"/>
          <w:color w:val="auto"/>
        </w:rPr>
      </w:pPr>
    </w:p>
    <w:p>
      <w:pPr>
        <w:ind w:left="181" w:right="140" w:hanging="181"/>
        <w:spacing w:after="0" w:line="298" w:lineRule="auto"/>
        <w:tabs>
          <w:tab w:leader="none" w:pos="181"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Auto-injector for 200 mg dose (U.S. and EU)</w:t>
      </w:r>
    </w:p>
    <w:p>
      <w:pPr>
        <w:ind w:left="181" w:right="360" w:hanging="181"/>
        <w:spacing w:after="0" w:line="312" w:lineRule="auto"/>
        <w:tabs>
          <w:tab w:leader="none" w:pos="181" w:val="left"/>
        </w:tabs>
        <w:numPr>
          <w:ilvl w:val="0"/>
          <w:numId w:val="6"/>
        </w:numPr>
        <w:rPr>
          <w:rFonts w:ascii="Arial" w:cs="Arial" w:eastAsia="Arial" w:hAnsi="Arial"/>
          <w:sz w:val="16"/>
          <w:szCs w:val="16"/>
          <w:color w:val="auto"/>
        </w:rPr>
      </w:pPr>
      <w:r>
        <w:rPr>
          <w:rFonts w:ascii="Arial" w:cs="Arial" w:eastAsia="Arial" w:hAnsi="Arial"/>
          <w:sz w:val="16"/>
          <w:szCs w:val="16"/>
          <w:color w:val="auto"/>
        </w:rPr>
        <w:t>Chronic rhinosinusitis with nasal polyposis (CRSwNP) (U.S.)</w:t>
      </w:r>
    </w:p>
    <w:p>
      <w:pPr>
        <w:spacing w:after="0" w:line="200" w:lineRule="exact"/>
        <w:rPr>
          <w:sz w:val="20"/>
          <w:szCs w:val="20"/>
          <w:color w:val="auto"/>
        </w:rPr>
      </w:pPr>
    </w:p>
    <w:p>
      <w:pPr>
        <w:sectPr>
          <w:pgSz w:w="11900" w:h="16838" w:orient="portrait"/>
          <w:cols w:equalWidth="0" w:num="3">
            <w:col w:w="6980" w:space="17"/>
            <w:col w:w="2143" w:space="139"/>
            <w:col w:w="2141"/>
          </w:cols>
          <w:pgMar w:left="240" w:top="13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2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 xml:space="preserve">Clinical Program </w:t>
            </w:r>
            <w:r>
              <w:rPr>
                <w:rFonts w:ascii="Arial" w:cs="Arial" w:eastAsia="Arial" w:hAnsi="Arial"/>
                <w:sz w:val="18"/>
                <w:szCs w:val="18"/>
                <w:b w:val="1"/>
                <w:bCs w:val="1"/>
                <w:i w:val="1"/>
                <w:iCs w:val="1"/>
                <w:color w:val="auto"/>
                <w:w w:val="99"/>
              </w:rPr>
              <w:t>(continued)</w:t>
            </w:r>
          </w:p>
        </w:tc>
        <w:tc>
          <w:tcPr>
            <w:tcW w:w="20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Phase 1</w:t>
            </w:r>
          </w:p>
        </w:tc>
        <w:tc>
          <w:tcPr>
            <w:tcW w:w="2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Phase 2</w:t>
            </w:r>
          </w:p>
        </w:tc>
        <w:tc>
          <w:tcPr>
            <w:tcW w:w="20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Phase 3</w:t>
            </w:r>
          </w:p>
        </w:tc>
        <w:tc>
          <w:tcPr>
            <w:tcW w:w="200" w:type="dxa"/>
            <w:vAlign w:val="bottom"/>
            <w:tcBorders>
              <w:bottom w:val="single" w:sz="8" w:color="CCEEFF"/>
            </w:tcBorders>
          </w:tcPr>
          <w:p>
            <w:pPr>
              <w:spacing w:after="0"/>
              <w:rPr>
                <w:sz w:val="24"/>
                <w:szCs w:val="24"/>
                <w:color w:val="auto"/>
              </w:rPr>
            </w:pPr>
          </w:p>
        </w:tc>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Regulatory Review</w:t>
            </w:r>
            <w:r>
              <w:rPr>
                <w:rFonts w:ascii="Arial" w:cs="Arial" w:eastAsia="Arial" w:hAnsi="Arial"/>
                <w:sz w:val="25"/>
                <w:szCs w:val="25"/>
                <w:b w:val="1"/>
                <w:bCs w:val="1"/>
                <w:color w:val="auto"/>
                <w:w w:val="96"/>
                <w:vertAlign w:val="superscript"/>
              </w:rPr>
              <w:t>(i)</w:t>
            </w:r>
          </w:p>
        </w:tc>
      </w:tr>
      <w:tr>
        <w:trPr>
          <w:trHeight w:val="222"/>
        </w:trPr>
        <w:tc>
          <w:tcPr>
            <w:tcW w:w="268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b w:val="1"/>
                <w:bCs w:val="1"/>
                <w:color w:val="auto"/>
              </w:rPr>
              <w:t>Praluent (alirocumab)</w:t>
            </w:r>
            <w:r>
              <w:rPr>
                <w:rFonts w:ascii="Arial" w:cs="Arial" w:eastAsia="Arial" w:hAnsi="Arial"/>
                <w:sz w:val="25"/>
                <w:szCs w:val="25"/>
                <w:b w:val="1"/>
                <w:bCs w:val="1"/>
                <w:color w:val="auto"/>
                <w:vertAlign w:val="superscript"/>
              </w:rPr>
              <w:t>(a)</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Homozygous familial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Cardiovascular risk</w:t>
            </w: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PCSK9</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reduction (U.S. and EU)</w:t>
            </w:r>
          </w:p>
        </w:tc>
      </w:tr>
      <w:tr>
        <w:trPr>
          <w:trHeight w:val="216"/>
        </w:trPr>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(HoFH)</w:t>
            </w:r>
            <w:r>
              <w:rPr>
                <w:rFonts w:ascii="Arial" w:cs="Arial" w:eastAsia="Arial" w:hAnsi="Arial"/>
                <w:sz w:val="25"/>
                <w:szCs w:val="25"/>
                <w:color w:val="auto"/>
                <w:vertAlign w:val="superscript"/>
              </w:rPr>
              <w:t>(c)</w:t>
            </w:r>
            <w:r>
              <w:rPr>
                <w:rFonts w:ascii="Arial" w:cs="Arial" w:eastAsia="Arial" w:hAnsi="Arial"/>
                <w:sz w:val="18"/>
                <w:szCs w:val="18"/>
                <w:color w:val="auto"/>
              </w:rPr>
              <w:t xml:space="preserve"> in adults and</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2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pediatrics</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56"/>
        </w:trPr>
        <w:tc>
          <w:tcPr>
            <w:tcW w:w="2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HeFH in pediatrics</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First-line treatment of</w:t>
            </w: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hyperlipidemia (U.S.)</w:t>
            </w:r>
          </w:p>
        </w:tc>
      </w:tr>
      <w:tr>
        <w:trPr>
          <w:trHeight w:val="229"/>
        </w:trPr>
        <w:tc>
          <w:tcPr>
            <w:tcW w:w="268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Kevzara (sarilumab)</w:t>
            </w:r>
            <w:r>
              <w:rPr>
                <w:rFonts w:ascii="Arial" w:cs="Arial" w:eastAsia="Arial" w:hAnsi="Arial"/>
                <w:sz w:val="25"/>
                <w:szCs w:val="25"/>
                <w:b w:val="1"/>
                <w:bCs w:val="1"/>
                <w:color w:val="auto"/>
                <w:vertAlign w:val="superscript"/>
              </w:rPr>
              <w:t>(a)</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Ÿ Polyarticular-course</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Ÿ Polymyalgia rheumatica</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Antibody to IL-6R</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juvenile idiopathic</w:t>
            </w: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arthritis (pcJIA)</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6"/>
        </w:trPr>
        <w:tc>
          <w:tcPr>
            <w:tcW w:w="2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auto"/>
              </w:rPr>
              <w:t>Ÿ Systemic juvenile</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Ÿ Giant cell arteritis</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0"/>
        </w:trPr>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idiopathic arthritis (sJIA)</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26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Libtayo (cemiplimab)</w:t>
            </w:r>
            <w:r>
              <w:rPr>
                <w:rFonts w:ascii="Arial" w:cs="Arial" w:eastAsia="Arial" w:hAnsi="Arial"/>
                <w:sz w:val="25"/>
                <w:szCs w:val="25"/>
                <w:b w:val="1"/>
                <w:bCs w:val="1"/>
                <w:color w:val="auto"/>
                <w:vertAlign w:val="superscript"/>
              </w:rPr>
              <w:t>(a)</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Solid tumors and</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Metastatic or locally</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First-line non-small cell</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Metastatic or locally</w:t>
            </w:r>
          </w:p>
        </w:tc>
      </w:tr>
      <w:tr>
        <w:trPr>
          <w:trHeight w:val="216"/>
        </w:trPr>
        <w:tc>
          <w:tcPr>
            <w:tcW w:w="26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i w:val="1"/>
                <w:iCs w:val="1"/>
                <w:color w:val="auto"/>
              </w:rPr>
              <w:t>Antibody to PD-1</w:t>
            </w:r>
            <w:r>
              <w:rPr>
                <w:rFonts w:ascii="Arial" w:cs="Arial" w:eastAsia="Arial" w:hAnsi="Arial"/>
                <w:sz w:val="25"/>
                <w:szCs w:val="25"/>
                <w:i w:val="1"/>
                <w:iCs w:val="1"/>
                <w:color w:val="auto"/>
                <w:vertAlign w:val="superscript"/>
              </w:rPr>
              <w:t>(h)</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advanced hematologic</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advanced CSCC</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lung cancer (NSCLC)</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CSCC (EU)</w:t>
            </w:r>
          </w:p>
        </w:tc>
      </w:tr>
      <w:tr>
        <w:trPr>
          <w:trHeight w:val="230"/>
        </w:trPr>
        <w:tc>
          <w:tcPr>
            <w:tcW w:w="2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malignancies</w:t>
            </w: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56"/>
        </w:trPr>
        <w:tc>
          <w:tcPr>
            <w:tcW w:w="2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Basal cell carcinoma</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Ÿ Second-line cervical cancer</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16"/>
        </w:trPr>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(BCC) (potentially pivotal</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2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9"/>
        </w:trPr>
        <w:tc>
          <w:tcPr>
            <w:tcW w:w="268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r>
              <w:rPr>
                <w:rFonts w:ascii="Arial" w:cs="Arial" w:eastAsia="Arial" w:hAnsi="Arial"/>
                <w:sz w:val="18"/>
                <w:szCs w:val="18"/>
                <w:b w:val="1"/>
                <w:bCs w:val="1"/>
                <w:color w:val="auto"/>
              </w:rPr>
              <w:t xml:space="preserve"> (REGN475)</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Ÿ Osteoarthritis of knee and</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7"/>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Antibody to NGF</w:t>
            </w: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ind w:left="20"/>
              <w:spacing w:after="0" w:line="257" w:lineRule="exact"/>
              <w:rPr>
                <w:sz w:val="20"/>
                <w:szCs w:val="20"/>
                <w:color w:val="auto"/>
              </w:rPr>
            </w:pPr>
            <w:r>
              <w:rPr>
                <w:rFonts w:ascii="Arial" w:cs="Arial" w:eastAsia="Arial" w:hAnsi="Arial"/>
                <w:sz w:val="18"/>
                <w:szCs w:val="18"/>
                <w:color w:val="auto"/>
              </w:rPr>
              <w:t>hip</w:t>
            </w:r>
            <w:r>
              <w:rPr>
                <w:rFonts w:ascii="Arial" w:cs="Arial" w:eastAsia="Arial" w:hAnsi="Arial"/>
                <w:sz w:val="25"/>
                <w:szCs w:val="25"/>
                <w:color w:val="auto"/>
                <w:vertAlign w:val="superscript"/>
              </w:rPr>
              <w:t>(e)</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9"/>
        </w:trPr>
        <w:tc>
          <w:tcPr>
            <w:tcW w:w="268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(REGN1500)</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Refractory</w:t>
            </w:r>
          </w:p>
        </w:tc>
        <w:tc>
          <w:tcPr>
            <w:tcW w:w="22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26"/>
                <w:szCs w:val="26"/>
                <w:color w:val="auto"/>
                <w:vertAlign w:val="subscript"/>
              </w:rPr>
              <w:t>Ÿ HoFH</w:t>
            </w:r>
            <w:r>
              <w:rPr>
                <w:rFonts w:ascii="Arial" w:cs="Arial" w:eastAsia="Arial" w:hAnsi="Arial"/>
                <w:sz w:val="11"/>
                <w:szCs w:val="11"/>
                <w:color w:val="auto"/>
              </w:rPr>
              <w:t>(c)(d)</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i w:val="1"/>
                <w:iCs w:val="1"/>
                <w:color w:val="auto"/>
              </w:rPr>
              <w:t>Antibody to ANGPTL3</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hypercholesterolemia</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(both HeFH and non-FH)</w:t>
            </w: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-445135</wp:posOffset>
            </wp:positionV>
            <wp:extent cx="711771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715" cy="75438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Ÿ Severe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hypertriglyceridemia</w:t>
      </w:r>
    </w:p>
    <w:p>
      <w:pPr>
        <w:sectPr>
          <w:pgSz w:w="11900" w:h="16838" w:orient="portrait"/>
          <w:cols w:equalWidth="0" w:num="1">
            <w:col w:w="11320"/>
          </w:cols>
          <w:pgMar w:left="240" w:top="130" w:right="339" w:bottom="1440" w:gutter="0" w:footer="0" w:header="0"/>
        </w:sectPr>
      </w:pPr>
    </w:p>
    <w:p>
      <w:pPr>
        <w:ind w:left="140"/>
        <w:spacing w:after="0"/>
        <w:tabs>
          <w:tab w:leader="none" w:pos="2800" w:val="left"/>
        </w:tabs>
        <w:rPr>
          <w:sz w:val="20"/>
          <w:szCs w:val="20"/>
          <w:color w:val="auto"/>
        </w:rPr>
      </w:pPr>
      <w:r>
        <w:rPr>
          <w:rFonts w:ascii="Arial" w:cs="Arial" w:eastAsia="Arial" w:hAnsi="Arial"/>
          <w:sz w:val="18"/>
          <w:szCs w:val="18"/>
          <w:b w:val="1"/>
          <w:bCs w:val="1"/>
          <w:color w:val="auto"/>
        </w:rPr>
        <w:t>Garetosmab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(REGN2477)</w:t>
      </w:r>
      <w:r>
        <w:rPr>
          <w:sz w:val="20"/>
          <w:szCs w:val="20"/>
          <w:color w:val="auto"/>
        </w:rPr>
        <w:tab/>
      </w:r>
      <w:r>
        <w:rPr>
          <w:rFonts w:ascii="Arial" w:cs="Arial" w:eastAsia="Arial" w:hAnsi="Arial"/>
          <w:sz w:val="17"/>
          <w:szCs w:val="17"/>
          <w:color w:val="auto"/>
        </w:rPr>
        <w:t>Ÿ Muscle-wasting</w:t>
      </w:r>
    </w:p>
    <w:p>
      <w:pPr>
        <w:spacing w:after="0" w:line="1" w:lineRule="exact"/>
        <w:rPr>
          <w:sz w:val="20"/>
          <w:szCs w:val="20"/>
          <w:color w:val="auto"/>
        </w:rPr>
      </w:pPr>
    </w:p>
    <w:p>
      <w:pPr>
        <w:ind w:left="140"/>
        <w:spacing w:after="0"/>
        <w:tabs>
          <w:tab w:leader="none" w:pos="3000" w:val="left"/>
        </w:tabs>
        <w:rPr>
          <w:sz w:val="20"/>
          <w:szCs w:val="20"/>
          <w:color w:val="auto"/>
        </w:rPr>
      </w:pPr>
      <w:r>
        <w:rPr>
          <w:rFonts w:ascii="Arial" w:cs="Arial" w:eastAsia="Arial" w:hAnsi="Arial"/>
          <w:sz w:val="18"/>
          <w:szCs w:val="18"/>
          <w:i w:val="1"/>
          <w:iCs w:val="1"/>
          <w:color w:val="auto"/>
        </w:rPr>
        <w:t>Antibody to Activin A</w:t>
      </w:r>
      <w:r>
        <w:rPr>
          <w:sz w:val="20"/>
          <w:szCs w:val="20"/>
          <w:color w:val="auto"/>
        </w:rPr>
        <w:tab/>
      </w:r>
      <w:r>
        <w:rPr>
          <w:rFonts w:ascii="Arial" w:cs="Arial" w:eastAsia="Arial" w:hAnsi="Arial"/>
          <w:sz w:val="16"/>
          <w:szCs w:val="16"/>
          <w:color w:val="auto"/>
        </w:rPr>
        <w:t>diseases (in combination</w:t>
      </w:r>
    </w:p>
    <w:p>
      <w:pPr>
        <w:spacing w:after="0" w:line="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with trevogrumab)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90" w:right="4420" w:hanging="190"/>
        <w:spacing w:after="0" w:line="267" w:lineRule="auto"/>
        <w:tabs>
          <w:tab w:leader="none" w:pos="19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Fibrodysplasia ossificans progressiva (FOP)</w:t>
      </w:r>
      <w:r>
        <w:rPr>
          <w:rFonts w:ascii="Arial" w:cs="Arial" w:eastAsia="Arial" w:hAnsi="Arial"/>
          <w:sz w:val="22"/>
          <w:szCs w:val="22"/>
          <w:color w:val="auto"/>
          <w:vertAlign w:val="superscript"/>
        </w:rPr>
        <w:t>(c)(e)</w:t>
      </w:r>
      <w:r>
        <w:rPr>
          <w:rFonts w:ascii="Arial" w:cs="Arial" w:eastAsia="Arial" w:hAnsi="Arial"/>
          <w:sz w:val="16"/>
          <w:szCs w:val="16"/>
          <w:color w:val="auto"/>
        </w:rPr>
        <w:t xml:space="preserve"> (potentially pivotal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0</wp:posOffset>
            </wp:positionV>
            <wp:extent cx="7117715"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7886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00" w:space="50"/>
            <w:col w:w="6470"/>
          </w:cols>
          <w:pgMar w:left="240" w:top="130" w:right="339" w:bottom="1440" w:gutter="0" w:footer="0" w:header="0"/>
          <w:type w:val="continuous"/>
        </w:sectPr>
      </w:pPr>
    </w:p>
    <w:p>
      <w:pPr>
        <w:ind w:left="140"/>
        <w:spacing w:after="0" w:line="203" w:lineRule="auto"/>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p>
      <w:pPr>
        <w:ind w:left="140"/>
        <w:spacing w:after="0" w:line="254" w:lineRule="auto"/>
        <w:rPr>
          <w:sz w:val="20"/>
          <w:szCs w:val="20"/>
          <w:color w:val="auto"/>
        </w:rPr>
      </w:pPr>
      <w:r>
        <w:rPr>
          <w:rFonts w:ascii="Arial" w:cs="Arial" w:eastAsia="Arial" w:hAnsi="Arial"/>
          <w:sz w:val="18"/>
          <w:szCs w:val="18"/>
          <w:i w:val="1"/>
          <w:iCs w:val="1"/>
          <w:color w:val="auto"/>
        </w:rPr>
        <w:t>Antibody to IL-33. Studied as monotherapy and in combination with Dupixent.</w:t>
      </w:r>
    </w:p>
    <w:p>
      <w:pPr>
        <w:spacing w:after="0" w:line="30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Trevogrumab</w:t>
      </w:r>
      <w:r>
        <w:rPr>
          <w:rFonts w:ascii="Arial" w:cs="Arial" w:eastAsia="Arial" w:hAnsi="Arial"/>
          <w:sz w:val="24"/>
          <w:szCs w:val="24"/>
          <w:b w:val="1"/>
          <w:bCs w:val="1"/>
          <w:color w:val="auto"/>
          <w:vertAlign w:val="superscript"/>
        </w:rPr>
        <w:t>(f)</w:t>
      </w:r>
      <w:r>
        <w:rPr>
          <w:rFonts w:ascii="Arial" w:cs="Arial" w:eastAsia="Arial" w:hAnsi="Arial"/>
          <w:sz w:val="17"/>
          <w:szCs w:val="17"/>
          <w:b w:val="1"/>
          <w:bCs w:val="1"/>
          <w:color w:val="auto"/>
        </w:rPr>
        <w:t xml:space="preserve"> (REGN1033)</w:t>
      </w:r>
    </w:p>
    <w:p>
      <w:pPr>
        <w:ind w:left="140"/>
        <w:spacing w:after="0"/>
        <w:rPr>
          <w:sz w:val="20"/>
          <w:szCs w:val="20"/>
          <w:color w:val="auto"/>
        </w:rPr>
      </w:pPr>
      <w:r>
        <w:rPr>
          <w:rFonts w:ascii="Arial" w:cs="Arial" w:eastAsia="Arial" w:hAnsi="Arial"/>
          <w:sz w:val="18"/>
          <w:szCs w:val="18"/>
          <w:i w:val="1"/>
          <w:iCs w:val="1"/>
          <w:color w:val="auto"/>
        </w:rPr>
        <w:t>Antibody to myostatin (GDF8)</w:t>
      </w:r>
    </w:p>
    <w:p>
      <w:pPr>
        <w:spacing w:after="0" w:line="20" w:lineRule="exact"/>
        <w:rPr>
          <w:sz w:val="20"/>
          <w:szCs w:val="20"/>
          <w:color w:val="auto"/>
        </w:rPr>
      </w:pPr>
      <w:r>
        <w:rPr>
          <w:sz w:val="20"/>
          <w:szCs w:val="20"/>
          <w:color w:val="auto"/>
        </w:rPr>
        <w:br w:type="column"/>
      </w:r>
    </w:p>
    <w:p>
      <w:pPr>
        <w:ind w:left="2016"/>
        <w:spacing w:after="0"/>
        <w:rPr>
          <w:sz w:val="20"/>
          <w:szCs w:val="20"/>
          <w:color w:val="auto"/>
        </w:rPr>
      </w:pPr>
      <w:r>
        <w:rPr>
          <w:rFonts w:ascii="Arial" w:cs="Arial" w:eastAsia="Arial" w:hAnsi="Arial"/>
          <w:sz w:val="18"/>
          <w:szCs w:val="18"/>
          <w:color w:val="auto"/>
        </w:rPr>
        <w:t>Ÿ Asthma</w:t>
      </w:r>
    </w:p>
    <w:p>
      <w:pPr>
        <w:spacing w:after="0" w:line="63" w:lineRule="exact"/>
        <w:rPr>
          <w:sz w:val="20"/>
          <w:szCs w:val="20"/>
          <w:color w:val="auto"/>
        </w:rPr>
      </w:pPr>
    </w:p>
    <w:p>
      <w:pPr>
        <w:ind w:left="2016"/>
        <w:spacing w:after="0"/>
        <w:rPr>
          <w:sz w:val="20"/>
          <w:szCs w:val="20"/>
          <w:color w:val="auto"/>
        </w:rPr>
      </w:pPr>
      <w:r>
        <w:rPr>
          <w:rFonts w:ascii="Arial" w:cs="Arial" w:eastAsia="Arial" w:hAnsi="Arial"/>
          <w:sz w:val="17"/>
          <w:szCs w:val="17"/>
          <w:color w:val="auto"/>
        </w:rPr>
        <w:t>Ÿ Chronic obstructive</w:t>
      </w:r>
    </w:p>
    <w:p>
      <w:pPr>
        <w:spacing w:after="0" w:line="35" w:lineRule="exact"/>
        <w:rPr>
          <w:sz w:val="20"/>
          <w:szCs w:val="20"/>
          <w:color w:val="auto"/>
        </w:rPr>
      </w:pPr>
    </w:p>
    <w:p>
      <w:pPr>
        <w:ind w:left="2216"/>
        <w:spacing w:after="0"/>
        <w:rPr>
          <w:sz w:val="20"/>
          <w:szCs w:val="20"/>
          <w:color w:val="auto"/>
        </w:rPr>
      </w:pPr>
      <w:r>
        <w:rPr>
          <w:rFonts w:ascii="Arial" w:cs="Arial" w:eastAsia="Arial" w:hAnsi="Arial"/>
          <w:sz w:val="16"/>
          <w:szCs w:val="16"/>
          <w:color w:val="auto"/>
        </w:rPr>
        <w:t>pulmonary disease</w:t>
      </w:r>
    </w:p>
    <w:p>
      <w:pPr>
        <w:spacing w:after="0" w:line="32" w:lineRule="exact"/>
        <w:rPr>
          <w:sz w:val="20"/>
          <w:szCs w:val="20"/>
          <w:color w:val="auto"/>
        </w:rPr>
      </w:pPr>
    </w:p>
    <w:p>
      <w:pPr>
        <w:ind w:left="2216"/>
        <w:spacing w:after="0"/>
        <w:rPr>
          <w:sz w:val="20"/>
          <w:szCs w:val="20"/>
          <w:color w:val="auto"/>
        </w:rPr>
      </w:pPr>
      <w:r>
        <w:rPr>
          <w:rFonts w:ascii="Arial" w:cs="Arial" w:eastAsia="Arial" w:hAnsi="Arial"/>
          <w:sz w:val="18"/>
          <w:szCs w:val="18"/>
          <w:color w:val="auto"/>
        </w:rPr>
        <w:t>(COPD)</w:t>
      </w:r>
    </w:p>
    <w:p>
      <w:pPr>
        <w:spacing w:after="0" w:line="49" w:lineRule="exact"/>
        <w:rPr>
          <w:sz w:val="20"/>
          <w:szCs w:val="20"/>
          <w:color w:val="auto"/>
        </w:rPr>
      </w:pPr>
    </w:p>
    <w:p>
      <w:pPr>
        <w:ind w:left="2016"/>
        <w:spacing w:after="0"/>
        <w:rPr>
          <w:sz w:val="20"/>
          <w:szCs w:val="20"/>
          <w:color w:val="auto"/>
        </w:rPr>
      </w:pPr>
      <w:r>
        <w:rPr>
          <w:rFonts w:ascii="Arial" w:cs="Arial" w:eastAsia="Arial" w:hAnsi="Arial"/>
          <w:sz w:val="18"/>
          <w:szCs w:val="18"/>
          <w:color w:val="auto"/>
        </w:rPr>
        <w:t>Ÿ Atopic dermatitis</w:t>
      </w:r>
    </w:p>
    <w:p>
      <w:pPr>
        <w:spacing w:after="0" w:line="63" w:lineRule="exact"/>
        <w:rPr>
          <w:sz w:val="20"/>
          <w:szCs w:val="20"/>
          <w:color w:val="auto"/>
        </w:rPr>
      </w:pPr>
    </w:p>
    <w:p>
      <w:pPr>
        <w:ind w:left="196" w:right="6520" w:hanging="196"/>
        <w:spacing w:after="0" w:line="299"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Muscle-wasting diseases (in combination with garetosmab)</w:t>
      </w:r>
    </w:p>
    <w:p>
      <w:pPr>
        <w:spacing w:after="0" w:line="1" w:lineRule="exact"/>
        <w:rPr>
          <w:sz w:val="20"/>
          <w:szCs w:val="20"/>
          <w:color w:val="auto"/>
        </w:rPr>
      </w:pPr>
    </w:p>
    <w:p>
      <w:pPr>
        <w:sectPr>
          <w:pgSz w:w="11900" w:h="16838" w:orient="portrait"/>
          <w:cols w:equalWidth="0" w:num="2">
            <w:col w:w="2540" w:space="284"/>
            <w:col w:w="8496"/>
          </w:cols>
          <w:pgMar w:left="240" w:top="130" w:right="339" w:bottom="1440" w:gutter="0" w:footer="0" w:header="0"/>
          <w:type w:val="continuous"/>
        </w:sectPr>
      </w:pPr>
    </w:p>
    <w:tbl>
      <w:tblPr>
        <w:tblLayout w:type="fixed"/>
        <w:tblInd w:w="120" w:type="dxa"/>
        <w:tblCellMar>
          <w:top w:w="0" w:type="dxa"/>
          <w:left w:w="0" w:type="dxa"/>
          <w:bottom w:w="0" w:type="dxa"/>
          <w:right w:w="0" w:type="dxa"/>
        </w:tblCellMar>
      </w:tblPr>
      <w:tr>
        <w:trPr>
          <w:trHeight w:val="231"/>
        </w:trPr>
        <w:tc>
          <w:tcPr>
            <w:tcW w:w="2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REGN1908-1909</w:t>
            </w:r>
            <w:r>
              <w:rPr>
                <w:rFonts w:ascii="Arial" w:cs="Arial" w:eastAsia="Arial" w:hAnsi="Arial"/>
                <w:sz w:val="25"/>
                <w:szCs w:val="25"/>
                <w:b w:val="1"/>
                <w:bCs w:val="1"/>
                <w:color w:val="auto"/>
                <w:vertAlign w:val="superscript"/>
              </w:rPr>
              <w:t>(f)</w:t>
            </w:r>
          </w:p>
        </w:tc>
        <w:tc>
          <w:tcPr>
            <w:tcW w:w="8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Cat allergy</w:t>
            </w: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Multi-antibody therapy to Feld1</w:t>
            </w:r>
          </w:p>
        </w:tc>
        <w:tc>
          <w:tcPr>
            <w:tcW w:w="858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REGN1979</w:t>
            </w:r>
          </w:p>
        </w:tc>
        <w:tc>
          <w:tcPr>
            <w:tcW w:w="8580" w:type="dxa"/>
            <w:vAlign w:val="bottom"/>
          </w:tcPr>
          <w:p>
            <w:pPr>
              <w:ind w:left="80"/>
              <w:spacing w:after="0"/>
              <w:rPr>
                <w:sz w:val="20"/>
                <w:szCs w:val="20"/>
                <w:color w:val="auto"/>
              </w:rPr>
            </w:pPr>
            <w:r>
              <w:rPr>
                <w:rFonts w:ascii="Arial" w:cs="Arial" w:eastAsia="Arial" w:hAnsi="Arial"/>
                <w:sz w:val="18"/>
                <w:szCs w:val="18"/>
                <w:color w:val="auto"/>
              </w:rPr>
              <w:t>Ÿ Certain B-cell</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i w:val="1"/>
                <w:iCs w:val="1"/>
                <w:color w:val="auto"/>
                <w:w w:val="98"/>
              </w:rPr>
              <w:t>Bispecific antibody against CD20</w:t>
            </w:r>
          </w:p>
        </w:tc>
        <w:tc>
          <w:tcPr>
            <w:tcW w:w="8580" w:type="dxa"/>
            <w:vAlign w:val="bottom"/>
          </w:tcPr>
          <w:p>
            <w:pPr>
              <w:ind w:left="280"/>
              <w:spacing w:after="0"/>
              <w:rPr>
                <w:sz w:val="20"/>
                <w:szCs w:val="20"/>
                <w:color w:val="auto"/>
              </w:rPr>
            </w:pPr>
            <w:r>
              <w:rPr>
                <w:rFonts w:ascii="Arial" w:cs="Arial" w:eastAsia="Arial" w:hAnsi="Arial"/>
                <w:sz w:val="18"/>
                <w:szCs w:val="18"/>
                <w:color w:val="auto"/>
              </w:rPr>
              <w:t>malignancies</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and CD3</w:t>
            </w:r>
          </w:p>
        </w:tc>
        <w:tc>
          <w:tcPr>
            <w:tcW w:w="8580" w:type="dxa"/>
            <w:vAlign w:val="bottom"/>
          </w:tcPr>
          <w:p>
            <w:pPr>
              <w:ind w:left="280"/>
              <w:spacing w:after="0"/>
              <w:rPr>
                <w:sz w:val="20"/>
                <w:szCs w:val="20"/>
                <w:color w:val="auto"/>
              </w:rPr>
            </w:pPr>
            <w:r>
              <w:rPr>
                <w:rFonts w:ascii="Arial" w:cs="Arial" w:eastAsia="Arial" w:hAnsi="Arial"/>
                <w:sz w:val="18"/>
                <w:szCs w:val="18"/>
                <w:color w:val="auto"/>
              </w:rPr>
              <w:t>(monotherapy and in</w:t>
            </w:r>
          </w:p>
        </w:tc>
      </w:tr>
      <w:tr>
        <w:trPr>
          <w:trHeight w:val="216"/>
        </w:trPr>
        <w:tc>
          <w:tcPr>
            <w:tcW w:w="2620" w:type="dxa"/>
            <w:vAlign w:val="bottom"/>
          </w:tcPr>
          <w:p>
            <w:pPr>
              <w:spacing w:after="0"/>
              <w:rPr>
                <w:sz w:val="18"/>
                <w:szCs w:val="18"/>
                <w:color w:val="auto"/>
              </w:rPr>
            </w:pPr>
          </w:p>
        </w:tc>
        <w:tc>
          <w:tcPr>
            <w:tcW w:w="8580" w:type="dxa"/>
            <w:vAlign w:val="bottom"/>
          </w:tcPr>
          <w:p>
            <w:pPr>
              <w:ind w:left="280"/>
              <w:spacing w:after="0"/>
              <w:rPr>
                <w:sz w:val="20"/>
                <w:szCs w:val="20"/>
                <w:color w:val="auto"/>
              </w:rPr>
            </w:pPr>
            <w:r>
              <w:rPr>
                <w:rFonts w:ascii="Arial" w:cs="Arial" w:eastAsia="Arial" w:hAnsi="Arial"/>
                <w:sz w:val="18"/>
                <w:szCs w:val="18"/>
                <w:color w:val="auto"/>
              </w:rPr>
              <w:t>combination with</w:t>
            </w:r>
          </w:p>
        </w:tc>
      </w:tr>
      <w:tr>
        <w:trPr>
          <w:trHeight w:val="257"/>
        </w:trPr>
        <w:tc>
          <w:tcPr>
            <w:tcW w:w="2620" w:type="dxa"/>
            <w:vAlign w:val="bottom"/>
          </w:tcPr>
          <w:p>
            <w:pPr>
              <w:spacing w:after="0"/>
              <w:rPr>
                <w:sz w:val="22"/>
                <w:szCs w:val="22"/>
                <w:color w:val="auto"/>
              </w:rPr>
            </w:pPr>
          </w:p>
        </w:tc>
        <w:tc>
          <w:tcPr>
            <w:tcW w:w="8580" w:type="dxa"/>
            <w:vAlign w:val="bottom"/>
          </w:tcPr>
          <w:p>
            <w:pPr>
              <w:ind w:left="280"/>
              <w:spacing w:after="0" w:line="257"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(c)</w:t>
            </w:r>
          </w:p>
        </w:tc>
      </w:tr>
      <w:tr>
        <w:trPr>
          <w:trHeight w:val="225"/>
        </w:trPr>
        <w:tc>
          <w:tcPr>
            <w:tcW w:w="26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w w:val="95"/>
              </w:rPr>
              <w:t>REGN-EB3</w:t>
            </w:r>
            <w:r>
              <w:rPr>
                <w:rFonts w:ascii="Arial" w:cs="Arial" w:eastAsia="Arial" w:hAnsi="Arial"/>
                <w:sz w:val="25"/>
                <w:szCs w:val="25"/>
                <w:b w:val="1"/>
                <w:bCs w:val="1"/>
                <w:color w:val="auto"/>
                <w:w w:val="95"/>
                <w:vertAlign w:val="superscript"/>
              </w:rPr>
              <w:t>(g)</w:t>
            </w:r>
            <w:r>
              <w:rPr>
                <w:rFonts w:ascii="Arial" w:cs="Arial" w:eastAsia="Arial" w:hAnsi="Arial"/>
                <w:sz w:val="18"/>
                <w:szCs w:val="18"/>
                <w:b w:val="1"/>
                <w:bCs w:val="1"/>
                <w:color w:val="auto"/>
                <w:w w:val="95"/>
              </w:rPr>
              <w:t xml:space="preserve"> (REGN3470-3471-</w:t>
            </w:r>
          </w:p>
        </w:tc>
        <w:tc>
          <w:tcPr>
            <w:tcW w:w="8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 Ebola virus</w:t>
            </w: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3479)</w:t>
            </w:r>
          </w:p>
        </w:tc>
        <w:tc>
          <w:tcPr>
            <w:tcW w:w="8580" w:type="dxa"/>
            <w:vAlign w:val="bottom"/>
            <w:shd w:val="clear" w:color="auto" w:fill="CCEEFF"/>
          </w:tcPr>
          <w:p>
            <w:pPr>
              <w:ind w:left="280"/>
              <w:spacing w:after="0" w:line="220" w:lineRule="exact"/>
              <w:rPr>
                <w:sz w:val="20"/>
                <w:szCs w:val="20"/>
                <w:color w:val="auto"/>
              </w:rPr>
            </w:pPr>
            <w:r>
              <w:rPr>
                <w:rFonts w:ascii="Arial" w:cs="Arial" w:eastAsia="Arial" w:hAnsi="Arial"/>
                <w:sz w:val="18"/>
                <w:szCs w:val="18"/>
                <w:color w:val="auto"/>
              </w:rPr>
              <w:t>infection</w:t>
            </w:r>
            <w:r>
              <w:rPr>
                <w:rFonts w:ascii="Arial" w:cs="Arial" w:eastAsia="Arial" w:hAnsi="Arial"/>
                <w:sz w:val="25"/>
                <w:szCs w:val="25"/>
                <w:color w:val="auto"/>
                <w:vertAlign w:val="superscript"/>
              </w:rPr>
              <w:t>(c)</w:t>
            </w: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Multi-antibody therapy to Ebola</w:t>
            </w:r>
          </w:p>
        </w:tc>
        <w:tc>
          <w:tcPr>
            <w:tcW w:w="858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virus</w:t>
            </w:r>
          </w:p>
        </w:tc>
        <w:tc>
          <w:tcPr>
            <w:tcW w:w="8580" w:type="dxa"/>
            <w:vAlign w:val="bottom"/>
            <w:shd w:val="clear" w:color="auto" w:fill="CCEEFF"/>
          </w:tcPr>
          <w:p>
            <w:pPr>
              <w:spacing w:after="0"/>
              <w:rPr>
                <w:sz w:val="20"/>
                <w:szCs w:val="20"/>
                <w:color w:val="auto"/>
              </w:rPr>
            </w:pPr>
          </w:p>
        </w:tc>
      </w:tr>
      <w:tr>
        <w:trPr>
          <w:trHeight w:val="27"/>
        </w:trPr>
        <w:tc>
          <w:tcPr>
            <w:tcW w:w="2620" w:type="dxa"/>
            <w:vAlign w:val="bottom"/>
            <w:shd w:val="clear" w:color="auto" w:fill="CCEEFF"/>
          </w:tcPr>
          <w:p>
            <w:pPr>
              <w:spacing w:after="0"/>
              <w:rPr>
                <w:sz w:val="2"/>
                <w:szCs w:val="2"/>
                <w:color w:val="auto"/>
              </w:rPr>
            </w:pPr>
          </w:p>
        </w:tc>
        <w:tc>
          <w:tcPr>
            <w:tcW w:w="8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30" w:right="3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200" w:type="dxa"/>
            <w:vAlign w:val="bottom"/>
          </w:tcPr>
          <w:p>
            <w:pPr>
              <w:spacing w:after="0"/>
              <w:rPr>
                <w:sz w:val="24"/>
                <w:szCs w:val="24"/>
                <w:color w:val="auto"/>
              </w:rPr>
            </w:pPr>
          </w:p>
        </w:tc>
        <w:tc>
          <w:tcPr>
            <w:tcW w:w="2000" w:type="dxa"/>
            <w:vAlign w:val="bottom"/>
            <w:gridSpan w:val="2"/>
          </w:tcPr>
          <w:p>
            <w:pPr>
              <w:ind w:left="640"/>
              <w:spacing w:after="0"/>
              <w:rPr>
                <w:sz w:val="20"/>
                <w:szCs w:val="20"/>
                <w:color w:val="auto"/>
              </w:rPr>
            </w:pPr>
            <w:r>
              <w:rPr>
                <w:rFonts w:ascii="Arial" w:cs="Arial" w:eastAsia="Arial" w:hAnsi="Arial"/>
                <w:sz w:val="18"/>
                <w:szCs w:val="18"/>
                <w:b w:val="1"/>
                <w:bCs w:val="1"/>
                <w:color w:val="auto"/>
              </w:rPr>
              <w:t>Phase 1</w:t>
            </w:r>
          </w:p>
        </w:tc>
        <w:tc>
          <w:tcPr>
            <w:tcW w:w="2120" w:type="dxa"/>
            <w:vAlign w:val="bottom"/>
            <w:gridSpan w:val="2"/>
          </w:tcPr>
          <w:p>
            <w:pPr>
              <w:ind w:left="700"/>
              <w:spacing w:after="0"/>
              <w:rPr>
                <w:sz w:val="20"/>
                <w:szCs w:val="20"/>
                <w:color w:val="auto"/>
              </w:rPr>
            </w:pPr>
            <w:r>
              <w:rPr>
                <w:rFonts w:ascii="Arial" w:cs="Arial" w:eastAsia="Arial" w:hAnsi="Arial"/>
                <w:sz w:val="18"/>
                <w:szCs w:val="18"/>
                <w:b w:val="1"/>
                <w:bCs w:val="1"/>
                <w:color w:val="auto"/>
              </w:rPr>
              <w:t>Phase 2</w:t>
            </w:r>
          </w:p>
        </w:tc>
        <w:tc>
          <w:tcPr>
            <w:tcW w:w="2220" w:type="dxa"/>
            <w:vAlign w:val="bottom"/>
            <w:gridSpan w:val="2"/>
          </w:tcPr>
          <w:p>
            <w:pPr>
              <w:ind w:left="760"/>
              <w:spacing w:after="0"/>
              <w:rPr>
                <w:sz w:val="20"/>
                <w:szCs w:val="20"/>
                <w:color w:val="auto"/>
              </w:rPr>
            </w:pPr>
            <w:r>
              <w:rPr>
                <w:rFonts w:ascii="Arial" w:cs="Arial" w:eastAsia="Arial" w:hAnsi="Arial"/>
                <w:sz w:val="18"/>
                <w:szCs w:val="18"/>
                <w:b w:val="1"/>
                <w:bCs w:val="1"/>
                <w:color w:val="auto"/>
              </w:rPr>
              <w:t>Phase 3</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w w:val="97"/>
              </w:rPr>
              <w:t>Regulatory Review</w:t>
            </w:r>
            <w:r>
              <w:rPr>
                <w:rFonts w:ascii="Arial" w:cs="Arial" w:eastAsia="Arial" w:hAnsi="Arial"/>
                <w:sz w:val="25"/>
                <w:szCs w:val="25"/>
                <w:b w:val="1"/>
                <w:bCs w:val="1"/>
                <w:color w:val="auto"/>
                <w:w w:val="97"/>
                <w:vertAlign w:val="superscript"/>
              </w:rPr>
              <w:t>(i)</w:t>
            </w:r>
          </w:p>
        </w:tc>
      </w:tr>
      <w:tr>
        <w:trPr>
          <w:trHeight w:val="222"/>
        </w:trPr>
        <w:tc>
          <w:tcPr>
            <w:tcW w:w="2760" w:type="dxa"/>
            <w:vAlign w:val="bottom"/>
            <w:tcBorders>
              <w:top w:val="single" w:sz="8" w:color="auto"/>
            </w:tcBorders>
          </w:tcPr>
          <w:p>
            <w:pPr>
              <w:ind w:left="20"/>
              <w:spacing w:after="0" w:line="222" w:lineRule="exact"/>
              <w:rPr>
                <w:sz w:val="20"/>
                <w:szCs w:val="20"/>
                <w:color w:val="auto"/>
              </w:rPr>
            </w:pPr>
            <w:r>
              <w:rPr>
                <w:rFonts w:ascii="Arial" w:cs="Arial" w:eastAsia="Arial" w:hAnsi="Arial"/>
                <w:sz w:val="18"/>
                <w:szCs w:val="18"/>
                <w:b w:val="1"/>
                <w:bCs w:val="1"/>
                <w:color w:val="auto"/>
              </w:rPr>
              <w:t>REGN3048-3051</w:t>
            </w:r>
            <w:r>
              <w:rPr>
                <w:rFonts w:ascii="Arial" w:cs="Arial" w:eastAsia="Arial" w:hAnsi="Arial"/>
                <w:sz w:val="25"/>
                <w:szCs w:val="25"/>
                <w:b w:val="1"/>
                <w:bCs w:val="1"/>
                <w:color w:val="auto"/>
                <w:vertAlign w:val="superscript"/>
              </w:rPr>
              <w:t>(g)</w:t>
            </w:r>
          </w:p>
        </w:tc>
        <w:tc>
          <w:tcPr>
            <w:tcW w:w="200" w:type="dxa"/>
            <w:vAlign w:val="bottom"/>
          </w:tcPr>
          <w:p>
            <w:pPr>
              <w:ind w:left="20"/>
              <w:spacing w:after="0"/>
              <w:rPr>
                <w:sz w:val="20"/>
                <w:szCs w:val="20"/>
                <w:color w:val="auto"/>
              </w:rPr>
            </w:pPr>
            <w:r>
              <w:rPr>
                <w:rFonts w:ascii="Arial" w:cs="Arial" w:eastAsia="Arial" w:hAnsi="Arial"/>
                <w:sz w:val="18"/>
                <w:szCs w:val="18"/>
                <w:color w:val="auto"/>
              </w:rPr>
              <w:t>Ÿ</w:t>
            </w:r>
          </w:p>
        </w:tc>
        <w:tc>
          <w:tcPr>
            <w:tcW w:w="1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MERS virus infection</w:t>
            </w:r>
          </w:p>
        </w:tc>
        <w:tc>
          <w:tcPr>
            <w:tcW w:w="100" w:type="dxa"/>
            <w:vAlign w:val="bottom"/>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Multi-antibody therapy to Middle</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w w:val="94"/>
              </w:rPr>
              <w:t>East Respiratory Syndrome (MERS)</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virus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27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(f)</w:t>
            </w: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Ÿ Advanced cancers</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LAG-3 protein</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(administered alone or in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combination with</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9"/>
        </w:trPr>
        <w:tc>
          <w:tcPr>
            <w:tcW w:w="276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r>
              <w:rPr>
                <w:rFonts w:ascii="Arial" w:cs="Arial" w:eastAsia="Arial" w:hAnsi="Arial"/>
                <w:sz w:val="18"/>
                <w:szCs w:val="18"/>
                <w:b w:val="1"/>
                <w:bCs w:val="1"/>
                <w:color w:val="auto"/>
              </w:rPr>
              <w:t xml:space="preserve"> (REGN3918)</w:t>
            </w:r>
          </w:p>
        </w:tc>
        <w:tc>
          <w:tcPr>
            <w:tcW w:w="2200" w:type="dxa"/>
            <w:vAlign w:val="bottom"/>
            <w:gridSpan w:val="3"/>
          </w:tcPr>
          <w:p>
            <w:pPr>
              <w:ind w:left="20"/>
              <w:spacing w:after="0"/>
              <w:rPr>
                <w:sz w:val="20"/>
                <w:szCs w:val="20"/>
                <w:color w:val="auto"/>
              </w:rPr>
            </w:pPr>
            <w:r>
              <w:rPr>
                <w:rFonts w:ascii="Arial" w:cs="Arial" w:eastAsia="Arial" w:hAnsi="Arial"/>
                <w:sz w:val="18"/>
                <w:szCs w:val="18"/>
                <w:color w:val="auto"/>
              </w:rPr>
              <w:t>Ÿ Paroxysmal nocturnal</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Antibody to C5</w:t>
            </w:r>
          </w:p>
        </w:tc>
        <w:tc>
          <w:tcPr>
            <w:tcW w:w="20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hemoglobinuria (PNH)</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REGN4461</w:t>
            </w: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Ÿ Lipodystrophy and</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9"/>
              </w:rPr>
              <w:t>Agonist antibody to leptin receptor</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obesity</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(LEPR)</w:t>
            </w:r>
          </w:p>
        </w:tc>
        <w:tc>
          <w:tcPr>
            <w:tcW w:w="2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9"/>
        </w:trPr>
        <w:tc>
          <w:tcPr>
            <w:tcW w:w="2760" w:type="dxa"/>
            <w:vAlign w:val="bottom"/>
          </w:tcPr>
          <w:p>
            <w:pPr>
              <w:ind w:left="20"/>
              <w:spacing w:after="0" w:line="228" w:lineRule="exact"/>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tc>
        <w:tc>
          <w:tcPr>
            <w:tcW w:w="2200" w:type="dxa"/>
            <w:vAlign w:val="bottom"/>
            <w:gridSpan w:val="3"/>
          </w:tcPr>
          <w:p>
            <w:pPr>
              <w:ind w:left="20"/>
              <w:spacing w:after="0"/>
              <w:rPr>
                <w:sz w:val="20"/>
                <w:szCs w:val="20"/>
                <w:color w:val="auto"/>
              </w:rPr>
            </w:pPr>
            <w:r>
              <w:rPr>
                <w:rFonts w:ascii="Arial" w:cs="Arial" w:eastAsia="Arial" w:hAnsi="Arial"/>
                <w:sz w:val="18"/>
                <w:szCs w:val="18"/>
                <w:color w:val="auto"/>
              </w:rPr>
              <w:t>Ÿ Platinum-resistant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w w:val="93"/>
              </w:rPr>
              <w:t>Bispecific antibody targeting MUC16</w:t>
            </w:r>
          </w:p>
        </w:tc>
        <w:tc>
          <w:tcPr>
            <w:tcW w:w="20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ovarian cancer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and CD3</w:t>
            </w:r>
          </w:p>
        </w:tc>
        <w:tc>
          <w:tcPr>
            <w:tcW w:w="20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w w:val="98"/>
              </w:rPr>
              <w:t>(administered alone or in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combination with</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Libtayo)</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27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REGN4659</w:t>
            </w:r>
            <w:r>
              <w:rPr>
                <w:rFonts w:ascii="Arial" w:cs="Arial" w:eastAsia="Arial" w:hAnsi="Arial"/>
                <w:sz w:val="25"/>
                <w:szCs w:val="25"/>
                <w:b w:val="1"/>
                <w:bCs w:val="1"/>
                <w:color w:val="auto"/>
                <w:vertAlign w:val="superscript"/>
              </w:rPr>
              <w:t>(f)</w:t>
            </w: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Ÿ Advanced NSCLC</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Antibody to CTLA4</w:t>
            </w: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(administered alone or in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combination with</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REGN5069</w:t>
            </w:r>
          </w:p>
        </w:tc>
        <w:tc>
          <w:tcPr>
            <w:tcW w:w="2200" w:type="dxa"/>
            <w:vAlign w:val="bottom"/>
            <w:gridSpan w:val="3"/>
          </w:tcPr>
          <w:p>
            <w:pPr>
              <w:ind w:left="20"/>
              <w:spacing w:after="0"/>
              <w:rPr>
                <w:sz w:val="20"/>
                <w:szCs w:val="20"/>
                <w:color w:val="auto"/>
              </w:rPr>
            </w:pPr>
            <w:r>
              <w:rPr>
                <w:rFonts w:ascii="Arial" w:cs="Arial" w:eastAsia="Arial" w:hAnsi="Arial"/>
                <w:sz w:val="18"/>
                <w:szCs w:val="18"/>
                <w:color w:val="auto"/>
              </w:rPr>
              <w:t>Ÿ Pain</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Antibody to GFRα3</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276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REGN5458</w:t>
            </w:r>
            <w:r>
              <w:rPr>
                <w:rFonts w:ascii="Arial" w:cs="Arial" w:eastAsia="Arial" w:hAnsi="Arial"/>
                <w:sz w:val="25"/>
                <w:szCs w:val="25"/>
                <w:b w:val="1"/>
                <w:bCs w:val="1"/>
                <w:color w:val="auto"/>
                <w:vertAlign w:val="superscript"/>
              </w:rPr>
              <w:t>(a)</w:t>
            </w: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Ÿ Multiple myeloma</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w w:val="96"/>
              </w:rPr>
              <w:t>Bispecific antibody targeting BCMA</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and CD3</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7"/>
        </w:trPr>
        <w:tc>
          <w:tcPr>
            <w:tcW w:w="2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ind w:left="460" w:hanging="114"/>
        <w:spacing w:after="0"/>
        <w:tabs>
          <w:tab w:leader="none" w:pos="460" w:val="left"/>
        </w:tabs>
        <w:numPr>
          <w:ilvl w:val="0"/>
          <w:numId w:val="9"/>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9"/>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9"/>
        </w:numPr>
        <w:rPr>
          <w:rFonts w:ascii="Arial" w:cs="Arial" w:eastAsia="Arial" w:hAnsi="Arial"/>
          <w:sz w:val="9"/>
          <w:szCs w:val="9"/>
          <w:color w:val="auto"/>
        </w:rPr>
      </w:pPr>
      <w:r>
        <w:rPr>
          <w:rFonts w:ascii="Arial" w:cs="Arial" w:eastAsia="Arial" w:hAnsi="Arial"/>
          <w:sz w:val="14"/>
          <w:szCs w:val="14"/>
          <w:color w:val="auto"/>
        </w:rPr>
        <w:t>U.S. Food and Drug Administration (FDA) granted orphan drug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9"/>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80" w:hanging="134"/>
        <w:spacing w:after="0"/>
        <w:tabs>
          <w:tab w:leader="none" w:pos="480" w:val="left"/>
        </w:tabs>
        <w:numPr>
          <w:ilvl w:val="0"/>
          <w:numId w:val="9"/>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40" w:right="300" w:firstLine="6"/>
        <w:spacing w:after="0" w:line="253" w:lineRule="auto"/>
        <w:tabs>
          <w:tab w:leader="none" w:pos="466" w:val="left"/>
        </w:tabs>
        <w:numPr>
          <w:ilvl w:val="0"/>
          <w:numId w:val="9"/>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1" w:lineRule="exact"/>
        <w:rPr>
          <w:rFonts w:ascii="Arial" w:cs="Arial" w:eastAsia="Arial" w:hAnsi="Arial"/>
          <w:sz w:val="9"/>
          <w:szCs w:val="9"/>
          <w:color w:val="auto"/>
        </w:rPr>
      </w:pPr>
    </w:p>
    <w:p>
      <w:pPr>
        <w:ind w:left="340" w:right="300" w:firstLine="6"/>
        <w:spacing w:after="0" w:line="238" w:lineRule="auto"/>
        <w:tabs>
          <w:tab w:leader="none" w:pos="481" w:val="left"/>
        </w:tabs>
        <w:numPr>
          <w:ilvl w:val="0"/>
          <w:numId w:val="9"/>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20" w:lineRule="exact"/>
        <w:rPr>
          <w:rFonts w:ascii="Arial" w:cs="Arial" w:eastAsia="Arial" w:hAnsi="Arial"/>
          <w:sz w:val="9"/>
          <w:szCs w:val="9"/>
          <w:color w:val="auto"/>
        </w:rPr>
      </w:pPr>
    </w:p>
    <w:p>
      <w:pPr>
        <w:ind w:left="480" w:hanging="134"/>
        <w:spacing w:after="0"/>
        <w:tabs>
          <w:tab w:leader="none" w:pos="480" w:val="left"/>
        </w:tabs>
        <w:numPr>
          <w:ilvl w:val="0"/>
          <w:numId w:val="9"/>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60" w:hanging="114"/>
        <w:spacing w:after="0"/>
        <w:tabs>
          <w:tab w:leader="none" w:pos="460" w:val="left"/>
        </w:tabs>
        <w:numPr>
          <w:ilvl w:val="0"/>
          <w:numId w:val="9"/>
        </w:numPr>
        <w:rPr>
          <w:rFonts w:ascii="Arial" w:cs="Arial" w:eastAsia="Arial" w:hAnsi="Arial"/>
          <w:sz w:val="9"/>
          <w:szCs w:val="9"/>
          <w:color w:val="auto"/>
        </w:rPr>
      </w:pPr>
      <w:r>
        <w:rPr>
          <w:rFonts w:ascii="Arial" w:cs="Arial" w:eastAsia="Arial" w:hAnsi="Arial"/>
          <w:sz w:val="14"/>
          <w:szCs w:val="14"/>
          <w:color w:val="auto"/>
        </w:rPr>
        <w:t>Regulatory application submitted. Information in this column relates to U.S., European Union (EU), and Japan submissions only.</w:t>
      </w:r>
    </w:p>
    <w:p>
      <w:pPr>
        <w:spacing w:after="0" w:line="289" w:lineRule="exact"/>
        <w:rPr>
          <w:sz w:val="20"/>
          <w:szCs w:val="20"/>
          <w:color w:val="auto"/>
        </w:rPr>
      </w:pPr>
    </w:p>
    <w:p>
      <w:pPr>
        <w:jc w:val="both"/>
        <w:ind w:firstLine="316"/>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20" w:lineRule="exact"/>
        <w:rPr>
          <w:sz w:val="20"/>
          <w:szCs w:val="20"/>
          <w:color w:val="auto"/>
        </w:rPr>
      </w:pPr>
    </w:p>
    <w:p>
      <w:pPr>
        <w:jc w:val="both"/>
        <w:ind w:firstLine="230"/>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2018 and 2019 to date were, and select 2019 milestones for the remainder of 2019 are, as follows:</w:t>
      </w:r>
    </w:p>
    <w:p>
      <w:pPr>
        <w:sectPr>
          <w:pgSz w:w="11900" w:h="16838" w:orient="portrait"/>
          <w:cols w:equalWidth="0" w:num="1">
            <w:col w:w="11400"/>
          </w:cols>
          <w:pgMar w:left="240" w:top="130" w:right="25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1140"/>
              <w:spacing w:after="0"/>
              <w:rPr>
                <w:sz w:val="20"/>
                <w:szCs w:val="20"/>
                <w:color w:val="auto"/>
              </w:rPr>
            </w:pPr>
            <w:r>
              <w:rPr>
                <w:rFonts w:ascii="Arial" w:cs="Arial" w:eastAsia="Arial" w:hAnsi="Arial"/>
                <w:sz w:val="18"/>
                <w:szCs w:val="18"/>
                <w:b w:val="1"/>
                <w:bCs w:val="1"/>
                <w:color w:val="auto"/>
              </w:rPr>
              <w:t>Clinical Program</w:t>
            </w:r>
          </w:p>
        </w:tc>
        <w:tc>
          <w:tcPr>
            <w:tcW w:w="180" w:type="dxa"/>
            <w:vAlign w:val="bottom"/>
          </w:tcPr>
          <w:p>
            <w:pPr>
              <w:spacing w:after="0"/>
              <w:rPr>
                <w:sz w:val="20"/>
                <w:szCs w:val="20"/>
                <w:color w:val="auto"/>
              </w:rPr>
            </w:pPr>
          </w:p>
        </w:tc>
        <w:tc>
          <w:tcPr>
            <w:tcW w:w="3740" w:type="dxa"/>
            <w:vAlign w:val="bottom"/>
          </w:tcPr>
          <w:p>
            <w:pPr>
              <w:ind w:left="740"/>
              <w:spacing w:after="0"/>
              <w:rPr>
                <w:sz w:val="20"/>
                <w:szCs w:val="20"/>
                <w:color w:val="auto"/>
              </w:rPr>
            </w:pPr>
            <w:r>
              <w:rPr>
                <w:rFonts w:ascii="Arial" w:cs="Arial" w:eastAsia="Arial" w:hAnsi="Arial"/>
                <w:sz w:val="18"/>
                <w:szCs w:val="18"/>
                <w:b w:val="1"/>
                <w:bCs w:val="1"/>
                <w:color w:val="auto"/>
              </w:rPr>
              <w:t>2018 and 2019 Events to Date</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r>
      <w:tr>
        <w:trPr>
          <w:trHeight w:val="222"/>
        </w:trPr>
        <w:tc>
          <w:tcPr>
            <w:tcW w:w="3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Chinese State Food and Drug Administration</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(CFDA) approved EYLEA for DME and wet</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AMD</w:t>
            </w:r>
          </w:p>
        </w:tc>
      </w:tr>
      <w:tr>
        <w:trPr>
          <w:trHeight w:val="27"/>
        </w:trPr>
        <w:tc>
          <w:tcPr>
            <w:tcW w:w="3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40" w:type="dxa"/>
            <w:vAlign w:val="bottom"/>
          </w:tcPr>
          <w:p>
            <w:pPr>
              <w:spacing w:after="0"/>
              <w:rPr>
                <w:sz w:val="2"/>
                <w:szCs w:val="2"/>
                <w:color w:val="auto"/>
              </w:rPr>
            </w:pPr>
          </w:p>
        </w:tc>
      </w:tr>
      <w:tr>
        <w:trPr>
          <w:trHeight w:val="229"/>
        </w:trPr>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Reported 24-week positive top-line results from</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Phase 3 PANORAMA study for the treatment of</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NPDR in patients without DME</w:t>
            </w:r>
          </w:p>
        </w:tc>
      </w:tr>
      <w:tr>
        <w:trPr>
          <w:trHeight w:val="526"/>
        </w:trPr>
        <w:tc>
          <w:tcPr>
            <w:tcW w:w="36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Reported that the Phase 3 PANORAMA study met</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its one-year primary endpoint and key secondary</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endpoints</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the treatment of diabetic</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retinopathy</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FDA issued Complete Response Letter (CRL)</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regarding the sBLA for pre-filled syringe</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Treat and Extend dosing regimen approved in the</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 for wet AMD</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FDA approved sBLA for every 12-week dosing</w:t>
            </w: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regimen option after one year of effective therapy</w:t>
            </w: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patients with wet AMD</w:t>
            </w:r>
          </w:p>
        </w:tc>
      </w:tr>
      <w:tr>
        <w:trPr>
          <w:trHeight w:val="277"/>
        </w:trPr>
        <w:tc>
          <w:tcPr>
            <w:tcW w:w="36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FDA approved sBLA for vial-only presentation</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Dupixent (dupilumab; IL-4R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9"/>
              </w:rPr>
              <w:t>Ÿ Ministry of Health, Labor and Welfare (MHLW)</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w w:val="96"/>
              </w:rPr>
              <w:t>in Japan approved Dupixent for the treatment of</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atopic dermatitis in adults not adequately</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controlled with existing therapies</w:t>
            </w: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7"/>
              </w:rPr>
              <w:t>Ÿ Initiated Phase 2/3 study in pediatric patients (6</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months–5 years of age) with severe atopic</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dermatitis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-4072890</wp:posOffset>
            </wp:positionV>
            <wp:extent cx="496570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5700"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154"/>
        <w:spacing w:after="0"/>
        <w:rPr>
          <w:sz w:val="20"/>
          <w:szCs w:val="20"/>
          <w:color w:val="auto"/>
        </w:rPr>
      </w:pPr>
      <w:r>
        <w:rPr>
          <w:rFonts w:ascii="Arial" w:cs="Arial" w:eastAsia="Arial" w:hAnsi="Arial"/>
          <w:sz w:val="18"/>
          <w:szCs w:val="18"/>
          <w:b w:val="1"/>
          <w:bCs w:val="1"/>
          <w:color w:val="auto"/>
        </w:rPr>
        <w:t>Select 2019 Milestones</w:t>
      </w:r>
    </w:p>
    <w:p>
      <w:pPr>
        <w:spacing w:after="0" w:line="81" w:lineRule="exact"/>
        <w:rPr>
          <w:sz w:val="20"/>
          <w:szCs w:val="20"/>
          <w:color w:val="auto"/>
        </w:rPr>
      </w:pPr>
    </w:p>
    <w:p>
      <w:pPr>
        <w:ind w:left="194" w:right="60" w:hanging="194"/>
        <w:spacing w:after="0" w:line="264"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decision on sBLA for the treatment of diabetic retinopathy (target action date of May 13, 2019)</w:t>
      </w:r>
    </w:p>
    <w:p>
      <w:pPr>
        <w:spacing w:after="0" w:line="19" w:lineRule="exact"/>
        <w:rPr>
          <w:rFonts w:ascii="Arial" w:cs="Arial" w:eastAsia="Arial" w:hAnsi="Arial"/>
          <w:sz w:val="18"/>
          <w:szCs w:val="18"/>
          <w:color w:val="auto"/>
        </w:rPr>
      </w:pPr>
    </w:p>
    <w:p>
      <w:pPr>
        <w:ind w:left="194" w:right="360" w:hanging="194"/>
        <w:spacing w:after="0" w:line="277"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Re-submission of Prior-Approval Supplement (PAS) for pre-filled syringe</w:t>
      </w:r>
    </w:p>
    <w:p>
      <w:pPr>
        <w:spacing w:after="0" w:line="8" w:lineRule="exact"/>
        <w:rPr>
          <w:rFonts w:ascii="Arial" w:cs="Arial" w:eastAsia="Arial" w:hAnsi="Arial"/>
          <w:sz w:val="18"/>
          <w:szCs w:val="18"/>
          <w:color w:val="auto"/>
        </w:rPr>
      </w:pPr>
    </w:p>
    <w:p>
      <w:pPr>
        <w:ind w:left="194" w:right="440" w:hanging="194"/>
        <w:spacing w:after="0" w:line="277"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 study of a high dose formulation of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-619760</wp:posOffset>
            </wp:positionV>
            <wp:extent cx="4845050" cy="2607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4505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4" w:right="40" w:hanging="194"/>
        <w:spacing w:after="0" w:line="259" w:lineRule="auto"/>
        <w:tabs>
          <w:tab w:leader="none" w:pos="1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decision on sBLA for expanded atopic dermatitis indication in adolescent patients (12–17 years of age) (target action date of March 11, 2019)</w:t>
      </w:r>
    </w:p>
    <w:p>
      <w:pPr>
        <w:spacing w:after="0" w:line="24" w:lineRule="exact"/>
        <w:rPr>
          <w:rFonts w:ascii="Arial" w:cs="Arial" w:eastAsia="Arial" w:hAnsi="Arial"/>
          <w:sz w:val="18"/>
          <w:szCs w:val="18"/>
          <w:color w:val="auto"/>
        </w:rPr>
      </w:pPr>
    </w:p>
    <w:p>
      <w:pPr>
        <w:ind w:left="194" w:right="60" w:hanging="194"/>
        <w:spacing w:after="0" w:line="342" w:lineRule="auto"/>
        <w:tabs>
          <w:tab w:leader="none" w:pos="1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Report results from Phase 3 study in pediatric patients (6–11 years of age) with atopic dermatitis</w:t>
      </w:r>
    </w:p>
    <w:p>
      <w:pPr>
        <w:spacing w:after="0" w:line="178" w:lineRule="exact"/>
        <w:rPr>
          <w:sz w:val="20"/>
          <w:szCs w:val="20"/>
          <w:color w:val="auto"/>
        </w:rPr>
      </w:pPr>
    </w:p>
    <w:p>
      <w:pPr>
        <w:sectPr>
          <w:pgSz w:w="11900" w:h="16838" w:orient="portrait"/>
          <w:cols w:equalWidth="0" w:num="2">
            <w:col w:w="7520" w:space="26"/>
            <w:col w:w="3854"/>
          </w:cols>
          <w:pgMar w:left="240" w:top="130" w:right="259" w:bottom="1440" w:gutter="0" w:footer="0" w:header="0"/>
          <w:type w:val="continuous"/>
        </w:sectPr>
      </w:pPr>
    </w:p>
    <w:p>
      <w:pPr>
        <w:ind w:left="3820" w:hanging="190"/>
        <w:spacing w:after="0" w:line="264" w:lineRule="auto"/>
        <w:tabs>
          <w:tab w:leader="none" w:pos="3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Reported positive results from Phase 3 study in adolescent patients (12–17 years of age) with atopic dermatitis</w:t>
      </w:r>
    </w:p>
    <w:p>
      <w:pPr>
        <w:spacing w:after="0" w:line="20" w:lineRule="exact"/>
        <w:rPr>
          <w:sz w:val="20"/>
          <w:szCs w:val="20"/>
          <w:color w:val="auto"/>
        </w:rPr>
      </w:pPr>
      <w:r>
        <w:rPr>
          <w:sz w:val="20"/>
          <w:szCs w:val="20"/>
          <w:color w:val="auto"/>
        </w:rPr>
        <w:br w:type="column"/>
      </w:r>
    </w:p>
    <w:p>
      <w:pPr>
        <w:ind w:left="194" w:right="140" w:hanging="194"/>
        <w:spacing w:after="0" w:line="308" w:lineRule="auto"/>
        <w:tabs>
          <w:tab w:leader="none" w:pos="1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European Medicines Agency (EMA) decision on regulatory application for asthma</w:t>
      </w:r>
    </w:p>
    <w:p>
      <w:pPr>
        <w:spacing w:after="0" w:line="200" w:lineRule="exact"/>
        <w:rPr>
          <w:sz w:val="20"/>
          <w:szCs w:val="20"/>
          <w:color w:val="auto"/>
        </w:rPr>
      </w:pPr>
    </w:p>
    <w:p>
      <w:pPr>
        <w:sectPr>
          <w:pgSz w:w="11900" w:h="16838" w:orient="portrait"/>
          <w:cols w:equalWidth="0" w:num="2">
            <w:col w:w="7220" w:space="326"/>
            <w:col w:w="3854"/>
          </w:cols>
          <w:pgMar w:left="240" w:top="130" w:right="259" w:bottom="1440" w:gutter="0" w:footer="0" w:header="0"/>
          <w:type w:val="continuous"/>
        </w:sectPr>
      </w:pPr>
    </w:p>
    <w:p>
      <w:pPr>
        <w:ind w:left="3820" w:right="460" w:hanging="190"/>
        <w:spacing w:after="0" w:line="286" w:lineRule="auto"/>
        <w:tabs>
          <w:tab w:leader="none" w:pos="3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FDA accepted for priority review sBLA for expanded atopic dermatitis indication in adolescent patients (12–17 years of age)</w:t>
      </w:r>
    </w:p>
    <w:p>
      <w:pPr>
        <w:spacing w:after="0" w:line="3" w:lineRule="exact"/>
        <w:rPr>
          <w:rFonts w:ascii="Arial" w:cs="Arial" w:eastAsia="Arial" w:hAnsi="Arial"/>
          <w:sz w:val="17"/>
          <w:szCs w:val="17"/>
          <w:color w:val="auto"/>
        </w:rPr>
      </w:pPr>
    </w:p>
    <w:p>
      <w:pPr>
        <w:ind w:left="3820" w:right="60" w:hanging="190"/>
        <w:spacing w:after="0" w:line="305" w:lineRule="auto"/>
        <w:tabs>
          <w:tab w:leader="none" w:pos="3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Submitted Marketing Authorization Application (MAA) for expanded atopic dermatitis indication in adolescent patients (12–17 years of age)</w:t>
      </w:r>
    </w:p>
    <w:p>
      <w:pPr>
        <w:ind w:left="3820" w:right="360" w:hanging="190"/>
        <w:spacing w:after="0" w:line="317" w:lineRule="auto"/>
        <w:tabs>
          <w:tab w:leader="none" w:pos="3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FDA approved sBLA for moderate-to-severe asthma in patients 12 years of age and older</w:t>
      </w:r>
    </w:p>
    <w:p>
      <w:pPr>
        <w:ind w:left="3820" w:right="220" w:hanging="190"/>
        <w:spacing w:after="0" w:line="305" w:lineRule="auto"/>
        <w:tabs>
          <w:tab w:leader="none" w:pos="3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application for asthma accepted for review by the EMA and Pharmaceuticals and Medical Devices Agency (PMDA) in Japan</w:t>
      </w:r>
    </w:p>
    <w:p>
      <w:pPr>
        <w:ind w:left="3820" w:hanging="190"/>
        <w:spacing w:after="0" w:line="305" w:lineRule="auto"/>
        <w:tabs>
          <w:tab w:leader="none" w:pos="3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Positive results from two Phase 3 trials for the treatment of moderate-to-severe asthma published in the </w:t>
      </w:r>
      <w:r>
        <w:rPr>
          <w:rFonts w:ascii="Arial" w:cs="Arial" w:eastAsia="Arial" w:hAnsi="Arial"/>
          <w:sz w:val="16"/>
          <w:szCs w:val="16"/>
          <w:i w:val="1"/>
          <w:iCs w:val="1"/>
          <w:color w:val="auto"/>
        </w:rPr>
        <w:t>New England Journal of Medicine</w:t>
      </w:r>
    </w:p>
    <w:p>
      <w:pPr>
        <w:ind w:left="3820" w:hanging="190"/>
        <w:spacing w:after="0"/>
        <w:tabs>
          <w:tab w:leader="none" w:pos="3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Initiated Phase 2 study in grass allergy</w:t>
      </w:r>
    </w:p>
    <w:p>
      <w:pPr>
        <w:spacing w:after="0" w:line="20" w:lineRule="exact"/>
        <w:rPr>
          <w:sz w:val="20"/>
          <w:szCs w:val="20"/>
          <w:color w:val="auto"/>
        </w:rPr>
      </w:pPr>
      <w:r>
        <w:rPr>
          <w:sz w:val="20"/>
          <w:szCs w:val="20"/>
          <w:color w:val="auto"/>
        </w:rPr>
        <w:br w:type="column"/>
      </w:r>
    </w:p>
    <w:p>
      <w:pPr>
        <w:ind w:left="194" w:hanging="194"/>
        <w:spacing w:after="0"/>
        <w:tabs>
          <w:tab w:leader="none" w:pos="1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Phase 2/3 program in COPD</w:t>
      </w:r>
    </w:p>
    <w:p>
      <w:pPr>
        <w:spacing w:after="0" w:line="144" w:lineRule="exact"/>
        <w:rPr>
          <w:rFonts w:ascii="Arial" w:cs="Arial" w:eastAsia="Arial" w:hAnsi="Arial"/>
          <w:sz w:val="18"/>
          <w:szCs w:val="18"/>
          <w:color w:val="auto"/>
        </w:rPr>
      </w:pPr>
    </w:p>
    <w:p>
      <w:pPr>
        <w:ind w:left="194" w:right="160" w:hanging="194"/>
        <w:spacing w:after="0" w:line="264" w:lineRule="auto"/>
        <w:tabs>
          <w:tab w:leader="none" w:pos="1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(target action date of March 11, 2019) and EMA decisions on applications for 200 mg auto-injector</w:t>
      </w:r>
    </w:p>
    <w:p>
      <w:pPr>
        <w:spacing w:after="0" w:line="2668" w:lineRule="exact"/>
        <w:rPr>
          <w:sz w:val="20"/>
          <w:szCs w:val="20"/>
          <w:color w:val="auto"/>
        </w:rPr>
      </w:pPr>
    </w:p>
    <w:p>
      <w:pPr>
        <w:sectPr>
          <w:pgSz w:w="11900" w:h="16838" w:orient="portrait"/>
          <w:cols w:equalWidth="0" w:num="2">
            <w:col w:w="7420" w:space="126"/>
            <w:col w:w="3854"/>
          </w:cols>
          <w:pgMar w:left="240" w:top="130" w:right="25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30" w:right="25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70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2018 and 2019 Events to Date</w:t>
            </w:r>
          </w:p>
        </w:tc>
        <w:tc>
          <w:tcPr>
            <w:tcW w:w="180" w:type="dxa"/>
            <w:vAlign w:val="bottom"/>
          </w:tcPr>
          <w:p>
            <w:pPr>
              <w:spacing w:after="0"/>
              <w:rPr>
                <w:sz w:val="20"/>
                <w:szCs w:val="20"/>
                <w:color w:val="auto"/>
              </w:rPr>
            </w:pPr>
          </w:p>
        </w:tc>
        <w:tc>
          <w:tcPr>
            <w:tcW w:w="3720" w:type="dxa"/>
            <w:vAlign w:val="bottom"/>
          </w:tcPr>
          <w:p>
            <w:pPr>
              <w:ind w:left="1000"/>
              <w:spacing w:after="0"/>
              <w:rPr>
                <w:sz w:val="20"/>
                <w:szCs w:val="20"/>
                <w:color w:val="auto"/>
              </w:rPr>
            </w:pPr>
            <w:r>
              <w:rPr>
                <w:rFonts w:ascii="Arial" w:cs="Arial" w:eastAsia="Arial" w:hAnsi="Arial"/>
                <w:sz w:val="18"/>
                <w:szCs w:val="18"/>
                <w:b w:val="1"/>
                <w:bCs w:val="1"/>
                <w:color w:val="auto"/>
              </w:rPr>
              <w:t>Select 2019 Milestones</w:t>
            </w:r>
          </w:p>
        </w:tc>
      </w:tr>
      <w:tr>
        <w:trPr>
          <w:trHeight w:val="27"/>
        </w:trPr>
        <w:tc>
          <w:tcPr>
            <w:tcW w:w="362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2"/>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Dupixent (dupilumab; IL-4R Antibody)</w:t>
            </w:r>
          </w:p>
        </w:tc>
        <w:tc>
          <w:tcPr>
            <w:tcW w:w="180" w:type="dxa"/>
            <w:vAlign w:val="bottom"/>
          </w:tcPr>
          <w:p>
            <w:pPr>
              <w:ind w:left="20"/>
              <w:spacing w:after="0"/>
              <w:rPr>
                <w:sz w:val="20"/>
                <w:szCs w:val="20"/>
                <w:color w:val="auto"/>
              </w:rPr>
            </w:pPr>
            <w:r>
              <w:rPr>
                <w:rFonts w:ascii="Arial" w:cs="Arial" w:eastAsia="Arial" w:hAnsi="Arial"/>
                <w:sz w:val="18"/>
                <w:szCs w:val="18"/>
                <w:color w:val="auto"/>
              </w:rPr>
              <w:t>Ÿ</w:t>
            </w:r>
          </w:p>
        </w:tc>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Initiated Phase 2/3 study in eosinophilic</w:t>
            </w:r>
          </w:p>
        </w:tc>
        <w:tc>
          <w:tcPr>
            <w:tcW w:w="180" w:type="dxa"/>
            <w:vAlign w:val="bottom"/>
          </w:tcPr>
          <w:p>
            <w:pPr>
              <w:spacing w:after="0"/>
              <w:rPr>
                <w:sz w:val="19"/>
                <w:szCs w:val="19"/>
                <w:color w:val="auto"/>
              </w:rPr>
            </w:pPr>
          </w:p>
        </w:tc>
        <w:tc>
          <w:tcPr>
            <w:tcW w:w="3720" w:type="dxa"/>
            <w:vAlign w:val="bottom"/>
            <w:tcBorders>
              <w:top w:val="single" w:sz="8" w:color="auto"/>
            </w:tcBorders>
          </w:tcPr>
          <w:p>
            <w:pPr>
              <w:spacing w:after="0"/>
              <w:rPr>
                <w:sz w:val="19"/>
                <w:szCs w:val="19"/>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esophagitis</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Initiated Phase 2 study in peanut allergy</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3"/>
              </w:rPr>
              <w:t>Ÿ Submitted sBLA for auto-injector for 200 mg dose</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56"/>
        </w:trPr>
        <w:tc>
          <w:tcPr>
            <w:tcW w:w="3620" w:type="dxa"/>
            <w:vAlign w:val="bottom"/>
          </w:tcPr>
          <w:p>
            <w:pPr>
              <w:spacing w:after="0"/>
              <w:rPr>
                <w:sz w:val="22"/>
                <w:szCs w:val="22"/>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2"/>
              </w:rPr>
              <w:t>Ÿ Reported positive top-line results from both Phase</w:t>
            </w:r>
          </w:p>
        </w:tc>
        <w:tc>
          <w:tcPr>
            <w:tcW w:w="18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3 trials of patients with CRSwNP</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Submitted sBLA for CRSwNP</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Praluent (alirocumab; PCSK9 Antibody)</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Reported positive results from ODYSSEY</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FDA (target action date of April 28, 2019) and</w:t>
            </w:r>
          </w:p>
        </w:tc>
      </w:tr>
      <w:tr>
        <w:trPr>
          <w:trHeight w:val="216"/>
        </w:trPr>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OUTCOMES study</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EMA decisions on applications for cardiovascular</w:t>
            </w:r>
          </w:p>
        </w:tc>
      </w:tr>
      <w:tr>
        <w:trPr>
          <w:trHeight w:val="270"/>
        </w:trPr>
        <w:tc>
          <w:tcPr>
            <w:tcW w:w="36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and MAA variation for</w:t>
            </w:r>
          </w:p>
        </w:tc>
        <w:tc>
          <w:tcPr>
            <w:tcW w:w="180" w:type="dxa"/>
            <w:vAlign w:val="bottom"/>
            <w:shd w:val="clear" w:color="auto" w:fill="CCEEFF"/>
          </w:tcPr>
          <w:p>
            <w:pPr>
              <w:spacing w:after="0"/>
              <w:rPr>
                <w:sz w:val="23"/>
                <w:szCs w:val="23"/>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reduction</w:t>
            </w:r>
          </w:p>
        </w:tc>
      </w:tr>
      <w:tr>
        <w:trPr>
          <w:trHeight w:val="230"/>
        </w:trPr>
        <w:tc>
          <w:tcPr>
            <w:tcW w:w="3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cardiovascular risk reduction</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European Medicine Agency's Committee for</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FDA decision on sBLA for first-line treatment of</w:t>
            </w:r>
          </w:p>
        </w:tc>
      </w:tr>
      <w:tr>
        <w:trPr>
          <w:trHeight w:val="216"/>
        </w:trPr>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Medicinal Products for Human Use (CHMP)</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hyperlipidemia (target action date of April 29,</w:t>
            </w:r>
          </w:p>
        </w:tc>
      </w:tr>
      <w:tr>
        <w:trPr>
          <w:trHeight w:val="216"/>
        </w:trPr>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recommended approval for a new indication to</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r>
      <w:tr>
        <w:trPr>
          <w:trHeight w:val="230"/>
        </w:trPr>
        <w:tc>
          <w:tcPr>
            <w:tcW w:w="3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reduce cardiovascular risk</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Submitted sBLA for first-line treatment of</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0"/>
        </w:trPr>
        <w:tc>
          <w:tcPr>
            <w:tcW w:w="3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hyperlipidemia</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Initiated Phase 3 pediatric studies in HeFH and</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0"/>
        </w:trPr>
        <w:tc>
          <w:tcPr>
            <w:tcW w:w="3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HoFH</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77"/>
        </w:trPr>
        <w:tc>
          <w:tcPr>
            <w:tcW w:w="36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FDA approved sBLA for use with apheresis</w:t>
            </w:r>
          </w:p>
        </w:tc>
        <w:tc>
          <w:tcPr>
            <w:tcW w:w="18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shd w:val="clear" w:color="auto" w:fill="CCEEFF"/>
          </w:tcPr>
          <w:p>
            <w:pPr>
              <w:spacing w:after="0"/>
              <w:rPr>
                <w:sz w:val="24"/>
                <w:szCs w:val="24"/>
                <w:color w:val="auto"/>
              </w:rPr>
            </w:pP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Kevzara (sarilumab; IL-6R Antibody)</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FDA approved sBLA for single-dose pre-filled</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pen presentation</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Initiated Phase 2 study in sJIA</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3"/>
              </w:rPr>
              <w:t>Ÿ Initiated Phase 3 study in polymyalgia rheumatica</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0"/>
        </w:trPr>
        <w:tc>
          <w:tcPr>
            <w:tcW w:w="362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Initiated Phase 3 study in giant cell arteritis</w:t>
            </w:r>
          </w:p>
        </w:tc>
        <w:tc>
          <w:tcPr>
            <w:tcW w:w="1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7"/>
        </w:trPr>
        <w:tc>
          <w:tcPr>
            <w:tcW w:w="362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3900" w:type="dxa"/>
            <w:vAlign w:val="bottom"/>
            <w:gridSpan w:val="2"/>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Libtayo (cemiplimab; PD-1 Antibody)</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EMA accepted for review MAA for advanced</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Ÿ Regulatory agency decision for advanced CSCC</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CSCC</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the EU</w:t>
            </w:r>
          </w:p>
        </w:tc>
      </w:tr>
      <w:tr>
        <w:trPr>
          <w:trHeight w:val="229"/>
        </w:trPr>
        <w:tc>
          <w:tcPr>
            <w:tcW w:w="3620" w:type="dxa"/>
            <w:vAlign w:val="bottom"/>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Positive results from pivotal trial in advanced</w:t>
            </w: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Ÿ Continue patient enrollment in NSCLC and</w:t>
            </w:r>
          </w:p>
        </w:tc>
      </w:tr>
      <w:tr>
        <w:trPr>
          <w:trHeight w:val="216"/>
        </w:trPr>
        <w:tc>
          <w:tcPr>
            <w:tcW w:w="36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CSCC published in the New England Journal of</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various other studies</w:t>
            </w:r>
          </w:p>
        </w:tc>
      </w:tr>
      <w:tr>
        <w:trPr>
          <w:trHeight w:val="230"/>
        </w:trPr>
        <w:tc>
          <w:tcPr>
            <w:tcW w:w="362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Medicine</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1680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8084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18"/>
          <w:szCs w:val="18"/>
          <w:color w:val="auto"/>
        </w:rPr>
        <w:t>Ÿ FDA approved BLA for the treatment of advanced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CSCC</w:t>
      </w:r>
    </w:p>
    <w:p>
      <w:pPr>
        <w:spacing w:after="0" w:line="4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Ÿ Reported positive results from Phase 1 study in</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advanced NSCLC</w:t>
      </w:r>
    </w:p>
    <w:p>
      <w:pPr>
        <w:spacing w:after="0" w:line="4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Ÿ Initiated additional Phase 3 studies in advanced</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NSCLC</w:t>
      </w:r>
    </w:p>
    <w:p>
      <w:pPr>
        <w:sectPr>
          <w:pgSz w:w="11900" w:h="16838" w:orient="portrait"/>
          <w:cols w:equalWidth="0" w:num="1">
            <w:col w:w="11420"/>
          </w:cols>
          <w:pgMar w:left="240" w:top="130" w:right="239" w:bottom="1440" w:gutter="0" w:footer="0" w:header="0"/>
        </w:sectPr>
      </w:pPr>
    </w:p>
    <w:p>
      <w:pPr>
        <w:spacing w:after="0" w:line="49" w:lineRule="exact"/>
        <w:rPr>
          <w:sz w:val="20"/>
          <w:szCs w:val="20"/>
          <w:color w:val="auto"/>
        </w:rPr>
      </w:pPr>
    </w:p>
    <w:p>
      <w:pPr>
        <w:ind w:left="40"/>
        <w:spacing w:after="0"/>
        <w:tabs>
          <w:tab w:leader="none" w:pos="3620" w:val="left"/>
        </w:tabs>
        <w:rPr>
          <w:sz w:val="20"/>
          <w:szCs w:val="20"/>
          <w:color w:val="auto"/>
        </w:rPr>
      </w:pPr>
      <w:r>
        <w:rPr>
          <w:rFonts w:ascii="Arial" w:cs="Arial" w:eastAsia="Arial" w:hAnsi="Arial"/>
          <w:sz w:val="18"/>
          <w:szCs w:val="18"/>
          <w:b w:val="1"/>
          <w:bCs w:val="1"/>
          <w:i w:val="1"/>
          <w:iCs w:val="1"/>
          <w:color w:val="auto"/>
        </w:rPr>
        <w:t>Fasinumab (NGF Antibody)</w:t>
      </w:r>
      <w:r>
        <w:rPr>
          <w:sz w:val="20"/>
          <w:szCs w:val="20"/>
          <w:color w:val="auto"/>
        </w:rPr>
        <w:tab/>
      </w:r>
      <w:r>
        <w:rPr>
          <w:rFonts w:ascii="Arial" w:cs="Arial" w:eastAsia="Arial" w:hAnsi="Arial"/>
          <w:sz w:val="16"/>
          <w:szCs w:val="16"/>
          <w:color w:val="auto"/>
        </w:rPr>
        <w:t>Ÿ Completed patient enrollment in the efficacy sub-</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study of the Phase 3 long-term safety study in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osteoarthritis</w:t>
      </w:r>
    </w:p>
    <w:p>
      <w:pPr>
        <w:spacing w:after="0" w:line="4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Ÿ Independent Data Monitoring Committee (DMC)</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recommended higher dose-regimens be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discontinued, and osteoarthritis trials modified</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accordingly</w:t>
      </w:r>
    </w:p>
    <w:p>
      <w:pPr>
        <w:spacing w:after="0" w:line="49"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Ÿ Discontinued dosing in chronic low back pain in</w:t>
      </w:r>
    </w:p>
    <w:p>
      <w:pPr>
        <w:spacing w:after="0" w:line="35"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patients with concomitant osteoarthritis of the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knee and hip</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Ÿ Reported positive top-line results from first Phase</w:t>
      </w:r>
    </w:p>
    <w:p>
      <w:pPr>
        <w:spacing w:after="0" w:line="2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3 efficacy study in osteoarthritis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94" w:right="120" w:hanging="194"/>
        <w:spacing w:after="0" w:line="264" w:lineRule="auto"/>
        <w:tabs>
          <w:tab w:leader="none" w:pos="1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patient enrollment in Phase 3 long-term safety study and Phase 3 efficacy studies in osteoarthritis</w:t>
      </w:r>
    </w:p>
    <w:p>
      <w:pPr>
        <w:spacing w:after="0" w:line="2277" w:lineRule="exact"/>
        <w:rPr>
          <w:sz w:val="20"/>
          <w:szCs w:val="20"/>
          <w:color w:val="auto"/>
        </w:rPr>
      </w:pPr>
    </w:p>
    <w:p>
      <w:pPr>
        <w:sectPr>
          <w:pgSz w:w="11900" w:h="16838" w:orient="portrait"/>
          <w:cols w:equalWidth="0" w:num="2">
            <w:col w:w="7420" w:space="126"/>
            <w:col w:w="3874"/>
          </w:cols>
          <w:pgMar w:left="240" w:top="130" w:right="2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680"/>
              <w:spacing w:after="0"/>
              <w:rPr>
                <w:sz w:val="20"/>
                <w:szCs w:val="20"/>
                <w:color w:val="auto"/>
              </w:rPr>
            </w:pPr>
            <w:r>
              <w:rPr>
                <w:rFonts w:ascii="Arial" w:cs="Arial" w:eastAsia="Arial" w:hAnsi="Arial"/>
                <w:sz w:val="18"/>
                <w:szCs w:val="18"/>
                <w:b w:val="1"/>
                <w:bCs w:val="1"/>
                <w:color w:val="auto"/>
              </w:rPr>
              <w:t xml:space="preserve">Clinical Program </w:t>
            </w:r>
            <w:r>
              <w:rPr>
                <w:rFonts w:ascii="Arial" w:cs="Arial" w:eastAsia="Arial" w:hAnsi="Arial"/>
                <w:sz w:val="18"/>
                <w:szCs w:val="18"/>
                <w:b w:val="1"/>
                <w:bCs w:val="1"/>
                <w:i w:val="1"/>
                <w:iCs w:val="1"/>
                <w:color w:val="auto"/>
              </w:rPr>
              <w:t>(continued)</w:t>
            </w:r>
          </w:p>
        </w:tc>
        <w:tc>
          <w:tcPr>
            <w:tcW w:w="180" w:type="dxa"/>
            <w:vAlign w:val="bottom"/>
          </w:tcPr>
          <w:p>
            <w:pPr>
              <w:spacing w:after="0"/>
              <w:rPr>
                <w:sz w:val="20"/>
                <w:szCs w:val="20"/>
                <w:color w:val="auto"/>
              </w:rPr>
            </w:pPr>
          </w:p>
        </w:tc>
        <w:tc>
          <w:tcPr>
            <w:tcW w:w="3740" w:type="dxa"/>
            <w:vAlign w:val="bottom"/>
          </w:tcPr>
          <w:p>
            <w:pPr>
              <w:ind w:left="740"/>
              <w:spacing w:after="0"/>
              <w:rPr>
                <w:sz w:val="20"/>
                <w:szCs w:val="20"/>
                <w:color w:val="auto"/>
              </w:rPr>
            </w:pPr>
            <w:r>
              <w:rPr>
                <w:rFonts w:ascii="Arial" w:cs="Arial" w:eastAsia="Arial" w:hAnsi="Arial"/>
                <w:sz w:val="18"/>
                <w:szCs w:val="18"/>
                <w:b w:val="1"/>
                <w:bCs w:val="1"/>
                <w:color w:val="auto"/>
              </w:rPr>
              <w:t>2018 and 2019 Events to Date</w:t>
            </w:r>
          </w:p>
        </w:tc>
        <w:tc>
          <w:tcPr>
            <w:tcW w:w="180" w:type="dxa"/>
            <w:vAlign w:val="bottom"/>
          </w:tcPr>
          <w:p>
            <w:pPr>
              <w:spacing w:after="0"/>
              <w:rPr>
                <w:sz w:val="20"/>
                <w:szCs w:val="20"/>
                <w:color w:val="auto"/>
              </w:rPr>
            </w:pPr>
          </w:p>
        </w:tc>
        <w:tc>
          <w:tcPr>
            <w:tcW w:w="3720" w:type="dxa"/>
            <w:vAlign w:val="bottom"/>
          </w:tcPr>
          <w:p>
            <w:pPr>
              <w:ind w:left="1000"/>
              <w:spacing w:after="0"/>
              <w:rPr>
                <w:sz w:val="20"/>
                <w:szCs w:val="20"/>
                <w:color w:val="auto"/>
              </w:rPr>
            </w:pPr>
            <w:r>
              <w:rPr>
                <w:rFonts w:ascii="Arial" w:cs="Arial" w:eastAsia="Arial" w:hAnsi="Arial"/>
                <w:sz w:val="18"/>
                <w:szCs w:val="18"/>
                <w:b w:val="1"/>
                <w:bCs w:val="1"/>
                <w:color w:val="auto"/>
              </w:rPr>
              <w:t>Select 2019 Milestones</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r>
      <w:tr>
        <w:trPr>
          <w:trHeight w:val="237"/>
        </w:trPr>
        <w:tc>
          <w:tcPr>
            <w:tcW w:w="3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Initiated Phase 3 study in HoFH</w:t>
            </w:r>
          </w:p>
        </w:tc>
        <w:tc>
          <w:tcPr>
            <w:tcW w:w="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Report results from Phase 3 study in HoFH</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Completed patient enrollment in Phase 3 study in</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HoFH</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Initiated Phase 2 study in severe</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hypertriglyceridemia</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Garetosmab (REGN2477; Activin A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potentially pivotal Phase 2 study in</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patients with FOP</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3900" w:type="dxa"/>
            <w:vAlign w:val="bottom"/>
            <w:gridSpan w:val="2"/>
          </w:tcPr>
          <w:p>
            <w:pPr>
              <w:spacing w:after="0"/>
              <w:rPr>
                <w:sz w:val="2"/>
                <w:szCs w:val="2"/>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REGN3500 (IL-33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2 study in asthma</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Ÿ</w:t>
            </w:r>
          </w:p>
        </w:tc>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Phase 2 study in asthma</w:t>
            </w:r>
          </w:p>
        </w:tc>
      </w:tr>
      <w:tr>
        <w:trPr>
          <w:trHeight w:val="256"/>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Completed patient enrollment in Phase 2 study in</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asthma</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70"/>
        </w:trPr>
        <w:tc>
          <w:tcPr>
            <w:tcW w:w="36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Initiated Phase 2 study in COPD</w:t>
            </w:r>
          </w:p>
        </w:tc>
        <w:tc>
          <w:tcPr>
            <w:tcW w:w="1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r>
      <w:tr>
        <w:trPr>
          <w:trHeight w:val="277"/>
        </w:trPr>
        <w:tc>
          <w:tcPr>
            <w:tcW w:w="36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Ÿ</w:t>
            </w: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Initiated Phase 2 study in atopic dermatitis</w:t>
            </w:r>
          </w:p>
        </w:tc>
        <w:tc>
          <w:tcPr>
            <w:tcW w:w="180" w:type="dxa"/>
            <w:vAlign w:val="bottom"/>
            <w:tcBorders>
              <w:bottom w:val="single" w:sz="8" w:color="CCEEFF"/>
            </w:tcBorders>
            <w:shd w:val="clear" w:color="auto" w:fill="CCEEFF"/>
          </w:tcPr>
          <w:p>
            <w:pPr>
              <w:spacing w:after="0"/>
              <w:rPr>
                <w:sz w:val="24"/>
                <w:szCs w:val="24"/>
                <w:color w:val="auto"/>
              </w:rPr>
            </w:pPr>
          </w:p>
        </w:tc>
        <w:tc>
          <w:tcPr>
            <w:tcW w:w="3720" w:type="dxa"/>
            <w:vAlign w:val="bottom"/>
            <w:tcBorders>
              <w:bottom w:val="single" w:sz="8" w:color="CCEEFF"/>
            </w:tcBorders>
            <w:shd w:val="clear" w:color="auto" w:fill="CCEEFF"/>
          </w:tcPr>
          <w:p>
            <w:pPr>
              <w:spacing w:after="0"/>
              <w:rPr>
                <w:sz w:val="24"/>
                <w:szCs w:val="24"/>
                <w:color w:val="auto"/>
              </w:rPr>
            </w:pPr>
          </w:p>
        </w:tc>
      </w:tr>
      <w:tr>
        <w:trPr>
          <w:trHeight w:val="229"/>
        </w:trPr>
        <w:tc>
          <w:tcPr>
            <w:tcW w:w="75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1"/>
              </w:rPr>
              <w:t xml:space="preserve">Trevogrumab (GDF8 Antibody) in combination </w:t>
            </w:r>
            <w:r>
              <w:rPr>
                <w:rFonts w:ascii="Arial" w:cs="Arial" w:eastAsia="Arial" w:hAnsi="Arial"/>
                <w:sz w:val="18"/>
                <w:szCs w:val="18"/>
                <w:color w:val="auto"/>
                <w:w w:val="91"/>
              </w:rPr>
              <w:t>Ÿ Reported positive results from single-dose portion</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4"/>
              </w:rPr>
              <w:t>Ÿ Report results from multi-dose portion of Phase 1</w:t>
            </w: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with garetosmab</w:t>
            </w: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of Phase 1 study</w:t>
            </w: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study</w:t>
            </w:r>
          </w:p>
        </w:tc>
      </w:tr>
      <w:tr>
        <w:trPr>
          <w:trHeight w:val="27"/>
        </w:trPr>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1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Ÿ Initiate Phase 2 study in cat allergic asthmatics</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REGN1979 (CD20 and CD3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4"/>
              </w:rPr>
              <w:t>Ÿ FDA granted orphan drug designation in follicular</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potentially pivotal Phase 2 study in FL</w:t>
            </w: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lymphoma (FL)</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56"/>
        </w:trPr>
        <w:tc>
          <w:tcPr>
            <w:tcW w:w="3600" w:type="dxa"/>
            <w:vAlign w:val="bottom"/>
          </w:tcPr>
          <w:p>
            <w:pPr>
              <w:spacing w:after="0"/>
              <w:rPr>
                <w:sz w:val="22"/>
                <w:szCs w:val="22"/>
                <w:color w:val="auto"/>
              </w:rPr>
            </w:pP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5"/>
              </w:rPr>
              <w:t>Ÿ Presented positive results from Phase 1 study in</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w w:val="94"/>
              </w:rPr>
              <w:t>Ÿ Initiate potentially pivotal Phase 2 study in diffuse</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patients with relapsed or refractory B-cell non-</w:t>
            </w:r>
          </w:p>
        </w:tc>
        <w:tc>
          <w:tcPr>
            <w:tcW w:w="18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large B-cell lymphoma (DLBCL)</w:t>
            </w:r>
          </w:p>
        </w:tc>
      </w:t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Hodgkin lymphoma at American Society of</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Hematology (ASH) Annual Meeting</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REGN-EB3 (REGN3470-3471-3479; Multi-</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Being used investigationally in the Democratic</w:t>
            </w:r>
          </w:p>
        </w:tc>
        <w:tc>
          <w:tcPr>
            <w:tcW w:w="1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r>
      <w:tr>
        <w:trPr>
          <w:trHeight w:val="216"/>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antibody therapy to Ebola virus)</w:t>
            </w: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Republic of the Congo in Ebola virus infection</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30"/>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outbreak</w:t>
            </w:r>
          </w:p>
        </w:tc>
        <w:tc>
          <w:tcPr>
            <w:tcW w:w="18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56"/>
        </w:trPr>
        <w:tc>
          <w:tcPr>
            <w:tcW w:w="3600" w:type="dxa"/>
            <w:vAlign w:val="bottom"/>
            <w:shd w:val="clear" w:color="auto" w:fill="CCEEFF"/>
          </w:tcPr>
          <w:p>
            <w:pPr>
              <w:spacing w:after="0"/>
              <w:rPr>
                <w:sz w:val="22"/>
                <w:szCs w:val="22"/>
                <w:color w:val="auto"/>
              </w:rPr>
            </w:pP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Included in randomized controlled trial run by</w:t>
            </w:r>
          </w:p>
        </w:tc>
        <w:tc>
          <w:tcPr>
            <w:tcW w:w="18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 Health Organization</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0"/>
              </w:rPr>
              <w:t>REGN3048-3051 (Multiple-antibody therapy to</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Complete Phase 1 study in healthy volunteers</w:t>
            </w:r>
          </w:p>
        </w:tc>
      </w:tr>
      <w:tr>
        <w:trPr>
          <w:trHeight w:val="230"/>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MERS)</w:t>
            </w:r>
          </w:p>
        </w:tc>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REGN3767 (LAG-3 Antibody)</w:t>
            </w:r>
          </w:p>
        </w:tc>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Ÿ Opened monotherapy expansion cohorts as well as</w:t>
            </w:r>
          </w:p>
        </w:tc>
        <w:tc>
          <w:tcPr>
            <w:tcW w:w="18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r>
      <w:tr>
        <w:trPr>
          <w:trHeight w:val="216"/>
        </w:trPr>
        <w:tc>
          <w:tcPr>
            <w:tcW w:w="3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combination with Libtayo in multiple</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indications</w:t>
            </w:r>
          </w:p>
        </w:tc>
        <w:tc>
          <w:tcPr>
            <w:tcW w:w="1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Pozelimab (REGN3918; C5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w w:val="98"/>
              </w:rPr>
              <w:t>Ÿ Completed Phase 1 study in healthy volunteers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study in PNH</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3900" w:type="dxa"/>
            <w:vAlign w:val="bottom"/>
            <w:gridSpan w:val="2"/>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REGN4461 (LEPR Agonist Antibody)</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Ÿ Initiate Phase 2 study in generalized lipodystrophy</w:t>
            </w: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REGN4018 (MUC16 and CD3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1 study in platinum-resistant</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ovarian cancer</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REGN4659 (CTLA4 Antibody)</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advanced NSCLC</w:t>
            </w:r>
          </w:p>
        </w:tc>
        <w:tc>
          <w:tcPr>
            <w:tcW w:w="18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REGN5069 (GFRα3 Antibody)</w:t>
            </w:r>
          </w:p>
        </w:tc>
        <w:tc>
          <w:tcPr>
            <w:tcW w:w="3920" w:type="dxa"/>
            <w:vAlign w:val="bottom"/>
            <w:gridSpan w:val="2"/>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Complete Phase 1 study in healthy volunteers</w:t>
            </w:r>
          </w:p>
        </w:tc>
      </w:tr>
      <w:tr>
        <w:trPr>
          <w:trHeight w:val="270"/>
        </w:trPr>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Ÿ Initiate Phase 2 study in osteoarthritis</w:t>
            </w:r>
          </w:p>
        </w:tc>
      </w:tr>
      <w:tr>
        <w:trPr>
          <w:trHeight w:val="27"/>
        </w:trPr>
        <w:tc>
          <w:tcPr>
            <w:tcW w:w="36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REGN5458 (BCMA and CD3 Antibody)</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1 study in multiple myeloma</w:t>
            </w:r>
          </w:p>
        </w:tc>
        <w:tc>
          <w:tcPr>
            <w:tcW w:w="18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r>
      <w:tr>
        <w:trPr>
          <w:trHeight w:val="594"/>
        </w:trPr>
        <w:tc>
          <w:tcPr>
            <w:tcW w:w="3600" w:type="dxa"/>
            <w:vAlign w:val="bottom"/>
          </w:tcPr>
          <w:p>
            <w:pPr>
              <w:spacing w:after="0"/>
              <w:rPr>
                <w:sz w:val="24"/>
                <w:szCs w:val="24"/>
                <w:color w:val="auto"/>
              </w:rPr>
            </w:pPr>
          </w:p>
        </w:tc>
        <w:tc>
          <w:tcPr>
            <w:tcW w:w="3920" w:type="dxa"/>
            <w:vAlign w:val="bottom"/>
            <w:gridSpan w:val="2"/>
          </w:tcPr>
          <w:p>
            <w:pPr>
              <w:ind w:left="20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2018 Developments for Products and Product Candidates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 Ophthalmologic Diseases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March 2018, we announced that the Phase 3 PANORAMA trial evaluating EYLEA in NPDR met its 24-week primary endpoint. PANORAMA is an ongoing, pivotal, double-masked, randomized two-year trial that enrolled 402 patients and is designed to investigate EYLEA for the improvement of moderately severe and severe NPDR without DME, compared to sham injection. In October 2018, we announced that the Phase 3 PANORAMA trial met its one-year (52-week) primary endpoint and key secondary endpoints. The Company submitted a supplemental Biologics License Application (sBLA) for the treatment of diabetic retinopathy during 2018. 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(NVG).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loss of peripheral vision.</w:t>
      </w:r>
    </w:p>
    <w:p>
      <w:pPr>
        <w:spacing w:after="0" w:line="2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2018, we also announced that the FDA issued a CRL regarding the Chemistry, Manufacturing, and Controls (CMC) PAS for the EYLEA pre-filled syringe. The CRL requested additional information regarding manufacturing and supply processes and the completion of a usability study evaluating a single injection of the EYLEA pre-filled syringe in approximately 30 patients. We are compiling all the requested information and plan to resubmit the PAS in the first half of 2019.</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 for allergic and inflammatory conditions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May 2018, we and Sanofi announced that a pivotal Phase 3 trial evaluating Dupixent to treat moderate-to-severe atopic dermatitis in adolescents (ages 12–17) met its primary and key secondary endpoints. In the trial, treatment with Dupixent as monotherapy significantly improved measures of overall disease severity, skin clearing, itching and certain health-related quality of life measures. Patients treated with Dupixent had significant improvement in disease severity at 16 weeks. The primary endpoints were the proportion of patients achieving Investigator's Global Assessment (IGA) score of 0 (clear) or 1 (almost clear) and 75% improvement in Eczema Area and Severity Index (EASI-75, co-primary endpoint outside of the U.S.) at 16 weeks. In the trial, the safety profile of Dupixent was consistent with that seen in adults in previous trials with atopic dermatitis. An sBLA and an MAA for an expanded atopic dermatitis indication in adolescent patients (12–17 years of age) have been submitted.</w:t>
      </w:r>
    </w:p>
    <w:p>
      <w:pPr>
        <w:spacing w:after="0" w:line="23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October 2018, we and Sanofi announced that both pivotal Phase 3 placebo-controlled trials evaluating Dupixent in adults with inadequately-controlled chronic rhinosinusitis with nasal polyps met all their primary and secondary endpoints. In these trials, Dupixent significantly reduced nasal polyp size, nasal congestion severity, and need for systemic corticosteroids and/or surgery. The rates of adverse events were generally similar across Dupixent and placebo, and no new or unexpected side effects related to Dupixent were observed. An sBLA for CRSwNP has been submitted.</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October 2018, the FDA approved Dupixent as an add-on maintenance therapy in patients with moderate-to-severe asthma aged 12 years and older with an eosinophilic phenotype or with oral corticosteroid-dependent asthma. Dupixent is currently the only biologic approved for both moderate and severe asthma patients with eosinophilic phenotype and the only biologic approved for oral corticosteroid-dependent asthma, regardless of phenotype.</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for LDL cholesterol reduction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March 2018, we and Sanofi announced that the ODYSSEY OUTCOMES trial met its primary endpoint, demonstrating that high-risk patients who added Praluent to maximally-tolerated statins experienced significantly fewer major adverse cardiovascular events compared to those on maximally-tolerated statins alone. For the first time, adding a lipid-lowering therapy to maximally-tolerated statins was associated with reduced death from any cause. A more pronounced effect was observed in patients with baseline LDL-cholesterol (LDL-C) levels at or above 100 mg/dL despite maximally-tolerated statins, who are at high risk of suffering a future event; in this group, Praluent reduced risk of major adverse cardiovascular events by 24% and was associated with a 29% reduced death from any cause. In this 18,924-patient, long-term trial, the safety profile of Praluent was consistent with previous trials and no new safety issues were observed. Based on the positive results from this trial, an sBLA and an MAA for cardiovascular risk reduction have been submitted.</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September 2018, we and Sanofi announced that the FDA approved an update to the Praluent prescribing information to include clinical information regarding its use in patients with HeFH who require additional lowering of LDL-C along with diet and maximally-tolerated statin therapy and who are undergoing apheresis treatment. The recommended dose of Praluent in patients undergoing LDL apheresis is 150 mg once every two weeks.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February 2019, the CHMP adopted a positive opinion for Praluent, recommending a new indication to reduce cardiovascular risk by lowering LDL-C levels in adults with established ASCVD.</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Libtayo (cemiplimab) for cancer</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PD-1 immune checkpoint pathway has emerged as a major mechanism by which cancers evade immune destruction. Several drugs blocking either PD-1 or PD-L1 (one of the two ligands that bind PD-1) have been approved. Libtayo is an anti-PD-1 antibody. We are developing Libtayo as a foundation for a diverse and comprehensive immuno-oncology portfolio. Our initial approval strategy is focused on monotherapy in selected indications. Subsequent development activities are expected to include combinations with other anti-cancer agents. Libtayo is also being studied by other companies in combination with their proprietary assets.</w:t>
      </w:r>
    </w:p>
    <w:p>
      <w:pPr>
        <w:spacing w:after="0" w:line="1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the Phase 3 program in non-small cell lung cancer, we have recently announced that we are focusing efforts in first-line treatment on combination therapy of cemiplimab with chemotherapy.</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September 28, 2018, the FDA approved Libtayo for the treatment of patients with metastatic or locally advanced CSCC who are not candidates for curative surgery or curative radiation. Libtayo is the first and currently only treatment specifically approved and available for advanced CSCC in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these parties that includes the right to develop and sell Libtayo. Under the agreement, we and Sanofi made an up-front payment of $20.0 million and are obligated to pay royalties of 8.0% on worldwide sales of Libtayo through December 31, 2023, and royalties of 2.5% from January 1, 2024 through December 31, 2026. The up-front payment was shared, and the royalties are shared, equally by us and Sanofi.</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for pain due to osteoarthritis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Pain is among the most common reasons people see the doctor and why analgesics, including opioids, are among the most commonly prescribed drugs. Pain is a major cause of work disability and impaired quality of life. Targeting NGF is a potential new way to manage pain without resorting to opiods. NGF expression is elevated in many acute and chronic painful conditions and NGF blockade has demonstrated efficacy in clinical trials. Fasinumab is an antibody to NGF. The fasinumab clinical development program is expected to comprise up to approximately 10,000 patients treated with fasinumab.</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several ongoing Phase 3 clinical studies of fasinumab in patients with pain due to osteoarthritis of the knee or hip. In April 2018, an independent DMC monitoring the ongoing safety and efficacy of the fasinumab clinical trials recommended that the higher dose-regimens be discontinued based on the risk benefit assessment and that the program may continue with the lower dose-regimens of fasinumab. The ongoing osteoarthritis trials have been modified accordingly. Since the Phase 3 clinical study in chronic low back pain in patients with concomitant osteoarthritis was using only higher doses, we discontinued dosing patients in this study.</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August 2018, we and Teva announced positive top-line results from our Phase 3 study of fasinumab in patients with chronic pain from osteoarthritis of the knee or hip. At the week 16 primary efficacy analysis, the study met both co-primary endpoints and all key secondary endpoints. Fasinumab-treated patients experienced significantly less pain and significantly improved functional ability from baseline compared to placebo. Interim safety data indicate that fasinumab was generally well tolerated, with similar adverse events as those observed in previous fasinumab trials. After the primary efficacy assessment at week 16, patients continue on therapy for an additional 36 weeks, followed by a subsequent 20-week off study drug follow-up period for further safety assessment.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preclinical research programs include the areas of oncology and immuno-oncology, angiogenesis, ophthalmology, metabolic and related diseases, muscle diseases and disorders, inflammation and immune diseases, bone and cartilage, pain and neurobiology, cardiovascular diseases, and infectious diseases.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2017, we and BARDA entered into an agreement to discover, research, develop, and manufacture a portfolio of antibodies targeting up to 10 pathogens, starting with Influenza virus, that pose significant risk to public health. The emerging pathogens treatment portfolio will be pursued using an Other Transaction Agreement (OTA), which provides a funding and collaboration vehicle for HHS to promote innovation in technology for advanced research and development. Under the OTA, which has a term of 10 years, HHS will fund 80% of our costs for research, development, and manufacturing activities for antibodies that are selected to move forward.</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ZALTRAP, and ARCALYST are drugs generated using our Trap technology. </w:t>
      </w:r>
      <w:r>
        <w:rPr>
          <w:rFonts w:ascii="Arial" w:cs="Arial" w:eastAsia="Arial" w:hAnsi="Arial"/>
          <w:sz w:val="18"/>
          <w:szCs w:val="18"/>
          <w:i w:val="1"/>
          <w:iCs w:val="1"/>
          <w:color w:val="auto"/>
        </w:rPr>
        <w:t xml:space="preserve">VelociSuite </w:t>
      </w:r>
      <w:r>
        <w:rPr>
          <w:rFonts w:ascii="Arial" w:cs="Arial" w:eastAsia="Arial" w:hAnsi="Arial"/>
          <w:sz w:val="18"/>
          <w:szCs w:val="18"/>
          <w:color w:val="auto"/>
        </w:rPr>
        <w:t>is our second technology platform. It is used for discovering, developing, and producing fully human antibodies that can address both secreted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cell-surface targets.</w:t>
      </w:r>
    </w:p>
    <w:p>
      <w:pPr>
        <w:spacing w:after="0" w:line="247"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VelociGene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Veloci-Bi</w:t>
      </w:r>
      <w:r>
        <w:rPr>
          <w:rFonts w:ascii="Arial" w:cs="Arial" w:eastAsia="Arial" w:hAnsi="Arial"/>
          <w:sz w:val="25"/>
          <w:szCs w:val="25"/>
          <w:i w:val="1"/>
          <w:iCs w:val="1"/>
          <w:color w:val="auto"/>
          <w:vertAlign w:val="superscript"/>
        </w:rPr>
        <w:t>TM</w:t>
      </w:r>
      <w:r>
        <w:rPr>
          <w:rFonts w:ascii="Arial" w:cs="Arial" w:eastAsia="Arial" w:hAnsi="Arial"/>
          <w:sz w:val="18"/>
          <w:szCs w:val="18"/>
          <w:color w:val="auto"/>
        </w:rPr>
        <w:t>, and other related technologies.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mouse platform is utilized to produce fully human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efficiently to generate fully human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antibodies.</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We have utilized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to develop a class of potential drug candidates, known as bi-specific antibodies. </w:t>
      </w:r>
      <w:r>
        <w:rPr>
          <w:rFonts w:ascii="Arial" w:cs="Arial" w:eastAsia="Arial" w:hAnsi="Arial"/>
          <w:sz w:val="18"/>
          <w:szCs w:val="18"/>
          <w:i w:val="1"/>
          <w:iCs w:val="1"/>
          <w:color w:val="auto"/>
        </w:rPr>
        <w:t>Veloci-Bi</w:t>
      </w:r>
      <w:r>
        <w:rPr>
          <w:rFonts w:ascii="Arial" w:cs="Arial" w:eastAsia="Arial" w:hAnsi="Arial"/>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Our first such bi-specific antibody, REGN1979, targets CD20 and CD3. We are exploring additional indications and applications for our bi-specific technologies, such as bi-specific antibodies to mucin 16 (MUC16) and B-cell maturation antigen (BCMA), as well as a new class of co-stimulatory bi-specifics, the first two of which are expected to enter clinical development in 2019.</w:t>
      </w:r>
    </w:p>
    <w:p>
      <w:pPr>
        <w:spacing w:after="0" w:line="23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b w:val="1"/>
          <w:bCs w:val="1"/>
          <w:i w:val="1"/>
          <w:iCs w:val="1"/>
          <w:color w:val="auto"/>
        </w:rPr>
        <w:t>Regeneron Genetics Center</w:t>
      </w:r>
      <w:r>
        <w:rPr>
          <w:rFonts w:ascii="Arial" w:cs="Arial" w:eastAsia="Arial" w:hAnsi="Arial"/>
          <w:sz w:val="24"/>
          <w:szCs w:val="24"/>
          <w:b w:val="1"/>
          <w:bCs w:val="1"/>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Regeneron Genetics Center (RGC), a wholly owned subsidiary of Regeneron Pharmaceuticals, Inc., leverages de-identified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24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Central to the work of RGC is a collaboration with the Geisinger Health System of Pennsylvania. Geisinger collects samples from consented patient volunteers, while RGC performs sequencing and genotyping to generate de-identified genomic data. In addition, RGC has expanded on its foundational population-based collaboration with Geisinger with a growing number of other organizations worldwide.</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RGC has formed a consortium to fund the generation of genetic exome sequence data from 500,000 volunteer participants who make up the UK Biobank health resource. The current members of the consortium consist of AbbVie Inc., Alnylam Pharmaceuticals Inc., AstraZeneca PLC, Biogen Inc., Pfizer Inc., Millennium Pharmaceuticals, Inc. (a subsidiary of Takeda Pharmaceutical Company Unlimited), and Bristol-Myers Squibb. The consortium members have each committed up to $10.0</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million in funding for Regeneron to sequence the UK Biobank's samples, which will be performed at the RGC facility. Consortium members will have a limited period of exclusive access to the sequencing data before the data will be made available to other health researchers by UK Biobank.</w:t>
      </w:r>
    </w:p>
    <w:p>
      <w:pPr>
        <w:spacing w:after="0" w:line="20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Researchers from the RGC discovered a potential new therapeutic target to reduce the risk of chronic liver disease and progression to more advanced stages of disease, such as nonalcoholic steatohepatitis (NASH), by analyzing extensive genetic sequencing data linked with electronic health records. In March 2018, we announced a publication describing this discovery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which identified for the first time a variant in the HSD17B13 gene that is associated with reduced risk of, or protection from, various chronic liver diseases for which there are currently no approved therapeutics. We are collaborating with Alnylam to discover RNA interference (RNAi) therapeutics for NASH and potentially other related diseases.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i w:val="1"/>
          <w:iCs w:val="1"/>
          <w:color w:val="auto"/>
        </w:rPr>
        <w:t>Antibodies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collaborating with Sanofi on the global development and commercialization of various antibodies and antibody product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(Dupixent, Praluent, Kevzara, and REGN3500) (the Antibody Collaboration). Under the terms of the Antibody License and Collaboration Agreement (LCA), following receipt of the first positive Phase 3 trial results for a co-developed drug candidate, subsequent Phase 3 trial-related costs for that drug candidate are shared 80% by Sanofi and 20% by us. All other agreed-upon development costs incurred by both companies are funded 100% by Sanofi.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3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589,234 currently remains available) of our Common Stock directly or indirectly owned by Sanofi. Refer to the </w:t>
      </w:r>
      <w:r>
        <w:rPr>
          <w:rFonts w:ascii="Arial" w:cs="Arial" w:eastAsia="Arial" w:hAnsi="Arial"/>
          <w:sz w:val="17"/>
          <w:szCs w:val="17"/>
          <w:i w:val="1"/>
          <w:iCs w:val="1"/>
          <w:color w:val="auto"/>
        </w:rPr>
        <w:t xml:space="preserve">"Immuno-Oncology" </w:t>
      </w:r>
      <w:r>
        <w:rPr>
          <w:rFonts w:ascii="Arial" w:cs="Arial" w:eastAsia="Arial" w:hAnsi="Arial"/>
          <w:sz w:val="17"/>
          <w:szCs w:val="17"/>
          <w:color w:val="auto"/>
        </w:rPr>
        <w:t>section below for further details regarding the Letter Agreement.</w:t>
      </w:r>
    </w:p>
    <w:p>
      <w:pPr>
        <w:spacing w:after="0" w:line="23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thus far not exercised any of our options to co-promote these antibodies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2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collaboration to discover, develop, and commercialize antibody-based cancer treatments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us. Pursuant to the 2015 IO Discovery Agreement, we were to spend up to $1,090.0 million (IO Discovery Budget) to identify and validate potential immuno-oncology targets and develop therapeutic antibodies against such targets through clinical proof-of-concept, and Sanofi was to reimburse us for up to $825.0 million (IO Discovery Funding)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2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 of concept. The Amended IO Discovery Agreement provided for Sanofi's payment of $461.9 million to the Company as consideration for (x) the termination of the 2015 IO Discovery Agreement, (y) the prepayment for certain IO Development Activities regarding the BCMAxCD3 Program and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MUC16xCD3 Program, and (z) the reimbursement of costs incurred by the Company under the 2015 IO Discovery Agreement during the fourth quarter of 2018.</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 of 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Pursuant to the Amended IO Discovery Agreement, we are primarily responsible for conducting the IO Development Activities ,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As the scope of the IO Development Activities has been limited, the exclusivity obligations of the parties under the Amended IO Discovery Agreement have been narrowed.</w:t>
      </w:r>
    </w:p>
    <w:p>
      <w:pPr>
        <w:spacing w:after="0" w:line="21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With regard to the BCMAxCD3 Program and the MUC16xCD3 Program, when clinical proof-of-concept is established, the applicable Program Costs Cap is reached, or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the Company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commercialization of such BCMAxCD3 Program antibody; and (ii) if Sanofi exercises its option with respect to a MUC16xCD3 Program antibody, (x) the Company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Amended IO Discovery Agreement provides that Regeneron retains exclusive rights to all other immuno-oncology programs that were part of the 2015 IO Discovery Agreement, provided that Sanofi will receive a royalty on global sales of two product candidates currently in clinical development, REGN3767 and REGN4659.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24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us.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co-promote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terms of the IO License and Collaboration Agreement, the parties are also co-developing Libtayo (cemiplimab), an antibody targeting PD-1. We have principal control over the development of Libtayo, and the parties share equally, on an ongoing basis, development expenses for Libtayo. Pursuant to the January 7, 2018 Letter Agreement with Sanofi, we and Sanofi agreed to increase the Libtayo development budget to a total of $1.640 billion as of the effective date of the Letter Agreement, $990.0 million over the budget originally set forth in the IO License and Collaboration Agreement (with further changes to the Libtayo development budget possible by agreement of the parties). Under the Letter Agreement, we have also agreed to allow Sanofi to satisfy in whole or in part its funding obligation with respect to Libtayo development costs for the quarterly periods commencing on October 1, 2017 and ending on September 30, 2020 by selling up to an aggregate of 800,000 shares (of which 584,613 currently remains available) of our Common Stock directly or indirectly owned by Sanofi.</w:t>
      </w:r>
    </w:p>
    <w:p>
      <w:pPr>
        <w:spacing w:after="0" w:line="24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If Sanofi desires to sell shares of our Common Stock during the term of the Letter Agreement to satisfy a portion or all of its funding obligations for the Libtayo development and/or, as noted above, Dupilumab/REGN3500 Eligible Investments, we may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elect to purchase, in whole or in part, such shares from Sanofi. If we do not elect to purchase such shares, Sanofi may sell the applicable number of shares (subject to certain daily and quarterly limits) in one or more open-market transactions.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regard to Libtayo, we lead commercialization activities in the United States, while Sanofi will lead commercialization activities outside of the United States and the parties will equally share profits from worldwide sales. Sanofi has exercised its option to co-promote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Fasinumab. </w:t>
      </w:r>
      <w:r>
        <w:rPr>
          <w:rFonts w:ascii="Arial" w:cs="Arial" w:eastAsia="Arial" w:hAnsi="Arial"/>
          <w:sz w:val="18"/>
          <w:szCs w:val="18"/>
          <w:color w:val="auto"/>
        </w:rPr>
        <w:t>In September 2015, we entered into a collaboration agreement with Mitsubishi Tanabe Pharma Corporation (MTPC) providing MTPC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As of December 31, 2018, we had earned an aggregate of $135.0 million in development milestones and other contingent payments from MTPC, and are entitled to receive up to an aggregate of $80.0 million in additional contingent payments.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i w:val="1"/>
          <w:iCs w:val="1"/>
          <w:color w:val="auto"/>
        </w:rPr>
        <w:t>Fasinumab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2016, we entered into a collaboration agreement with Teva to develop and commercialize fasinumab globally, except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MTPC territories (as described above). In connection with the agreement, Teva made a $250.0 million non-refundable up-front payment in 2016. We lead global development activities, and the parties will share equally, on an ongoing basis, development costs under a global development plan. As of December 31, 2018, we had earned an aggregate of $120.0 million of development milestones from Teva,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32"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bluebird</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August 2018, we entered into a collaboration agreement with bluebird bio, Inc. to research, develop, and commercialize novel immune cell therapies for cancer. Under the terms of the agreement, the parties have jointly selected six initial targets and will equally share the costs of research and development, which will be led by bluebird, up to IND acceptance. Additional targets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may be selected over the five-year research collaboration term. With respect to certain targets, upon the acceptance of an IND, we will have the option to co-develop and co-commercialize product candidates directed to such target; if we exercise this option, the parties will share equally in the costs of development and commercialization, and will share in any profits or losses therefrom. If we do not exercise our option or we do not have an option to a target, we are entitled to receive milestone payments and royalties on any future sales of products developed and commercialized by bluebird under the terms of the agreement.</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execution of the collaboration agreement, we also agreed to purchase 420,000 shares of bluebird common stock for $100.0 million. The purchase was completed in the third quarter of 2018. As part of the agreement, $37.0 million, the amount paid in excess of the fair market value of the shares purchased based upon bluebird's closing price on August 3, 2018 of $150.00 per share, will be credited against our funding obligation for collaboration research.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We currently manufacture bulk drug materials at our manufacturing facilities in Rensselaer, New York and Limerick, Ireland. The Rensselaer facility consists of approximately 565,000 square feet of owned research, manufacturing, office, and warehouse space. We currently have approximately 100,000 liters of cell culture capacity at our Rensselaer facility, and are approved by the FDA and other regulatory agencies to manufacture our marketed products.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also own an approximately 445,000 square foot facility in Limerick, Ireland, which we acquired and subsequently renovated to accommodate and support our growth and expand our manufacturing capacity. The facility has received certain manufacturing approvals by regulatory agencies, including the FDA, and is in the process of further validation, as required by regulatory authorities, for the manufacture of our bulk drug products.</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bulk drug materials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 supply various raw materials and other products. See Part I, Item 1A. "Risk Factors - Risks Related to Manufacturing and Supply" for further information.</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New Products Marketing and Planning group, a Market Research group, and a Market Access group to evaluate commercial opportunities for our targets and drug candidates, assess the competitive environment, and analyze the commercial potential of our product portfolio, and prepare for market launch of new products. These groups are fully functional to support our product and product candidates that we are independently developing and/or commercializing, and also work closely with our collaborators for co-developed products to develop marketing plans and forecasts and to develop and execute pre-launch market development programs.</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also have a full-service commercialization group to handle various aspects of our commercial programs. The group includes experienced professionals in the fields of marketing, communications, professional education, patient education and advocacy, reimbursement and market access, trade and distribution, commercial operations, commercial analytics, market research, and forecasting. Moreover, for our marketed products, we have hired, trained, and deployed a field-based organization including regional directors, medical specialists, and reimbursement managers, each typically with a number of years of experience in the biopharmaceutical industry in a variety of therapeutic areas including oncology, ophthalmology, immunology, and inflammation. We have approximately 700 field-based employees in the United States.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sell EYLEA and Libtayo in the United States to several distributors and specialty pharmacies. We sell ARCALYST in the United States to two specialty pharmacies. Under these distribution models, the distributors and specialty pharmacies generally take physical delivery of product. For EYLEA and Libtayo, the distributors and specialty pharmacies generally sell the product directly to healthcare providers, whereas for ARCALYST, the specialty pharmacies sell the product directly to patients. We had sales to two customers (Besse Medical, a subsidiary of AmerisourceBergen Corporation, and McKesson Corporation) that each accounted for more than 10% of total gross product revenue for the year ended December 31, 2018. On a combined basis, our product sales to these customers accounted for approximately 92% of our gross product revenue for the year ended December 31, 2018. We are also a party to collaboration agreements with Bayer and Sanofi, whereby our collaborator is responsible for recording product sales of EYLEA outside the United States and global sales of Dupixent, Praluent, and Kevzara,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face substantial competition from pharmaceutical, biotechnology, and chemical companies. Many of our competitors have substantially greater research, preclinical, and clinical product development,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The tables below provide an overview of the competitive landscape for our key marketed products in their currently approved indications, focusing primarily on competing approved products and product candidates that have advanced beyond Phase 1 clinical development. The tables below are not exhaustive. For additional information regarding the substantial competition these marketed products face, see also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w:t>
      </w:r>
      <w:r>
        <w:rPr>
          <w:rFonts w:ascii="Arial" w:cs="Arial" w:eastAsia="Arial" w:hAnsi="Arial"/>
          <w:sz w:val="18"/>
          <w:szCs w:val="18"/>
          <w:color w:val="auto"/>
        </w:rPr>
        <w:t xml:space="preserve"> </w:t>
      </w:r>
      <w:r>
        <w:rPr>
          <w:rFonts w:ascii="Arial" w:cs="Arial" w:eastAsia="Arial" w:hAnsi="Arial"/>
          <w:sz w:val="18"/>
          <w:szCs w:val="18"/>
          <w:i w:val="1"/>
          <w:iCs w:val="1"/>
          <w:color w:val="auto"/>
        </w:rPr>
        <w:t>our products and product candidates is subject to strong competition.</w:t>
      </w:r>
      <w:r>
        <w:rPr>
          <w:rFonts w:ascii="Arial" w:cs="Arial" w:eastAsia="Arial" w:hAnsi="Arial"/>
          <w:sz w:val="18"/>
          <w:szCs w:val="18"/>
          <w:color w:val="auto"/>
        </w:rPr>
        <w:t>"</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EYLEA</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ind w:left="580"/>
              <w:spacing w:after="0"/>
              <w:rPr>
                <w:sz w:val="20"/>
                <w:szCs w:val="20"/>
                <w:color w:val="auto"/>
              </w:rPr>
            </w:pPr>
            <w:r>
              <w:rPr>
                <w:rFonts w:ascii="Arial" w:cs="Arial" w:eastAsia="Arial" w:hAnsi="Arial"/>
                <w:sz w:val="18"/>
                <w:szCs w:val="18"/>
                <w:b w:val="1"/>
                <w:bCs w:val="1"/>
                <w:color w:val="auto"/>
              </w:rPr>
              <w:t>Territory</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 AG and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macular edema</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following RVO</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(including CRVO and</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BRVO), diabetic</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retinopathy in patients</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DME, and mCNV</w:t>
            </w: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Used to treat wet AMD, DME,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(off-label)</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and macular edema following</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macular edema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RVO</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following RVO</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Ozurdex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(dexamethasone</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Allergan, PLC</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DME, RVO</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intravitreal implant)</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Iluvien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(fluocinolone acetonide</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Alimera Sciences,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DME</w:t>
            </w:r>
          </w:p>
        </w:tc>
        <w:tc>
          <w:tcPr>
            <w:tcW w:w="1880" w:type="dxa"/>
            <w:vAlign w:val="bottom"/>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intravitreal implant)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Conbercept</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 in China for wet</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Chengdu Kanghong</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 Group</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In development in the United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Ltd.</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gridSpan w:val="2"/>
            <w:vMerge w:val="continue"/>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States and the EU (two non-</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inferiority Phase 3 trials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comparing dosing regimens of</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conbercept to EYLEA initiated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2018)</w:t>
            </w: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EYLEA (continued)</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Competitor</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Product/Product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22860</wp:posOffset>
            </wp:positionV>
            <wp:extent cx="1620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42"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Brolucizumab (RTH258), a single chain antibody fragment directed against VEGF-A</w:t>
      </w:r>
    </w:p>
    <w:p>
      <w:pPr>
        <w:spacing w:after="0" w:line="200" w:lineRule="exact"/>
        <w:rPr>
          <w:sz w:val="20"/>
          <w:szCs w:val="20"/>
          <w:color w:val="auto"/>
        </w:rPr>
      </w:pPr>
    </w:p>
    <w:p>
      <w:pPr>
        <w:spacing w:after="0" w:line="236"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color w:val="auto"/>
        </w:rPr>
        <w:t>Abicipar pegol (anti-VEGF-A-DARPin</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Faricimab (RG7716), a bi-specific antibody targeting anti-VEGF and Ang2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Ranibizumab port delivery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DE-122, an anti-endoglin antibody in development for use in combination with EYLEA or Lucentis</w:t>
      </w:r>
    </w:p>
    <w:p>
      <w:pPr>
        <w:spacing w:after="0" w:line="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GB-102, an intravitreally administered depot formulation of the small molecule tyrosine kinase inhibitor, sunitinib</w:t>
      </w:r>
    </w:p>
    <w:p>
      <w:pPr>
        <w:spacing w:after="0" w:line="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OPT-302, a VEGFR-3 large molecule trap in development for use in combination with EYLEA or Lucentis</w:t>
      </w:r>
    </w:p>
    <w:p>
      <w:pPr>
        <w:spacing w:after="0" w:line="25"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PAN-90806, a topically administered tyrosine kinase inhibitor</w:t>
      </w:r>
    </w:p>
    <w:p>
      <w:pPr>
        <w:spacing w:after="0" w:line="19" w:lineRule="exact"/>
        <w:rPr>
          <w:sz w:val="20"/>
          <w:szCs w:val="20"/>
          <w:color w:val="auto"/>
        </w:rPr>
      </w:pPr>
    </w:p>
    <w:p>
      <w:pPr>
        <w:ind w:left="200" w:right="100"/>
        <w:spacing w:after="0" w:line="299" w:lineRule="auto"/>
        <w:rPr>
          <w:sz w:val="20"/>
          <w:szCs w:val="20"/>
          <w:color w:val="auto"/>
        </w:rPr>
      </w:pPr>
      <w:r>
        <w:rPr>
          <w:rFonts w:ascii="Arial" w:cs="Arial" w:eastAsia="Arial" w:hAnsi="Arial"/>
          <w:sz w:val="16"/>
          <w:szCs w:val="16"/>
          <w:color w:val="auto"/>
        </w:rPr>
        <w:t>KSI-301, an anti-VEGF biologic therapy that is conjugated to a phosphorylcholine-based biopolymer to extend its half-life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RGX-314, a gene therapy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2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(two non-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inferiority Phase 3 trials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w w:val="99"/>
              </w:rPr>
              <w:t>comparing RTH258 and EYLEA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met their primary endpoint in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June 2017)</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(two non-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Allergan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inferiority Phase 3 trials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comparing dosing regimens of</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abicipar pegol and Lucentis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reported to have met their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primary endpoints in July 2018)</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(two non-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DME</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inferiority Phase 3 trials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comparing dosing regimens of</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faricimab and EYLEA in DME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w w:val="96"/>
              </w:rPr>
              <w:t>reported to have been initiated in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(non-inferiority</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Phase 3 trial comparing</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ranibizumab administered via</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the Port Delivery System and</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monthly intravitreal injections of</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Lucentis in wet AMD reported</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to have been initiated in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September 2018)</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99"/>
              </w:rPr>
              <w:t>Santen Pharmaceuticals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 Ltd./ TRACON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Pharmaceuticals, Inc.</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72"/>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Graybug Vision,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688"/>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Opthea Limited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702"/>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PanOptica,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688"/>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Kodiak Sciences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880" w:type="dxa"/>
            <w:vAlign w:val="bottom"/>
          </w:tcPr>
          <w:p>
            <w:pPr>
              <w:spacing w:after="0"/>
              <w:rPr>
                <w:sz w:val="20"/>
                <w:szCs w:val="20"/>
                <w:color w:val="auto"/>
              </w:rPr>
            </w:pPr>
          </w:p>
        </w:tc>
      </w:tr>
      <w:tr>
        <w:trPr>
          <w:trHeight w:val="702"/>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REGENXBIO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-5779770</wp:posOffset>
            </wp:positionV>
            <wp:extent cx="7040880" cy="857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85788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-4064000</wp:posOffset>
            </wp:positionV>
            <wp:extent cx="7040880" cy="1132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113220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-2348865</wp:posOffset>
            </wp:positionV>
            <wp:extent cx="704088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58293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-1183005</wp:posOffset>
            </wp:positionV>
            <wp:extent cx="704088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-153670</wp:posOffset>
            </wp:positionV>
            <wp:extent cx="70408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2680" w:space="160"/>
            <w:col w:w="8420"/>
          </w:cols>
          <w:pgMar w:left="240" w:top="130" w:right="39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i w:val="1"/>
                <w:iCs w:val="1"/>
                <w:color w:val="auto"/>
              </w:rPr>
              <w:t>EYLEA (continued)</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7"/>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Competitor</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M710, a biosimilar to EYLEA</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Momenta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Pharmaceuticals, Inc. (in</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with Mylan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N.V.)</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PF582, a biosimilar to Lucentis</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Pfenex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completed in August 2016)</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FYB201, a biosimilar to Lucentis</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In development (Phase 3 trial of</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Formycon AG (in</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FYB201 and Lucentis completed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with Bioeq</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 December 2018)</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GmbH)</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SB11, a biosimilar to Lucentis</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Samsung Bioepis Co.,</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Ltd.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Razumab, a biosimilar to Lucentis</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 in India for wet AMD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Intas Phamaceuticals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related conditions</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Limited</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880" w:type="dxa"/>
            <w:vAlign w:val="bottom"/>
            <w:tcBorders>
              <w:bottom w:val="single" w:sz="8" w:color="CCEEFF"/>
            </w:tcBorders>
            <w:shd w:val="clear" w:color="auto" w:fill="CCEEFF"/>
          </w:tcPr>
          <w:p>
            <w:pPr>
              <w:spacing w:after="0"/>
              <w:rPr>
                <w:sz w:val="20"/>
                <w:szCs w:val="20"/>
                <w:color w:val="auto"/>
              </w:rPr>
            </w:pPr>
          </w:p>
        </w:tc>
      </w:tr>
      <w:tr>
        <w:trPr>
          <w:trHeight w:val="486"/>
        </w:trPr>
        <w:tc>
          <w:tcPr>
            <w:tcW w:w="2660" w:type="dxa"/>
            <w:vAlign w:val="bottom"/>
            <w:gridSpan w:val="2"/>
          </w:tcPr>
          <w:p>
            <w:pPr>
              <w:ind w:left="80"/>
              <w:spacing w:after="0"/>
              <w:rPr>
                <w:sz w:val="20"/>
                <w:szCs w:val="20"/>
                <w:color w:val="auto"/>
              </w:rPr>
            </w:pPr>
            <w:r>
              <w:rPr>
                <w:rFonts w:ascii="Arial" w:cs="Arial" w:eastAsia="Arial" w:hAnsi="Arial"/>
                <w:sz w:val="18"/>
                <w:szCs w:val="18"/>
                <w:i w:val="1"/>
                <w:iCs w:val="1"/>
                <w:color w:val="auto"/>
              </w:rPr>
              <w:t>Dupixent</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630"/>
        </w:trPr>
        <w:tc>
          <w:tcPr>
            <w:tcW w:w="2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6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Eucrisa</w:t>
            </w:r>
            <w:r>
              <w:rPr>
                <w:rFonts w:ascii="Arial" w:cs="Arial" w:eastAsia="Arial" w:hAnsi="Arial"/>
                <w:sz w:val="25"/>
                <w:szCs w:val="25"/>
                <w:color w:val="auto"/>
                <w:vertAlign w:val="superscript"/>
              </w:rPr>
              <w:t>®</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Pfizer</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Mild-to-moderate atopic</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91"/>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(crisaborole)</w:t>
            </w:r>
          </w:p>
        </w:tc>
        <w:tc>
          <w:tcPr>
            <w:tcW w:w="2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dermatitis</w:t>
            </w:r>
          </w:p>
        </w:tc>
        <w:tc>
          <w:tcPr>
            <w:tcW w:w="1880" w:type="dxa"/>
            <w:vAlign w:val="bottom"/>
            <w:tcBorders>
              <w:bottom w:val="single" w:sz="8" w:color="CCEEFF"/>
            </w:tcBorders>
            <w:shd w:val="clear" w:color="auto" w:fill="CCEEFF"/>
          </w:tcPr>
          <w:p>
            <w:pPr>
              <w:spacing w:after="0"/>
              <w:rPr>
                <w:sz w:val="24"/>
                <w:szCs w:val="24"/>
                <w:color w:val="auto"/>
              </w:rPr>
            </w:pPr>
          </w:p>
        </w:tc>
      </w:tr>
      <w:tr>
        <w:trPr>
          <w:trHeight w:val="283"/>
        </w:trPr>
        <w:tc>
          <w:tcPr>
            <w:tcW w:w="2660" w:type="dxa"/>
            <w:vAlign w:val="bottom"/>
            <w:gridSpan w:val="2"/>
          </w:tcPr>
          <w:p>
            <w:pPr>
              <w:ind w:left="20"/>
              <w:spacing w:after="0" w:line="283" w:lineRule="exact"/>
              <w:rPr>
                <w:sz w:val="20"/>
                <w:szCs w:val="20"/>
                <w:color w:val="auto"/>
              </w:rPr>
            </w:pPr>
            <w:r>
              <w:rPr>
                <w:rFonts w:ascii="Arial" w:cs="Arial" w:eastAsia="Arial" w:hAnsi="Arial"/>
                <w:sz w:val="18"/>
                <w:szCs w:val="18"/>
                <w:color w:val="auto"/>
              </w:rPr>
              <w:t>Xolair</w:t>
            </w:r>
            <w:r>
              <w:rPr>
                <w:rFonts w:ascii="Arial" w:cs="Arial" w:eastAsia="Arial" w:hAnsi="Arial"/>
                <w:sz w:val="25"/>
                <w:szCs w:val="25"/>
                <w:color w:val="auto"/>
                <w:vertAlign w:val="superscript"/>
              </w:rPr>
              <w:t>®</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Roche/Novartis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(omalizumab)</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660" w:type="dxa"/>
            <w:vAlign w:val="bottom"/>
            <w:gridSpan w:val="2"/>
          </w:tcPr>
          <w:p>
            <w:pPr>
              <w:spacing w:after="0"/>
              <w:rPr>
                <w:sz w:val="2"/>
                <w:szCs w:val="2"/>
                <w:color w:val="auto"/>
              </w:rPr>
            </w:pPr>
          </w:p>
        </w:tc>
        <w:tc>
          <w:tcPr>
            <w:tcW w:w="25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26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GlaxoSmithKline (GSK)</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70"/>
        </w:trPr>
        <w:tc>
          <w:tcPr>
            <w:tcW w:w="26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Teva</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Fasenra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(benralizumab)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EU</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Tralokinumab, an anti-IL-13</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AstraZeneca/ LEO</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antibody</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 Inc.</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660" w:type="dxa"/>
            <w:vAlign w:val="bottom"/>
            <w:gridSpan w:val="2"/>
          </w:tcPr>
          <w:p>
            <w:pPr>
              <w:spacing w:after="0"/>
              <w:rPr>
                <w:sz w:val="2"/>
                <w:szCs w:val="2"/>
                <w:color w:val="auto"/>
              </w:rPr>
            </w:pPr>
          </w:p>
        </w:tc>
        <w:tc>
          <w:tcPr>
            <w:tcW w:w="25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Baricitinib, an orally administered</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(recently</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Lilly and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JAK inhibitor</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reported to have met the primary</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Company/Incyte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endpoints of two atopic</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dermatitis Phase 3 studies)</w:t>
            </w: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Abrocitinib (PF-04965842), an</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Pfizer</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orally administered JAK inhibitor</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660" w:type="dxa"/>
            <w:vAlign w:val="bottom"/>
            <w:gridSpan w:val="2"/>
          </w:tcPr>
          <w:p>
            <w:pPr>
              <w:spacing w:after="0"/>
              <w:rPr>
                <w:sz w:val="2"/>
                <w:szCs w:val="2"/>
                <w:color w:val="auto"/>
              </w:rPr>
            </w:pPr>
          </w:p>
        </w:tc>
        <w:tc>
          <w:tcPr>
            <w:tcW w:w="25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Upadacitinib, an orally</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AbbVie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administered JAK inhibitor</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Fevipiprant, an orally</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administered CRTH2 antagonist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660" w:type="dxa"/>
            <w:vAlign w:val="bottom"/>
            <w:gridSpan w:val="2"/>
          </w:tcPr>
          <w:p>
            <w:pPr>
              <w:spacing w:after="0"/>
              <w:rPr>
                <w:sz w:val="2"/>
                <w:szCs w:val="2"/>
                <w:color w:val="auto"/>
              </w:rPr>
            </w:pPr>
          </w:p>
        </w:tc>
        <w:tc>
          <w:tcPr>
            <w:tcW w:w="25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Tezepelumab, an anti-TSLP</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3 for</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Amgen Inc./AstraZeneca</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 and atopic</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asthma and Phase 2 for atopic</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dermatitis</w:t>
            </w:r>
          </w:p>
        </w:tc>
        <w:tc>
          <w:tcPr>
            <w:tcW w:w="188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dermatitis)</w:t>
            </w: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Etiokimab (ANB-020), an anti-IL-</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AnaptysBio,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Asthma and atopic</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33 antibody</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dermatitis</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240" w:top="130" w:right="39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660" w:type="dxa"/>
            <w:vAlign w:val="bottom"/>
            <w:gridSpan w:val="2"/>
          </w:tcPr>
          <w:p>
            <w:pPr>
              <w:ind w:left="260"/>
              <w:spacing w:after="0"/>
              <w:rPr>
                <w:sz w:val="20"/>
                <w:szCs w:val="20"/>
                <w:color w:val="auto"/>
              </w:rPr>
            </w:pPr>
            <w:r>
              <w:rPr>
                <w:rFonts w:ascii="Arial" w:cs="Arial" w:eastAsia="Arial" w:hAnsi="Arial"/>
                <w:sz w:val="18"/>
                <w:szCs w:val="18"/>
                <w:i w:val="1"/>
                <w:iCs w:val="1"/>
                <w:color w:val="auto"/>
              </w:rPr>
              <w:t>Dupixent (continued)</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Competitor</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c>
          <w:tcPr>
            <w:tcW w:w="0" w:type="dxa"/>
            <w:vAlign w:val="bottom"/>
          </w:tcPr>
          <w:p>
            <w:pPr>
              <w:spacing w:after="0"/>
              <w:rPr>
                <w:sz w:val="1"/>
                <w:szCs w:val="1"/>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Lebrikizumab, an anti-IL-13</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Dermira, Inc./Roche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Nemolizumab, an anti-IL-31R</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Galderma S.A.</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antibody</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reported to have been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completed; Phase 3 initiation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expected in 2019)</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GSK3772847, an anti-ST2</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 for</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GSK</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 and atopic</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asthma and Phase 1 for atopic</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dermatitis</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dermatitis)</w:t>
            </w: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RG6149, an anti-ST2 antibody</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Asthma and atopic</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dermatitis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CSJ117, an inhaled antibody</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fragment against thymic stromal</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lymphopoietin</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w w:val="99"/>
              </w:rPr>
              <w:t>GBR-830, an anti-OX40 antibody</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Glenmark</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Pharmaceuticals Ltd.</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KHK4083, an anti-OX40</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Kyowa Hakko Kirin Co.,</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Ltd.</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ASN002, an orally administered</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97"/>
              </w:rPr>
              <w:t>Asana BioSciences, LLC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dual JAK/SYK inhibitor</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ZPL389, an orally administered</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histamine H4 receptor agonist</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Bermekimab, an anti-IL-1alpha</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XBiotech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antibody</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completed)</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MOR-106, an anti-IL-17C</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MorphoSys, AG</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980" w:type="dxa"/>
            <w:vAlign w:val="bottom"/>
            <w:tcBorders>
              <w:bottom w:val="single" w:sz="8" w:color="CCEEFF"/>
            </w:tcBorders>
            <w:gridSpan w:val="2"/>
            <w:vMerge w:val="continue"/>
            <w:shd w:val="clear" w:color="auto" w:fill="CCEEFF"/>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w w:val="98"/>
              </w:rPr>
              <w:t>KPL-716, an antibody against the</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Kiniksa</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oncostatin M receptor beta</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reported to have been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Pharmaceuticals, Ltd.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completed)</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PRS-060, an inhaled anticalin</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AstraZeneca/ Pieris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Asthma</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targeting IL-4R</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 Inc.</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ASLAN004, an antibody against</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ASLAN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Atopic dermatitis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the IL-13R alpha-1 subunit</w:t>
            </w: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30" w:right="39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68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601"/>
        </w:trPr>
        <w:tc>
          <w:tcPr>
            <w:tcW w:w="2840" w:type="dxa"/>
            <w:vAlign w:val="bottom"/>
            <w:gridSpan w:val="4"/>
          </w:tcPr>
          <w:p>
            <w:pPr>
              <w:spacing w:after="0"/>
              <w:rPr>
                <w:sz w:val="20"/>
                <w:szCs w:val="20"/>
                <w:color w:val="auto"/>
              </w:rPr>
            </w:pPr>
            <w:r>
              <w:rPr>
                <w:rFonts w:ascii="Arial" w:cs="Arial" w:eastAsia="Arial" w:hAnsi="Arial"/>
                <w:sz w:val="18"/>
                <w:szCs w:val="18"/>
                <w:i w:val="1"/>
                <w:iCs w:val="1"/>
                <w:color w:val="auto"/>
              </w:rPr>
              <w:t>Praluent</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630"/>
        </w:trPr>
        <w:tc>
          <w:tcPr>
            <w:tcW w:w="180" w:type="dxa"/>
            <w:vAlign w:val="bottom"/>
          </w:tcPr>
          <w:p>
            <w:pPr>
              <w:spacing w:after="0"/>
              <w:rPr>
                <w:sz w:val="24"/>
                <w:szCs w:val="24"/>
                <w:color w:val="auto"/>
              </w:rPr>
            </w:pPr>
          </w:p>
        </w:tc>
        <w:tc>
          <w:tcPr>
            <w:tcW w:w="2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2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2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9"/>
        </w:trPr>
        <w:tc>
          <w:tcPr>
            <w:tcW w:w="180" w:type="dxa"/>
            <w:vAlign w:val="bottom"/>
          </w:tcPr>
          <w:p>
            <w:pPr>
              <w:spacing w:after="0"/>
              <w:rPr>
                <w:sz w:val="21"/>
                <w:szCs w:val="21"/>
                <w:color w:val="auto"/>
              </w:rPr>
            </w:pPr>
          </w:p>
        </w:tc>
        <w:tc>
          <w:tcPr>
            <w:tcW w:w="26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8"/>
                <w:szCs w:val="18"/>
                <w:color w:val="auto"/>
              </w:rPr>
              <w:t>Repatha</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(evolocumab)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 Reduce the risk of</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myocardial infarction,</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stroke, and coronary</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revascularization in</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adults with established</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cardiovascular disease,</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primary</w:t>
            </w:r>
          </w:p>
        </w:tc>
        <w:tc>
          <w:tcPr>
            <w:tcW w:w="18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hyperlipidemia, and (3)</w:t>
            </w:r>
          </w:p>
        </w:tc>
        <w:tc>
          <w:tcPr>
            <w:tcW w:w="1880" w:type="dxa"/>
            <w:vAlign w:val="bottom"/>
            <w:shd w:val="clear" w:color="auto" w:fill="CCEEFF"/>
          </w:tcPr>
          <w:p>
            <w:pPr>
              <w:spacing w:after="0"/>
              <w:rPr>
                <w:sz w:val="18"/>
                <w:szCs w:val="18"/>
                <w:color w:val="auto"/>
              </w:rPr>
            </w:pPr>
          </w:p>
        </w:tc>
      </w:tr>
      <w:tr>
        <w:trPr>
          <w:trHeight w:val="264"/>
        </w:trPr>
        <w:tc>
          <w:tcPr>
            <w:tcW w:w="180" w:type="dxa"/>
            <w:vAlign w:val="bottom"/>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HoFH</w:t>
            </w:r>
          </w:p>
        </w:tc>
        <w:tc>
          <w:tcPr>
            <w:tcW w:w="1880" w:type="dxa"/>
            <w:vAlign w:val="bottom"/>
            <w:tcBorders>
              <w:bottom w:val="single" w:sz="8" w:color="CCEEFF"/>
            </w:tcBorders>
            <w:shd w:val="clear" w:color="auto" w:fill="CCEEFF"/>
          </w:tcPr>
          <w:p>
            <w:pPr>
              <w:spacing w:after="0"/>
              <w:rPr>
                <w:sz w:val="22"/>
                <w:szCs w:val="22"/>
                <w:color w:val="auto"/>
              </w:rPr>
            </w:pPr>
          </w:p>
        </w:tc>
      </w:tr>
      <w:tr>
        <w:trPr>
          <w:trHeight w:val="229"/>
        </w:trPr>
        <w:tc>
          <w:tcPr>
            <w:tcW w:w="180" w:type="dxa"/>
            <w:vAlign w:val="bottom"/>
          </w:tcPr>
          <w:p>
            <w:pPr>
              <w:spacing w:after="0"/>
              <w:rPr>
                <w:sz w:val="19"/>
                <w:szCs w:val="19"/>
                <w:color w:val="auto"/>
              </w:rPr>
            </w:pPr>
          </w:p>
        </w:tc>
        <w:tc>
          <w:tcPr>
            <w:tcW w:w="2660" w:type="dxa"/>
            <w:vAlign w:val="bottom"/>
            <w:gridSpan w:val="3"/>
          </w:tcPr>
          <w:p>
            <w:pPr>
              <w:ind w:left="20"/>
              <w:spacing w:after="0"/>
              <w:rPr>
                <w:sz w:val="20"/>
                <w:szCs w:val="20"/>
                <w:color w:val="auto"/>
              </w:rPr>
            </w:pPr>
            <w:r>
              <w:rPr>
                <w:rFonts w:ascii="Arial" w:cs="Arial" w:eastAsia="Arial" w:hAnsi="Arial"/>
                <w:sz w:val="18"/>
                <w:szCs w:val="18"/>
                <w:color w:val="auto"/>
              </w:rPr>
              <w:t>Inclisiran (ALN-PCSsc)</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Alnylam</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RNAi molecule against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Pharmaceuticals (in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PCSK9 (injectable,</w:t>
            </w:r>
          </w:p>
        </w:tc>
        <w:tc>
          <w:tcPr>
            <w:tcW w:w="18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collaboration with The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small molecule)</w:t>
            </w:r>
          </w:p>
        </w:tc>
        <w:tc>
          <w:tcPr>
            <w:tcW w:w="18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Medicines Company)</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9"/>
        </w:trPr>
        <w:tc>
          <w:tcPr>
            <w:tcW w:w="180" w:type="dxa"/>
            <w:vAlign w:val="bottom"/>
          </w:tcPr>
          <w:p>
            <w:pPr>
              <w:spacing w:after="0"/>
              <w:rPr>
                <w:sz w:val="19"/>
                <w:szCs w:val="19"/>
                <w:color w:val="auto"/>
              </w:rPr>
            </w:pPr>
          </w:p>
        </w:tc>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ETC-1002 (bempedoic acid)</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Esperion Therapeutics,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ACL-inhibitor</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91"/>
        </w:trPr>
        <w:tc>
          <w:tcPr>
            <w:tcW w:w="180" w:type="dxa"/>
            <w:vAlign w:val="bottom"/>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(oral, small molecule)</w:t>
            </w:r>
          </w:p>
        </w:tc>
        <w:tc>
          <w:tcPr>
            <w:tcW w:w="1880" w:type="dxa"/>
            <w:vAlign w:val="bottom"/>
            <w:tcBorders>
              <w:bottom w:val="single" w:sz="8" w:color="CCEEFF"/>
            </w:tcBorders>
            <w:shd w:val="clear" w:color="auto" w:fill="CCEEFF"/>
          </w:tcPr>
          <w:p>
            <w:pPr>
              <w:spacing w:after="0"/>
              <w:rPr>
                <w:sz w:val="24"/>
                <w:szCs w:val="24"/>
                <w:color w:val="auto"/>
              </w:rPr>
            </w:pPr>
          </w:p>
        </w:tc>
      </w:tr>
      <w:tr>
        <w:trPr>
          <w:trHeight w:val="486"/>
        </w:trPr>
        <w:tc>
          <w:tcPr>
            <w:tcW w:w="2840" w:type="dxa"/>
            <w:vAlign w:val="bottom"/>
            <w:gridSpan w:val="4"/>
          </w:tcPr>
          <w:p>
            <w:pPr>
              <w:spacing w:after="0"/>
              <w:rPr>
                <w:sz w:val="20"/>
                <w:szCs w:val="20"/>
                <w:color w:val="auto"/>
              </w:rPr>
            </w:pPr>
            <w:r>
              <w:rPr>
                <w:rFonts w:ascii="Arial" w:cs="Arial" w:eastAsia="Arial" w:hAnsi="Arial"/>
                <w:sz w:val="18"/>
                <w:szCs w:val="18"/>
                <w:i w:val="1"/>
                <w:iCs w:val="1"/>
                <w:color w:val="auto"/>
              </w:rPr>
              <w:t>Kevzara</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630"/>
        </w:trPr>
        <w:tc>
          <w:tcPr>
            <w:tcW w:w="180" w:type="dxa"/>
            <w:vAlign w:val="bottom"/>
          </w:tcPr>
          <w:p>
            <w:pPr>
              <w:spacing w:after="0"/>
              <w:rPr>
                <w:sz w:val="24"/>
                <w:szCs w:val="24"/>
                <w:color w:val="auto"/>
              </w:rPr>
            </w:pPr>
          </w:p>
        </w:tc>
        <w:tc>
          <w:tcPr>
            <w:tcW w:w="2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2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Product/Product</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2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180" w:type="dxa"/>
            <w:vAlign w:val="bottom"/>
          </w:tcPr>
          <w:p>
            <w:pPr>
              <w:spacing w:after="0"/>
              <w:rPr>
                <w:sz w:val="19"/>
                <w:szCs w:val="19"/>
                <w:color w:val="auto"/>
              </w:rPr>
            </w:pPr>
          </w:p>
        </w:tc>
        <w:tc>
          <w:tcPr>
            <w:tcW w:w="2660" w:type="dxa"/>
            <w:vAlign w:val="bottom"/>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Genentech/Roche/</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Rheumatoid arthritis</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r>
      <w:tr>
        <w:trPr>
          <w:trHeight w:val="216"/>
        </w:trPr>
        <w:tc>
          <w:tcPr>
            <w:tcW w:w="1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Chugai Pharmaceutical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 Ltd.</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sectPr>
          <w:pgSz w:w="11900" w:h="16838" w:orient="portrait"/>
          <w:cols w:equalWidth="0" w:num="1">
            <w:col w:w="11260"/>
          </w:cols>
          <w:pgMar w:left="240" w:top="118" w:right="399" w:bottom="1440" w:gutter="0" w:footer="0" w:header="0"/>
        </w:sectPr>
      </w:pP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Orencia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(abatacept)</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Olumiant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(baricitinib)</w:t>
      </w:r>
    </w:p>
    <w:p>
      <w:pPr>
        <w:spacing w:after="0" w:line="21" w:lineRule="exact"/>
        <w:rPr>
          <w:sz w:val="20"/>
          <w:szCs w:val="20"/>
          <w:color w:val="auto"/>
        </w:rPr>
      </w:pPr>
    </w:p>
    <w:p>
      <w:pPr>
        <w:ind w:left="200" w:right="660"/>
        <w:spacing w:after="0" w:line="259" w:lineRule="auto"/>
        <w:rPr>
          <w:sz w:val="20"/>
          <w:szCs w:val="20"/>
          <w:color w:val="auto"/>
        </w:rPr>
      </w:pPr>
      <w:r>
        <w:rPr>
          <w:rFonts w:ascii="Arial" w:cs="Arial" w:eastAsia="Arial" w:hAnsi="Arial"/>
          <w:sz w:val="18"/>
          <w:szCs w:val="18"/>
          <w:color w:val="auto"/>
        </w:rPr>
        <w:t>Olokizumab, an anti-IL-6 antibody</w:t>
      </w:r>
    </w:p>
    <w:p>
      <w:pPr>
        <w:spacing w:after="0" w:line="23"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color w:val="auto"/>
        </w:rPr>
        <w:t>Upadacitinib, an orally administered JAK inhibitor</w:t>
      </w:r>
    </w:p>
    <w:p>
      <w:pPr>
        <w:spacing w:after="0" w:line="1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Filgotinib, an orally administered JAK inhibitor</w:t>
      </w:r>
    </w:p>
    <w:p>
      <w:pPr>
        <w:spacing w:after="0" w:line="11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Peficitinib, an orally administered JAK inhibitor</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BCD-089, an anti-IL-6R antibody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LusiNEX, a biosimilar to Actemra</w:t>
      </w:r>
    </w:p>
    <w:p>
      <w:pPr>
        <w:spacing w:after="0" w:line="200" w:lineRule="exact"/>
        <w:rPr>
          <w:sz w:val="20"/>
          <w:szCs w:val="20"/>
          <w:color w:val="auto"/>
        </w:rPr>
      </w:pPr>
    </w:p>
    <w:p>
      <w:pPr>
        <w:spacing w:after="0" w:line="307"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BAT1806, a biosimilar to Actemra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Approved</w:t>
            </w:r>
          </w:p>
        </w:tc>
        <w:tc>
          <w:tcPr>
            <w:tcW w:w="2080" w:type="dxa"/>
            <w:vAlign w:val="bottom"/>
          </w:tcPr>
          <w:p>
            <w:pPr>
              <w:ind w:left="180"/>
              <w:spacing w:after="0"/>
              <w:rPr>
                <w:sz w:val="20"/>
                <w:szCs w:val="20"/>
                <w:color w:val="auto"/>
              </w:rPr>
            </w:pPr>
            <w:r>
              <w:rPr>
                <w:rFonts w:ascii="Arial" w:cs="Arial" w:eastAsia="Arial" w:hAnsi="Arial"/>
                <w:sz w:val="18"/>
                <w:szCs w:val="18"/>
                <w:color w:val="auto"/>
              </w:rPr>
              <w:t>Bristol-Myers Squibb</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240"/>
              <w:spacing w:after="0"/>
              <w:rPr>
                <w:sz w:val="20"/>
                <w:szCs w:val="20"/>
                <w:color w:val="auto"/>
              </w:rPr>
            </w:pPr>
            <w:r>
              <w:rPr>
                <w:rFonts w:ascii="Arial" w:cs="Arial" w:eastAsia="Arial" w:hAnsi="Arial"/>
                <w:sz w:val="18"/>
                <w:szCs w:val="18"/>
                <w:color w:val="auto"/>
              </w:rPr>
              <w:t>Worldwide</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Approved</w:t>
            </w:r>
          </w:p>
        </w:tc>
        <w:tc>
          <w:tcPr>
            <w:tcW w:w="2080" w:type="dxa"/>
            <w:vAlign w:val="bottom"/>
          </w:tcPr>
          <w:p>
            <w:pPr>
              <w:ind w:left="180"/>
              <w:spacing w:after="0"/>
              <w:rPr>
                <w:sz w:val="20"/>
                <w:szCs w:val="20"/>
                <w:color w:val="auto"/>
              </w:rPr>
            </w:pPr>
            <w:r>
              <w:rPr>
                <w:rFonts w:ascii="Arial" w:cs="Arial" w:eastAsia="Arial" w:hAnsi="Arial"/>
                <w:sz w:val="18"/>
                <w:szCs w:val="18"/>
                <w:color w:val="auto"/>
              </w:rPr>
              <w:t>Pfizer</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240"/>
              <w:spacing w:after="0"/>
              <w:rPr>
                <w:sz w:val="20"/>
                <w:szCs w:val="20"/>
                <w:color w:val="auto"/>
              </w:rPr>
            </w:pPr>
            <w:r>
              <w:rPr>
                <w:rFonts w:ascii="Arial" w:cs="Arial" w:eastAsia="Arial" w:hAnsi="Arial"/>
                <w:sz w:val="18"/>
                <w:szCs w:val="18"/>
                <w:color w:val="auto"/>
              </w:rPr>
              <w:t>Worldwide</w:t>
            </w:r>
          </w:p>
        </w:tc>
      </w:tr>
      <w:tr>
        <w:trPr>
          <w:trHeight w:val="351"/>
        </w:trPr>
        <w:tc>
          <w:tcPr>
            <w:tcW w:w="2380" w:type="dxa"/>
            <w:vAlign w:val="bottom"/>
          </w:tcPr>
          <w:p>
            <w:pPr>
              <w:spacing w:after="0"/>
              <w:rPr>
                <w:sz w:val="20"/>
                <w:szCs w:val="20"/>
                <w:color w:val="auto"/>
              </w:rPr>
            </w:pPr>
            <w:r>
              <w:rPr>
                <w:rFonts w:ascii="Arial" w:cs="Arial" w:eastAsia="Arial" w:hAnsi="Arial"/>
                <w:sz w:val="18"/>
                <w:szCs w:val="18"/>
                <w:color w:val="auto"/>
              </w:rPr>
              <w:t>Approved</w:t>
            </w:r>
          </w:p>
        </w:tc>
        <w:tc>
          <w:tcPr>
            <w:tcW w:w="2080" w:type="dxa"/>
            <w:vAlign w:val="bottom"/>
          </w:tcPr>
          <w:p>
            <w:pPr>
              <w:ind w:left="180"/>
              <w:spacing w:after="0"/>
              <w:rPr>
                <w:sz w:val="20"/>
                <w:szCs w:val="20"/>
                <w:color w:val="auto"/>
              </w:rPr>
            </w:pPr>
            <w:r>
              <w:rPr>
                <w:rFonts w:ascii="Arial" w:cs="Arial" w:eastAsia="Arial" w:hAnsi="Arial"/>
                <w:sz w:val="18"/>
                <w:szCs w:val="18"/>
                <w:color w:val="auto"/>
              </w:rPr>
              <w:t>Eli Lilly/Incyte</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240"/>
              <w:spacing w:after="0"/>
              <w:rPr>
                <w:sz w:val="20"/>
                <w:szCs w:val="20"/>
                <w:color w:val="auto"/>
              </w:rPr>
            </w:pPr>
            <w:r>
              <w:rPr>
                <w:rFonts w:ascii="Arial" w:cs="Arial" w:eastAsia="Arial" w:hAnsi="Arial"/>
                <w:sz w:val="18"/>
                <w:szCs w:val="18"/>
                <w:color w:val="auto"/>
                <w:w w:val="89"/>
              </w:rPr>
              <w:t>United States, EU</w:t>
            </w: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In development (Phase 3)</w:t>
            </w:r>
          </w:p>
        </w:tc>
        <w:tc>
          <w:tcPr>
            <w:tcW w:w="2080" w:type="dxa"/>
            <w:vAlign w:val="bottom"/>
          </w:tcPr>
          <w:p>
            <w:pPr>
              <w:ind w:left="180"/>
              <w:spacing w:after="0"/>
              <w:rPr>
                <w:sz w:val="20"/>
                <w:szCs w:val="20"/>
                <w:color w:val="auto"/>
              </w:rPr>
            </w:pPr>
            <w:r>
              <w:rPr>
                <w:rFonts w:ascii="Arial" w:cs="Arial" w:eastAsia="Arial" w:hAnsi="Arial"/>
                <w:sz w:val="18"/>
                <w:szCs w:val="18"/>
                <w:color w:val="auto"/>
              </w:rPr>
              <w:t>R-Pharm</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472"/>
        </w:trPr>
        <w:tc>
          <w:tcPr>
            <w:tcW w:w="2380" w:type="dxa"/>
            <w:vAlign w:val="bottom"/>
          </w:tcPr>
          <w:p>
            <w:pPr>
              <w:spacing w:after="0"/>
              <w:rPr>
                <w:sz w:val="20"/>
                <w:szCs w:val="20"/>
                <w:color w:val="auto"/>
              </w:rPr>
            </w:pPr>
            <w:r>
              <w:rPr>
                <w:rFonts w:ascii="Arial" w:cs="Arial" w:eastAsia="Arial" w:hAnsi="Arial"/>
                <w:sz w:val="18"/>
                <w:szCs w:val="18"/>
                <w:color w:val="auto"/>
                <w:w w:val="97"/>
              </w:rPr>
              <w:t>In development (Submitted for</w:t>
            </w:r>
          </w:p>
        </w:tc>
        <w:tc>
          <w:tcPr>
            <w:tcW w:w="2080" w:type="dxa"/>
            <w:vAlign w:val="bottom"/>
          </w:tcPr>
          <w:p>
            <w:pPr>
              <w:ind w:left="180"/>
              <w:spacing w:after="0"/>
              <w:rPr>
                <w:sz w:val="20"/>
                <w:szCs w:val="20"/>
                <w:color w:val="auto"/>
              </w:rPr>
            </w:pPr>
            <w:r>
              <w:rPr>
                <w:rFonts w:ascii="Arial" w:cs="Arial" w:eastAsia="Arial" w:hAnsi="Arial"/>
                <w:sz w:val="18"/>
                <w:szCs w:val="18"/>
                <w:color w:val="auto"/>
              </w:rPr>
              <w:t>AbbVie</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regulatory approval)</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In development (Phase 3)</w:t>
            </w:r>
          </w:p>
        </w:tc>
        <w:tc>
          <w:tcPr>
            <w:tcW w:w="2080" w:type="dxa"/>
            <w:vAlign w:val="bottom"/>
          </w:tcPr>
          <w:p>
            <w:pPr>
              <w:ind w:left="180"/>
              <w:spacing w:after="0"/>
              <w:rPr>
                <w:sz w:val="20"/>
                <w:szCs w:val="20"/>
                <w:color w:val="auto"/>
              </w:rPr>
            </w:pPr>
            <w:r>
              <w:rPr>
                <w:rFonts w:ascii="Arial" w:cs="Arial" w:eastAsia="Arial" w:hAnsi="Arial"/>
                <w:sz w:val="18"/>
                <w:szCs w:val="18"/>
                <w:color w:val="auto"/>
              </w:rPr>
              <w:t>Gilead Sciences, Inc./</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0"/>
        </w:trPr>
        <w:tc>
          <w:tcPr>
            <w:tcW w:w="2380" w:type="dxa"/>
            <w:vAlign w:val="bottom"/>
          </w:tcPr>
          <w:p>
            <w:pPr>
              <w:spacing w:after="0"/>
              <w:rPr>
                <w:sz w:val="23"/>
                <w:szCs w:val="23"/>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Galapagos NV</w:t>
            </w:r>
          </w:p>
        </w:tc>
        <w:tc>
          <w:tcPr>
            <w:tcW w:w="18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In development (Phase 3)</w:t>
            </w:r>
          </w:p>
        </w:tc>
        <w:tc>
          <w:tcPr>
            <w:tcW w:w="2080" w:type="dxa"/>
            <w:vAlign w:val="bottom"/>
          </w:tcPr>
          <w:p>
            <w:pPr>
              <w:ind w:left="180"/>
              <w:spacing w:after="0"/>
              <w:rPr>
                <w:sz w:val="20"/>
                <w:szCs w:val="20"/>
                <w:color w:val="auto"/>
              </w:rPr>
            </w:pPr>
            <w:r>
              <w:rPr>
                <w:rFonts w:ascii="Arial" w:cs="Arial" w:eastAsia="Arial" w:hAnsi="Arial"/>
                <w:sz w:val="18"/>
                <w:szCs w:val="18"/>
                <w:color w:val="auto"/>
              </w:rPr>
              <w:t>Astellas Pharma Inc.</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459"/>
        </w:trPr>
        <w:tc>
          <w:tcPr>
            <w:tcW w:w="2380" w:type="dxa"/>
            <w:vAlign w:val="bottom"/>
          </w:tcPr>
          <w:p>
            <w:pPr>
              <w:spacing w:after="0"/>
              <w:rPr>
                <w:sz w:val="20"/>
                <w:szCs w:val="20"/>
                <w:color w:val="auto"/>
              </w:rPr>
            </w:pPr>
            <w:r>
              <w:rPr>
                <w:rFonts w:ascii="Arial" w:cs="Arial" w:eastAsia="Arial" w:hAnsi="Arial"/>
                <w:sz w:val="18"/>
                <w:szCs w:val="18"/>
                <w:color w:val="auto"/>
              </w:rPr>
              <w:t>In development (Phase 2)</w:t>
            </w:r>
          </w:p>
        </w:tc>
        <w:tc>
          <w:tcPr>
            <w:tcW w:w="2080" w:type="dxa"/>
            <w:vAlign w:val="bottom"/>
          </w:tcPr>
          <w:p>
            <w:pPr>
              <w:ind w:left="180"/>
              <w:spacing w:after="0"/>
              <w:rPr>
                <w:sz w:val="20"/>
                <w:szCs w:val="20"/>
                <w:color w:val="auto"/>
              </w:rPr>
            </w:pPr>
            <w:r>
              <w:rPr>
                <w:rFonts w:ascii="Arial" w:cs="Arial" w:eastAsia="Arial" w:hAnsi="Arial"/>
                <w:sz w:val="18"/>
                <w:szCs w:val="18"/>
                <w:color w:val="auto"/>
              </w:rPr>
              <w:t>BIOCAD</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56"/>
        </w:trPr>
        <w:tc>
          <w:tcPr>
            <w:tcW w:w="2380" w:type="dxa"/>
            <w:vAlign w:val="bottom"/>
          </w:tcPr>
          <w:p>
            <w:pPr>
              <w:spacing w:after="0"/>
              <w:rPr>
                <w:sz w:val="20"/>
                <w:szCs w:val="20"/>
                <w:color w:val="auto"/>
              </w:rPr>
            </w:pPr>
            <w:r>
              <w:rPr>
                <w:rFonts w:ascii="Arial" w:cs="Arial" w:eastAsia="Arial" w:hAnsi="Arial"/>
                <w:sz w:val="18"/>
                <w:szCs w:val="18"/>
                <w:color w:val="auto"/>
                <w:w w:val="97"/>
              </w:rPr>
              <w:t>In development (Phase 1 trials</w:t>
            </w:r>
          </w:p>
        </w:tc>
        <w:tc>
          <w:tcPr>
            <w:tcW w:w="2080" w:type="dxa"/>
            <w:vAlign w:val="bottom"/>
          </w:tcPr>
          <w:p>
            <w:pPr>
              <w:ind w:left="180"/>
              <w:spacing w:after="0"/>
              <w:rPr>
                <w:sz w:val="20"/>
                <w:szCs w:val="20"/>
                <w:color w:val="auto"/>
              </w:rPr>
            </w:pPr>
            <w:r>
              <w:rPr>
                <w:rFonts w:ascii="Arial" w:cs="Arial" w:eastAsia="Arial" w:hAnsi="Arial"/>
                <w:sz w:val="18"/>
                <w:szCs w:val="18"/>
                <w:color w:val="auto"/>
              </w:rPr>
              <w:t>Mycenax Biotech Inc.</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reported to have been</w:t>
            </w: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completed)</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In development (Phase 1)</w:t>
            </w:r>
          </w:p>
        </w:tc>
        <w:tc>
          <w:tcPr>
            <w:tcW w:w="2080" w:type="dxa"/>
            <w:vAlign w:val="bottom"/>
          </w:tcPr>
          <w:p>
            <w:pPr>
              <w:ind w:left="180"/>
              <w:spacing w:after="0"/>
              <w:rPr>
                <w:sz w:val="20"/>
                <w:szCs w:val="20"/>
                <w:color w:val="auto"/>
              </w:rPr>
            </w:pPr>
            <w:r>
              <w:rPr>
                <w:rFonts w:ascii="Arial" w:cs="Arial" w:eastAsia="Arial" w:hAnsi="Arial"/>
                <w:sz w:val="18"/>
                <w:szCs w:val="18"/>
                <w:color w:val="auto"/>
                <w:w w:val="97"/>
              </w:rPr>
              <w:t>Bio-Thera Solutions Ltd.</w:t>
            </w:r>
          </w:p>
        </w:tc>
        <w:tc>
          <w:tcPr>
            <w:tcW w:w="1820" w:type="dxa"/>
            <w:vAlign w:val="bottom"/>
          </w:tcPr>
          <w:p>
            <w:pPr>
              <w:ind w:left="80"/>
              <w:spacing w:after="0"/>
              <w:rPr>
                <w:sz w:val="20"/>
                <w:szCs w:val="20"/>
                <w:color w:val="auto"/>
              </w:rPr>
            </w:pPr>
            <w:r>
              <w:rPr>
                <w:rFonts w:ascii="Arial" w:cs="Arial" w:eastAsia="Arial" w:hAnsi="Arial"/>
                <w:sz w:val="18"/>
                <w:szCs w:val="18"/>
                <w:color w:val="auto"/>
              </w:rPr>
              <w:t>Rheumatoid arthritis</w:t>
            </w:r>
          </w:p>
        </w:tc>
        <w:tc>
          <w:tcPr>
            <w:tcW w:w="15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621"/>
        </w:trPr>
        <w:tc>
          <w:tcPr>
            <w:tcW w:w="2380" w:type="dxa"/>
            <w:vAlign w:val="bottom"/>
          </w:tcPr>
          <w:p>
            <w:pPr>
              <w:spacing w:after="0"/>
              <w:rPr>
                <w:sz w:val="24"/>
                <w:szCs w:val="24"/>
                <w:color w:val="auto"/>
              </w:rPr>
            </w:pPr>
          </w:p>
        </w:tc>
        <w:tc>
          <w:tcPr>
            <w:tcW w:w="2080" w:type="dxa"/>
            <w:vAlign w:val="bottom"/>
          </w:tcPr>
          <w:p>
            <w:pPr>
              <w:ind w:left="360"/>
              <w:spacing w:after="0"/>
              <w:rPr>
                <w:sz w:val="20"/>
                <w:szCs w:val="20"/>
                <w:color w:val="auto"/>
              </w:rPr>
            </w:pPr>
            <w:r>
              <w:rPr>
                <w:rFonts w:ascii="Arial" w:cs="Arial" w:eastAsia="Arial" w:hAnsi="Arial"/>
                <w:sz w:val="18"/>
                <w:szCs w:val="18"/>
                <w:color w:val="auto"/>
              </w:rPr>
              <w:t>21</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-2915285</wp:posOffset>
            </wp:positionV>
            <wp:extent cx="704088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-2503805</wp:posOffset>
            </wp:positionV>
            <wp:extent cx="704088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0880" cy="30861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-1851660</wp:posOffset>
            </wp:positionV>
            <wp:extent cx="704088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0880" cy="3771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-1165860</wp:posOffset>
            </wp:positionV>
            <wp:extent cx="70408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-548005</wp:posOffset>
            </wp:positionV>
            <wp:extent cx="70408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ectPr>
          <w:pgSz w:w="11900" w:h="16838" w:orient="portrait"/>
          <w:cols w:equalWidth="0" w:num="2">
            <w:col w:w="2700" w:space="180"/>
            <w:col w:w="8380"/>
          </w:cols>
          <w:pgMar w:left="240" w:top="118" w:right="39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Libtayo</w:t>
      </w:r>
    </w:p>
    <w:p>
      <w:pPr>
        <w:spacing w:after="0" w:line="200" w:lineRule="exact"/>
        <w:rPr>
          <w:sz w:val="20"/>
          <w:szCs w:val="20"/>
          <w:color w:val="auto"/>
        </w:rPr>
      </w:pPr>
    </w:p>
    <w:p>
      <w:pPr>
        <w:spacing w:after="0" w:line="237"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Competitor</w:t>
      </w:r>
    </w:p>
    <w:p>
      <w:pPr>
        <w:spacing w:after="0" w:line="27"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Product/Product</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Candidate</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Opdivo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(nivolumab)</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Bavencio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(avelumab)</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w:t>
      </w:r>
    </w:p>
    <w:p>
      <w:pPr>
        <w:spacing w:after="0" w:line="26"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Spartalizumab (PDR001), an antibody against PD-1</w:t>
      </w:r>
    </w:p>
    <w:p>
      <w:pPr>
        <w:spacing w:after="0" w:line="2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Tislelizumab (BGB-A317), an antibody against PD-1</w:t>
      </w:r>
    </w:p>
    <w:p>
      <w:pPr>
        <w:spacing w:after="0" w:line="11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AGEN2034, an antibody against PD-1</w:t>
      </w:r>
    </w:p>
    <w:p>
      <w:pPr>
        <w:spacing w:after="0" w:line="8"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Dostarlimab (TSR-042), an antibody against PD-1</w:t>
      </w:r>
    </w:p>
    <w:p>
      <w:pPr>
        <w:spacing w:after="0" w:line="93"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INCMGA0012, an antibody against PD-1</w:t>
      </w:r>
    </w:p>
    <w:p>
      <w:pPr>
        <w:spacing w:after="0" w:line="11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JNJ-63723283, an antibody against PD-1</w:t>
      </w:r>
    </w:p>
    <w:p>
      <w:pPr>
        <w:spacing w:after="0" w:line="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PF-06801591, an antibody against PD-1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 or</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Status</w:t>
            </w: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Indication</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27"/>
        </w:trPr>
        <w:tc>
          <w:tcPr>
            <w:tcW w:w="2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Bristol-Myers Squibb</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Merck &amp; Co.,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Pfizer/Merck</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Roche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AstraZeneca</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ind w:left="20"/>
              <w:spacing w:after="0"/>
              <w:rPr>
                <w:sz w:val="20"/>
                <w:szCs w:val="20"/>
                <w:color w:val="auto"/>
              </w:rPr>
            </w:pPr>
            <w:r>
              <w:rPr>
                <w:rFonts w:ascii="Arial" w:cs="Arial" w:eastAsia="Arial" w:hAnsi="Arial"/>
                <w:sz w:val="18"/>
                <w:szCs w:val="18"/>
                <w:color w:val="auto"/>
              </w:rPr>
              <w:t>Worldwide</w:t>
            </w: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Novartis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1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Celgene Corporation/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BeiGene Ltd.</w:t>
            </w: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97"/>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Agenus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13"/>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GSK/</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AnaptysBio</w:t>
            </w: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324"/>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Incyte/</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MacroGenics, Inc.</w:t>
            </w: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97"/>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Johnson &amp; Johnson</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2580" w:type="dxa"/>
            <w:vAlign w:val="bottom"/>
            <w:gridSpan w:val="2"/>
          </w:tcPr>
          <w:p>
            <w:pPr>
              <w:ind w:left="40"/>
              <w:spacing w:after="0"/>
              <w:rPr>
                <w:sz w:val="20"/>
                <w:szCs w:val="20"/>
                <w:color w:val="auto"/>
              </w:rPr>
            </w:pPr>
            <w:r>
              <w:rPr>
                <w:rFonts w:ascii="Arial" w:cs="Arial" w:eastAsia="Arial" w:hAnsi="Arial"/>
                <w:sz w:val="18"/>
                <w:szCs w:val="18"/>
                <w:color w:val="auto"/>
              </w:rPr>
              <w:t>In development (Phase 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Pfizer</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Various Cancers</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-2829560</wp:posOffset>
            </wp:positionV>
            <wp:extent cx="704088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-2417445</wp:posOffset>
            </wp:positionV>
            <wp:extent cx="704088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0880" cy="20574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-1903095</wp:posOffset>
            </wp:positionV>
            <wp:extent cx="704088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0880" cy="3771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-1217295</wp:posOffset>
            </wp:positionV>
            <wp:extent cx="7040880"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0880" cy="3771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-462280</wp:posOffset>
            </wp:positionV>
            <wp:extent cx="704088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0880"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-3249295</wp:posOffset>
            </wp:positionV>
            <wp:extent cx="704088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0880" cy="214630"/>
                    </a:xfrm>
                    <a:prstGeom prst="rect">
                      <a:avLst/>
                    </a:prstGeom>
                    <a:noFill/>
                  </pic:spPr>
                </pic:pic>
              </a:graphicData>
            </a:graphic>
          </wp:anchor>
        </w:drawing>
      </w:r>
    </w:p>
    <w:p>
      <w:pPr>
        <w:spacing w:after="0" w:line="447" w:lineRule="exact"/>
        <w:rPr>
          <w:sz w:val="20"/>
          <w:szCs w:val="20"/>
          <w:color w:val="auto"/>
        </w:rPr>
      </w:pPr>
    </w:p>
    <w:p>
      <w:pPr>
        <w:sectPr>
          <w:pgSz w:w="11900" w:h="16838" w:orient="portrait"/>
          <w:cols w:equalWidth="0" w:num="2">
            <w:col w:w="2660" w:space="180"/>
            <w:col w:w="8580"/>
          </w:cols>
          <w:pgMar w:left="240" w:top="130" w:right="239" w:bottom="1440" w:gutter="0" w:footer="0" w:header="0"/>
        </w:sectPr>
      </w:pPr>
    </w:p>
    <w:p>
      <w:pPr>
        <w:spacing w:after="0" w:line="5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Antibodies in Development. </w:t>
      </w:r>
      <w:r>
        <w:rPr>
          <w:rFonts w:ascii="Arial" w:cs="Arial" w:eastAsia="Arial" w:hAnsi="Arial"/>
          <w:sz w:val="17"/>
          <w:szCs w:val="17"/>
          <w:color w:val="auto"/>
        </w:rPr>
        <w:t>Our clinical candidates in development are all fully human antibodies which were generated using our</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technology. Our antibody generation technologies and clinical candidates face competition from many pharmaceutical and biotechnology companies using various technologies. Numerous other companies are developing therapeutic antibody products. Companies have generated therapeutic products that are currently in development or on the market that are derived from recombinant DNA that comprise human antibody sequences.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provides an overview of the competitive landscape for our antibody programs that are in late-stage clinical development, focusing primarily on product candidates that have advanced beyond Phase 1 clinical development:</w:t>
      </w:r>
    </w:p>
    <w:p>
      <w:pPr>
        <w:spacing w:after="0" w:line="38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Competitor</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Commercial or</w:t>
            </w:r>
          </w:p>
        </w:tc>
        <w:tc>
          <w:tcPr>
            <w:tcW w:w="1880" w:type="dxa"/>
            <w:vAlign w:val="bottom"/>
          </w:tcPr>
          <w:p>
            <w:pPr>
              <w:spacing w:after="0"/>
              <w:rPr>
                <w:sz w:val="18"/>
                <w:szCs w:val="18"/>
                <w:color w:val="auto"/>
              </w:rPr>
            </w:pPr>
          </w:p>
        </w:tc>
      </w:tr>
      <w:tr>
        <w:trPr>
          <w:trHeight w:val="216"/>
        </w:trPr>
        <w:tc>
          <w:tcPr>
            <w:tcW w:w="2660" w:type="dxa"/>
            <w:vAlign w:val="bottom"/>
            <w:gridSpan w:val="2"/>
          </w:tcPr>
          <w:p>
            <w:pPr>
              <w:ind w:left="480"/>
              <w:spacing w:after="0"/>
              <w:rPr>
                <w:sz w:val="20"/>
                <w:szCs w:val="20"/>
                <w:color w:val="auto"/>
              </w:rPr>
            </w:pPr>
            <w:r>
              <w:rPr>
                <w:rFonts w:ascii="Arial" w:cs="Arial" w:eastAsia="Arial" w:hAnsi="Arial"/>
                <w:sz w:val="18"/>
                <w:szCs w:val="18"/>
                <w:b w:val="1"/>
                <w:bCs w:val="1"/>
                <w:color w:val="auto"/>
              </w:rPr>
              <w:t>Regeneron Antibody</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Product/Product</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Development</w:t>
            </w:r>
          </w:p>
        </w:tc>
        <w:tc>
          <w:tcPr>
            <w:tcW w:w="1880" w:type="dxa"/>
            <w:vAlign w:val="bottom"/>
          </w:tcPr>
          <w:p>
            <w:pPr>
              <w:spacing w:after="0"/>
              <w:rPr>
                <w:sz w:val="18"/>
                <w:szCs w:val="18"/>
                <w:color w:val="auto"/>
              </w:rPr>
            </w:pPr>
          </w:p>
        </w:tc>
      </w:tr>
      <w:tr>
        <w:trPr>
          <w:trHeight w:val="234"/>
        </w:trPr>
        <w:tc>
          <w:tcPr>
            <w:tcW w:w="2660" w:type="dxa"/>
            <w:vAlign w:val="bottom"/>
            <w:gridSpan w:val="2"/>
          </w:tcPr>
          <w:p>
            <w:pPr>
              <w:ind w:left="920"/>
              <w:spacing w:after="0"/>
              <w:rPr>
                <w:sz w:val="20"/>
                <w:szCs w:val="20"/>
                <w:color w:val="auto"/>
              </w:rPr>
            </w:pPr>
            <w:r>
              <w:rPr>
                <w:rFonts w:ascii="Arial" w:cs="Arial" w:eastAsia="Arial" w:hAnsi="Arial"/>
                <w:sz w:val="18"/>
                <w:szCs w:val="18"/>
                <w:b w:val="1"/>
                <w:bCs w:val="1"/>
                <w:color w:val="auto"/>
              </w:rPr>
              <w:t>Program</w:t>
            </w:r>
          </w:p>
        </w:tc>
        <w:tc>
          <w:tcPr>
            <w:tcW w:w="2580" w:type="dxa"/>
            <w:vAlign w:val="bottom"/>
            <w:gridSpan w:val="2"/>
          </w:tcPr>
          <w:p>
            <w:pPr>
              <w:ind w:left="780"/>
              <w:spacing w:after="0"/>
              <w:rPr>
                <w:sz w:val="20"/>
                <w:szCs w:val="20"/>
                <w:color w:val="auto"/>
              </w:rPr>
            </w:pPr>
            <w:r>
              <w:rPr>
                <w:rFonts w:ascii="Arial" w:cs="Arial" w:eastAsia="Arial" w:hAnsi="Arial"/>
                <w:sz w:val="18"/>
                <w:szCs w:val="18"/>
                <w:b w:val="1"/>
                <w:bCs w:val="1"/>
                <w:color w:val="auto"/>
              </w:rPr>
              <w:t>Competitor</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Status</w:t>
            </w:r>
          </w:p>
        </w:tc>
        <w:tc>
          <w:tcPr>
            <w:tcW w:w="1880" w:type="dxa"/>
            <w:vAlign w:val="bottom"/>
          </w:tcPr>
          <w:p>
            <w:pPr>
              <w:ind w:left="680"/>
              <w:spacing w:after="0"/>
              <w:rPr>
                <w:sz w:val="20"/>
                <w:szCs w:val="20"/>
                <w:color w:val="auto"/>
              </w:rPr>
            </w:pPr>
            <w:r>
              <w:rPr>
                <w:rFonts w:ascii="Arial" w:cs="Arial" w:eastAsia="Arial" w:hAnsi="Arial"/>
                <w:sz w:val="18"/>
                <w:szCs w:val="18"/>
                <w:b w:val="1"/>
                <w:bCs w:val="1"/>
                <w:color w:val="auto"/>
              </w:rPr>
              <w:t>Target</w:t>
            </w:r>
          </w:p>
        </w:tc>
      </w:tr>
      <w:tr>
        <w:trPr>
          <w:trHeight w:val="27"/>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2"/>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Fasinumab (Phase 3)</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Pfizer/Eli Lilly</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Tanezumab</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NGF</w:t>
            </w:r>
          </w:p>
        </w:tc>
      </w:tr>
      <w:tr>
        <w:trPr>
          <w:trHeight w:val="23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Target: NGF</w:t>
            </w:r>
          </w:p>
        </w:tc>
        <w:tc>
          <w:tcPr>
            <w:tcW w:w="2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Evinacumab (Phase 3)</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Ionis Pharmaceuticals,</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AKCEA-ANGPTL3-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 development (Phase</w:t>
            </w:r>
          </w:p>
        </w:tc>
        <w:tc>
          <w:tcPr>
            <w:tcW w:w="1880" w:type="dxa"/>
            <w:vAlign w:val="bottom"/>
          </w:tcPr>
          <w:p>
            <w:pPr>
              <w:ind w:left="20"/>
              <w:spacing w:after="0"/>
              <w:rPr>
                <w:sz w:val="20"/>
                <w:szCs w:val="20"/>
                <w:color w:val="auto"/>
              </w:rPr>
            </w:pPr>
            <w:r>
              <w:rPr>
                <w:rFonts w:ascii="Arial" w:cs="Arial" w:eastAsia="Arial" w:hAnsi="Arial"/>
                <w:sz w:val="18"/>
                <w:szCs w:val="18"/>
                <w:color w:val="auto"/>
              </w:rPr>
              <w:t>Ligand conjugated</w:t>
            </w: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Target: ANGPTL3</w:t>
            </w:r>
          </w:p>
        </w:tc>
        <w:tc>
          <w:tcPr>
            <w:tcW w:w="2580" w:type="dxa"/>
            <w:vAlign w:val="bottom"/>
            <w:gridSpan w:val="2"/>
          </w:tcPr>
          <w:p>
            <w:pPr>
              <w:ind w:left="40"/>
              <w:spacing w:after="0"/>
              <w:rPr>
                <w:sz w:val="20"/>
                <w:szCs w:val="20"/>
                <w:color w:val="auto"/>
              </w:rPr>
            </w:pPr>
            <w:r>
              <w:rPr>
                <w:rFonts w:ascii="Arial" w:cs="Arial" w:eastAsia="Arial" w:hAnsi="Arial"/>
                <w:sz w:val="18"/>
                <w:szCs w:val="18"/>
                <w:color w:val="auto"/>
              </w:rPr>
              <w:t>Inc./Akcea Therapeutics, Inc.</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LRx</w:t>
            </w:r>
          </w:p>
        </w:tc>
        <w:tc>
          <w:tcPr>
            <w:tcW w:w="188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antisense drug against</w:t>
            </w:r>
          </w:p>
        </w:tc>
      </w:tr>
      <w:tr>
        <w:trPr>
          <w:trHeight w:val="237"/>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ANGPTL3</w:t>
            </w:r>
          </w:p>
        </w:tc>
      </w:tr>
      <w:tr>
        <w:trPr>
          <w:trHeight w:val="235"/>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Evinacumab</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Arrowhead Pharmaceuticals,</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ARO-ANG3</w:t>
            </w: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RNAi against</w:t>
            </w:r>
          </w:p>
        </w:tc>
      </w:tr>
      <w:tr>
        <w:trPr>
          <w:trHeight w:val="230"/>
        </w:trPr>
        <w:tc>
          <w:tcPr>
            <w:tcW w:w="2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ANGPTL3</w:t>
            </w: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table above is not exhaustive and focuses on antibody competitors. We are also aware of several companies developing or marketing small molecules that may compete with our antibody product candidates in various indications, if such product candidates obtain regulatory approval in those indications.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For additional information regarding our antibody programs and the substantial competition they face,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The commercial success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and product candidates is subject to strong competition</w:t>
      </w:r>
      <w:r>
        <w:rPr>
          <w:rFonts w:ascii="Arial" w:cs="Arial" w:eastAsia="Arial" w:hAnsi="Arial"/>
          <w:sz w:val="18"/>
          <w:szCs w:val="18"/>
          <w:color w:val="auto"/>
        </w:rPr>
        <w:t>."</w:t>
      </w:r>
    </w:p>
    <w:p>
      <w:pPr>
        <w:sectPr>
          <w:pgSz w:w="11900" w:h="16838" w:orient="portrait"/>
          <w:cols w:equalWidth="0" w:num="1">
            <w:col w:w="11420"/>
          </w:cols>
          <w:pgMar w:left="240" w:top="130" w:right="239"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Other Areas. </w:t>
      </w:r>
      <w:r>
        <w:rPr>
          <w:rFonts w:ascii="Arial" w:cs="Arial" w:eastAsia="Arial" w:hAnsi="Arial"/>
          <w:sz w:val="18"/>
          <w:szCs w:val="18"/>
          <w:color w:val="auto"/>
        </w:rPr>
        <w:t>Many pharmaceutical and biotechnology companies are attempting to discover new therapeutics for indications in which we invest</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may have established substantial intellectual property and other competitive advantages.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and/or 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 and Note 17 to our Consolidated Financial Statements). Our policy is to file patent applications to protect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inventions, and improvements that we consider important to our business and operations. We hold an ownership interest in a number of issued patents in the United States and foreign countries with respect to our products and technologies. In addition, we hold an ownership interest in thousands of patent applications in the United States and foreign countries.</w:t>
      </w:r>
    </w:p>
    <w:p>
      <w:pPr>
        <w:spacing w:after="0" w:line="24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antibodies. Our issued patents covering these technologies generally expire between 2020 and 2030. However, we continue to file patent applications directed to improvements to these technology platforms.</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w:t>
      </w:r>
    </w:p>
    <w:p>
      <w:pPr>
        <w:spacing w:after="0" w:line="23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following table describes our U.S. patents and European patents (EP) that we currently consider of primary importance to our marketed products,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are not separately listed.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200"/>
              <w:spacing w:after="0"/>
              <w:rPr>
                <w:sz w:val="20"/>
                <w:szCs w:val="20"/>
                <w:color w:val="auto"/>
              </w:rPr>
            </w:pPr>
            <w:r>
              <w:rPr>
                <w:rFonts w:ascii="Arial" w:cs="Arial" w:eastAsia="Arial" w:hAnsi="Arial"/>
                <w:sz w:val="18"/>
                <w:szCs w:val="18"/>
                <w:b w:val="1"/>
                <w:bCs w:val="1"/>
                <w:color w:val="auto"/>
              </w:rPr>
              <w:t>General Subject Matter</w:t>
            </w:r>
          </w:p>
        </w:tc>
        <w:tc>
          <w:tcPr>
            <w:tcW w:w="2220" w:type="dxa"/>
            <w:vAlign w:val="bottom"/>
          </w:tcPr>
          <w:p>
            <w:pPr>
              <w:spacing w:after="0"/>
              <w:rPr>
                <w:sz w:val="18"/>
                <w:szCs w:val="18"/>
                <w:color w:val="auto"/>
              </w:rPr>
            </w:pPr>
          </w:p>
        </w:tc>
      </w:tr>
      <w:tr>
        <w:trPr>
          <w:trHeight w:val="234"/>
        </w:trPr>
        <w:tc>
          <w:tcPr>
            <w:tcW w:w="1220" w:type="dxa"/>
            <w:vAlign w:val="bottom"/>
          </w:tcPr>
          <w:p>
            <w:pPr>
              <w:ind w:left="30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Molecule</w:t>
            </w:r>
          </w:p>
        </w:tc>
        <w:tc>
          <w:tcPr>
            <w:tcW w:w="100" w:type="dxa"/>
            <w:vAlign w:val="bottom"/>
          </w:tcPr>
          <w:p>
            <w:pPr>
              <w:spacing w:after="0"/>
              <w:rPr>
                <w:sz w:val="20"/>
                <w:szCs w:val="20"/>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Territory</w:t>
            </w:r>
          </w:p>
        </w:tc>
        <w:tc>
          <w:tcPr>
            <w:tcW w:w="1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Patent No.</w:t>
            </w:r>
          </w:p>
        </w:tc>
        <w:tc>
          <w:tcPr>
            <w:tcW w:w="2340" w:type="dxa"/>
            <w:vAlign w:val="bottom"/>
            <w:gridSpan w:val="2"/>
          </w:tcPr>
          <w:p>
            <w:pPr>
              <w:ind w:left="900"/>
              <w:spacing w:after="0"/>
              <w:rPr>
                <w:sz w:val="20"/>
                <w:szCs w:val="20"/>
                <w:color w:val="auto"/>
              </w:rPr>
            </w:pPr>
            <w:r>
              <w:rPr>
                <w:rFonts w:ascii="Arial" w:cs="Arial" w:eastAsia="Arial" w:hAnsi="Arial"/>
                <w:sz w:val="18"/>
                <w:szCs w:val="18"/>
                <w:b w:val="1"/>
                <w:bCs w:val="1"/>
                <w:color w:val="auto"/>
              </w:rPr>
              <w:t>Class</w:t>
            </w:r>
          </w:p>
        </w:tc>
        <w:tc>
          <w:tcPr>
            <w:tcW w:w="2220" w:type="dxa"/>
            <w:vAlign w:val="bottom"/>
          </w:tcPr>
          <w:p>
            <w:pPr>
              <w:ind w:left="700"/>
              <w:spacing w:after="0"/>
              <w:rPr>
                <w:sz w:val="20"/>
                <w:szCs w:val="20"/>
                <w:color w:val="auto"/>
              </w:rPr>
            </w:pPr>
            <w:r>
              <w:rPr>
                <w:rFonts w:ascii="Arial" w:cs="Arial" w:eastAsia="Arial" w:hAnsi="Arial"/>
                <w:sz w:val="18"/>
                <w:szCs w:val="18"/>
                <w:b w:val="1"/>
                <w:bCs w:val="1"/>
                <w:color w:val="auto"/>
              </w:rPr>
              <w:t>Expiration</w:t>
            </w: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64"/>
        </w:trPr>
        <w:tc>
          <w:tcPr>
            <w:tcW w:w="12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aflibercept</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7,070,959</w:t>
            </w: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June 16, 2023</w:t>
            </w:r>
            <w:r>
              <w:rPr>
                <w:rFonts w:ascii="Arial" w:cs="Arial" w:eastAsia="Arial" w:hAnsi="Arial"/>
                <w:sz w:val="25"/>
                <w:szCs w:val="25"/>
                <w:color w:val="auto"/>
                <w:vertAlign w:val="superscript"/>
              </w:rPr>
              <w:t>*</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8,092,803</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21, 2027</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9,254,338</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22, 2032</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1183353</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23, 2020</w:t>
            </w:r>
          </w:p>
        </w:tc>
      </w:tr>
      <w:tr>
        <w:trPr>
          <w:trHeight w:val="256"/>
        </w:trPr>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1183353</w:t>
            </w: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Protection</w:t>
            </w:r>
          </w:p>
        </w:tc>
        <w:tc>
          <w:tcPr>
            <w:tcW w:w="22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(May 23, 2025)</w:t>
            </w:r>
            <w:r>
              <w:rPr>
                <w:rFonts w:ascii="Arial" w:cs="Arial" w:eastAsia="Arial" w:hAnsi="Arial"/>
                <w:sz w:val="25"/>
                <w:szCs w:val="25"/>
                <w:color w:val="auto"/>
                <w:vertAlign w:val="superscript"/>
              </w:rPr>
              <w:t>**</w:t>
            </w:r>
          </w:p>
        </w:tc>
      </w:tr>
      <w:tr>
        <w:trPr>
          <w:trHeight w:val="230"/>
        </w:trPr>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220" w:type="dxa"/>
            <w:vAlign w:val="bottom"/>
            <w:shd w:val="clear" w:color="auto" w:fill="CCEEFF"/>
          </w:tcPr>
          <w:p>
            <w:pPr>
              <w:spacing w:after="0"/>
              <w:rPr>
                <w:sz w:val="20"/>
                <w:szCs w:val="20"/>
                <w:color w:val="auto"/>
              </w:rPr>
            </w:pP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2364691</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14, 2027</w:t>
            </w:r>
          </w:p>
        </w:tc>
      </w:tr>
      <w:tr>
        <w:trPr>
          <w:trHeight w:val="277"/>
        </w:trPr>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1544299</w:t>
            </w:r>
          </w:p>
        </w:tc>
        <w:tc>
          <w:tcPr>
            <w:tcW w:w="10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23, 2020</w:t>
            </w:r>
          </w:p>
        </w:tc>
      </w:tr>
      <w:tr>
        <w:trPr>
          <w:trHeight w:val="283"/>
        </w:trPr>
        <w:tc>
          <w:tcPr>
            <w:tcW w:w="1220" w:type="dxa"/>
            <w:vAlign w:val="bottom"/>
          </w:tcPr>
          <w:p>
            <w:pPr>
              <w:ind w:left="20"/>
              <w:spacing w:after="0" w:line="283" w:lineRule="exact"/>
              <w:rPr>
                <w:sz w:val="20"/>
                <w:szCs w:val="20"/>
                <w:color w:val="auto"/>
              </w:rPr>
            </w:pPr>
            <w:r>
              <w:rPr>
                <w:rFonts w:ascii="Arial" w:cs="Arial" w:eastAsia="Arial" w:hAnsi="Arial"/>
                <w:sz w:val="18"/>
                <w:szCs w:val="18"/>
                <w:color w:val="auto"/>
              </w:rPr>
              <w:t>Dupixent</w:t>
            </w:r>
            <w:r>
              <w:rPr>
                <w:rFonts w:ascii="Arial" w:cs="Arial" w:eastAsia="Arial" w:hAnsi="Arial"/>
                <w:sz w:val="25"/>
                <w:szCs w:val="25"/>
                <w:color w:val="auto"/>
                <w:vertAlign w:val="superscript"/>
              </w:rPr>
              <w:t>***</w:t>
            </w:r>
          </w:p>
        </w:tc>
        <w:tc>
          <w:tcPr>
            <w:tcW w:w="1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dupilumab</w:t>
            </w:r>
          </w:p>
        </w:tc>
        <w:tc>
          <w:tcPr>
            <w:tcW w:w="10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7,608,693</w:t>
            </w:r>
          </w:p>
        </w:tc>
        <w:tc>
          <w:tcPr>
            <w:tcW w:w="10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 2027</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8,945,559</w:t>
            </w:r>
          </w:p>
        </w:tc>
        <w:tc>
          <w:tcPr>
            <w:tcW w:w="10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17, 2032</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8,075,887</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April 17, 2028</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8,337,839</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9,290,574</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July 10, 2034</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9,574,004</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December 22, 2033</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27, 2029</w:t>
            </w:r>
          </w:p>
        </w:tc>
      </w:tr>
      <w:tr>
        <w:trPr>
          <w:trHeight w:val="256"/>
        </w:trPr>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2356151</w:t>
            </w:r>
          </w:p>
        </w:tc>
        <w:tc>
          <w:tcPr>
            <w:tcW w:w="10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Supplementary Protection</w:t>
            </w:r>
          </w:p>
        </w:tc>
        <w:tc>
          <w:tcPr>
            <w:tcW w:w="2220" w:type="dxa"/>
            <w:vAlign w:val="bottom"/>
          </w:tcPr>
          <w:p>
            <w:pPr>
              <w:ind w:left="20"/>
              <w:spacing w:after="0" w:line="256" w:lineRule="exact"/>
              <w:rPr>
                <w:sz w:val="20"/>
                <w:szCs w:val="20"/>
                <w:color w:val="auto"/>
              </w:rPr>
            </w:pPr>
            <w:r>
              <w:rPr>
                <w:rFonts w:ascii="Arial" w:cs="Arial" w:eastAsia="Arial" w:hAnsi="Arial"/>
                <w:sz w:val="18"/>
                <w:szCs w:val="18"/>
                <w:color w:val="auto"/>
              </w:rPr>
              <w:t>(September 28, 2032)</w:t>
            </w:r>
            <w:r>
              <w:rPr>
                <w:rFonts w:ascii="Arial" w:cs="Arial" w:eastAsia="Arial" w:hAnsi="Arial"/>
                <w:sz w:val="25"/>
                <w:szCs w:val="25"/>
                <w:color w:val="auto"/>
                <w:vertAlign w:val="superscript"/>
              </w:rPr>
              <w:t>**</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22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12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Praluent</w:t>
            </w:r>
            <w:r>
              <w:rPr>
                <w:rFonts w:ascii="Arial" w:cs="Arial" w:eastAsia="Arial" w:hAnsi="Arial"/>
                <w:sz w:val="25"/>
                <w:szCs w:val="25"/>
                <w:color w:val="auto"/>
                <w:vertAlign w:val="superscript"/>
              </w:rPr>
              <w:t>***</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alirocumab</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8,062,640</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43"/>
        </w:trPr>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8,795,669</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27, 2032</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8,357,371</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21, 2029</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9,550,837</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9,724,411</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2031</w:t>
            </w:r>
          </w:p>
        </w:tc>
      </w:tr>
      <w:tr>
        <w:trPr>
          <w:trHeight w:val="270"/>
        </w:trPr>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2358756</w:t>
            </w:r>
          </w:p>
        </w:tc>
        <w:tc>
          <w:tcPr>
            <w:tcW w:w="10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15, 2029</w:t>
            </w:r>
          </w:p>
        </w:tc>
      </w:tr>
      <w:tr>
        <w:trPr>
          <w:trHeight w:val="256"/>
        </w:trPr>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2358756</w:t>
            </w:r>
          </w:p>
        </w:tc>
        <w:tc>
          <w:tcPr>
            <w:tcW w:w="100" w:type="dxa"/>
            <w:vAlign w:val="bottom"/>
            <w:shd w:val="clear" w:color="auto" w:fill="CCEEFF"/>
          </w:tcPr>
          <w:p>
            <w:pPr>
              <w:spacing w:after="0"/>
              <w:rPr>
                <w:sz w:val="22"/>
                <w:szCs w:val="22"/>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Protection</w:t>
            </w:r>
          </w:p>
        </w:tc>
        <w:tc>
          <w:tcPr>
            <w:tcW w:w="22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(September 25, 2030)</w:t>
            </w:r>
            <w:r>
              <w:rPr>
                <w:rFonts w:ascii="Arial" w:cs="Arial" w:eastAsia="Arial" w:hAnsi="Arial"/>
                <w:sz w:val="25"/>
                <w:szCs w:val="25"/>
                <w:color w:val="auto"/>
                <w:vertAlign w:val="superscript"/>
              </w:rPr>
              <w:t>**</w:t>
            </w:r>
          </w:p>
        </w:tc>
      </w:tr>
      <w:tr>
        <w:trPr>
          <w:trHeight w:val="237"/>
        </w:trPr>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43"/>
        </w:trPr>
        <w:tc>
          <w:tcPr>
            <w:tcW w:w="1220" w:type="dxa"/>
            <w:vAlign w:val="bottom"/>
          </w:tcPr>
          <w:p>
            <w:pPr>
              <w:ind w:left="20"/>
              <w:spacing w:after="0"/>
              <w:rPr>
                <w:sz w:val="20"/>
                <w:szCs w:val="20"/>
                <w:color w:val="auto"/>
              </w:rPr>
            </w:pPr>
            <w:r>
              <w:rPr>
                <w:rFonts w:ascii="Arial" w:cs="Arial" w:eastAsia="Arial" w:hAnsi="Arial"/>
                <w:sz w:val="18"/>
                <w:szCs w:val="18"/>
                <w:color w:val="auto"/>
              </w:rPr>
              <w:t>Kevzara</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sarilumab</w:t>
            </w:r>
          </w:p>
        </w:tc>
        <w:tc>
          <w:tcPr>
            <w:tcW w:w="100" w:type="dxa"/>
            <w:vAlign w:val="bottom"/>
          </w:tcPr>
          <w:p>
            <w:pPr>
              <w:spacing w:after="0"/>
              <w:rPr>
                <w:sz w:val="21"/>
                <w:szCs w:val="21"/>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7,582,298</w:t>
            </w:r>
          </w:p>
        </w:tc>
        <w:tc>
          <w:tcPr>
            <w:tcW w:w="10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January 4, 2028</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9,173,880</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Formulation</w:t>
            </w:r>
          </w:p>
        </w:tc>
        <w:tc>
          <w:tcPr>
            <w:tcW w:w="2220" w:type="dxa"/>
            <w:vAlign w:val="bottom"/>
          </w:tcPr>
          <w:p>
            <w:pPr>
              <w:ind w:left="20"/>
              <w:spacing w:after="0"/>
              <w:rPr>
                <w:sz w:val="20"/>
                <w:szCs w:val="20"/>
                <w:color w:val="auto"/>
              </w:rPr>
            </w:pPr>
            <w:r>
              <w:rPr>
                <w:rFonts w:ascii="Arial" w:cs="Arial" w:eastAsia="Arial" w:hAnsi="Arial"/>
                <w:sz w:val="18"/>
                <w:szCs w:val="18"/>
                <w:color w:val="auto"/>
              </w:rPr>
              <w:t>December 6, 2031</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8,080,248</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June 1, 2027</w:t>
            </w: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2041177</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tcPr>
          <w:p>
            <w:pPr>
              <w:ind w:left="20"/>
              <w:spacing w:after="0"/>
              <w:rPr>
                <w:sz w:val="20"/>
                <w:szCs w:val="20"/>
                <w:color w:val="auto"/>
              </w:rPr>
            </w:pPr>
            <w:r>
              <w:rPr>
                <w:rFonts w:ascii="Arial" w:cs="Arial" w:eastAsia="Arial" w:hAnsi="Arial"/>
                <w:sz w:val="18"/>
                <w:szCs w:val="18"/>
                <w:color w:val="auto"/>
              </w:rPr>
              <w:t>June 1, 2027</w:t>
            </w:r>
          </w:p>
        </w:tc>
      </w:tr>
      <w:tr>
        <w:trPr>
          <w:trHeight w:val="256"/>
        </w:trPr>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2041177</w:t>
            </w:r>
          </w:p>
        </w:tc>
        <w:tc>
          <w:tcPr>
            <w:tcW w:w="10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Supplementary Protection</w:t>
            </w:r>
          </w:p>
        </w:tc>
        <w:tc>
          <w:tcPr>
            <w:tcW w:w="2220" w:type="dxa"/>
            <w:vAlign w:val="bottom"/>
          </w:tcPr>
          <w:p>
            <w:pPr>
              <w:ind w:left="20"/>
              <w:spacing w:after="0" w:line="256" w:lineRule="exact"/>
              <w:rPr>
                <w:sz w:val="20"/>
                <w:szCs w:val="20"/>
                <w:color w:val="auto"/>
              </w:rPr>
            </w:pPr>
            <w:r>
              <w:rPr>
                <w:rFonts w:ascii="Arial" w:cs="Arial" w:eastAsia="Arial" w:hAnsi="Arial"/>
                <w:sz w:val="18"/>
                <w:szCs w:val="18"/>
                <w:color w:val="auto"/>
              </w:rPr>
              <w:t>(June 1, 2032)</w:t>
            </w:r>
            <w:r>
              <w:rPr>
                <w:rFonts w:ascii="Arial" w:cs="Arial" w:eastAsia="Arial" w:hAnsi="Arial"/>
                <w:sz w:val="25"/>
                <w:szCs w:val="25"/>
                <w:color w:val="auto"/>
                <w:vertAlign w:val="superscript"/>
              </w:rPr>
              <w:t>**</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Certificate</w:t>
            </w:r>
          </w:p>
        </w:tc>
        <w:tc>
          <w:tcPr>
            <w:tcW w:w="2220" w:type="dxa"/>
            <w:vAlign w:val="bottom"/>
          </w:tcPr>
          <w:p>
            <w:pPr>
              <w:spacing w:after="0"/>
              <w:rPr>
                <w:sz w:val="20"/>
                <w:szCs w:val="20"/>
                <w:color w:val="auto"/>
              </w:rPr>
            </w:pPr>
          </w:p>
        </w:tc>
      </w:tr>
      <w:tr>
        <w:trPr>
          <w:trHeight w:val="270"/>
        </w:trPr>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rPr>
              <w:t>EP</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2766039</w:t>
            </w:r>
          </w:p>
        </w:tc>
        <w:tc>
          <w:tcPr>
            <w:tcW w:w="10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Methods of Treatment</w:t>
            </w:r>
          </w:p>
        </w:tc>
        <w:tc>
          <w:tcPr>
            <w:tcW w:w="2220" w:type="dxa"/>
            <w:vAlign w:val="bottom"/>
          </w:tcPr>
          <w:p>
            <w:pPr>
              <w:ind w:left="20"/>
              <w:spacing w:after="0"/>
              <w:rPr>
                <w:sz w:val="20"/>
                <w:szCs w:val="20"/>
                <w:color w:val="auto"/>
              </w:rPr>
            </w:pPr>
            <w:r>
              <w:rPr>
                <w:rFonts w:ascii="Arial" w:cs="Arial" w:eastAsia="Arial" w:hAnsi="Arial"/>
                <w:sz w:val="18"/>
                <w:szCs w:val="18"/>
                <w:color w:val="auto"/>
              </w:rPr>
              <w:t>October 10, 2032</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Libtayo</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cemiplimab</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9,987,500</w:t>
            </w:r>
          </w:p>
        </w:tc>
        <w:tc>
          <w:tcPr>
            <w:tcW w:w="10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Composition of Matter</w:t>
            </w:r>
          </w:p>
        </w:tc>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18, 2035</w:t>
            </w:r>
          </w:p>
        </w:tc>
      </w:tr>
      <w:tr>
        <w:trPr>
          <w:trHeight w:val="27"/>
        </w:trPr>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660" w:right="940" w:firstLine="10"/>
        <w:spacing w:after="0" w:line="216" w:lineRule="auto"/>
        <w:tabs>
          <w:tab w:leader="none" w:pos="758"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 patent term extension has been granted by the U.S. Patent and Trademark Office, extending the original patent term (May 23, 2020), insofar as it covers EYLEA, to June 16, 2023.</w:t>
      </w:r>
    </w:p>
    <w:p>
      <w:pPr>
        <w:spacing w:after="0" w:line="41" w:lineRule="exact"/>
        <w:rPr>
          <w:sz w:val="20"/>
          <w:szCs w:val="20"/>
          <w:color w:val="auto"/>
        </w:rPr>
      </w:pPr>
    </w:p>
    <w:p>
      <w:pPr>
        <w:ind w:left="660" w:right="700" w:firstLine="10"/>
        <w:spacing w:after="0" w:line="216" w:lineRule="auto"/>
        <w:tabs>
          <w:tab w:leader="none" w:pos="831"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Supplementary protection certificates (SPCs) are pending and/or have been granted in various European countries, extending the original patent terms in those countries, where granted, to the dates indicated in parentheses.</w:t>
      </w:r>
    </w:p>
    <w:p>
      <w:pPr>
        <w:spacing w:after="0" w:line="41" w:lineRule="exact"/>
        <w:rPr>
          <w:rFonts w:ascii="Arial" w:cs="Arial" w:eastAsia="Arial" w:hAnsi="Arial"/>
          <w:sz w:val="25"/>
          <w:szCs w:val="25"/>
          <w:color w:val="auto"/>
          <w:vertAlign w:val="superscript"/>
        </w:rPr>
      </w:pPr>
    </w:p>
    <w:p>
      <w:pPr>
        <w:ind w:left="660" w:right="1320" w:firstLine="10"/>
        <w:spacing w:after="0" w:line="216" w:lineRule="auto"/>
        <w:tabs>
          <w:tab w:leader="none" w:pos="894"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See Note 17 to our Consolidated Financial Statements for information regarding the patent infringement proceedings relating to EYLEA, Dupixent, and Praluent.</w:t>
      </w:r>
    </w:p>
    <w:p>
      <w:pPr>
        <w:spacing w:after="0" w:line="284"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In addition,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Arial" w:cs="Arial" w:eastAsia="Arial" w:hAnsi="Arial"/>
          <w:sz w:val="16"/>
          <w:szCs w:val="16"/>
          <w:i w:val="1"/>
          <w:iCs w:val="1"/>
          <w:color w:val="auto"/>
        </w:rPr>
        <w:t>Loss or limitation of patent rights, and new regulatory pathways for biosimilar competition, could reduce the duration of market exclusivity for</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products</w:t>
      </w:r>
      <w:r>
        <w:rPr>
          <w:rFonts w:ascii="Arial" w:cs="Arial" w:eastAsia="Arial" w:hAnsi="Arial"/>
          <w:sz w:val="16"/>
          <w:szCs w:val="16"/>
          <w:color w:val="auto"/>
        </w:rPr>
        <w:t>"). The effect of expiration of a patent relating to a particular product also depends upon other factors, such as the nature of the market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21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patents owned and/or exclusively licensed by one or more of these parties that includes the right to develop and sell Libtayo. Under the agreement, we and Sanofi pay royalties of 8.0% on worldwide sales of Libtayo through December 31, 2023, and royalties of 2.5% from January 1, 2024 through December 31, 2026. The royalties are shared equally by us and Sanofi.</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4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20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 manufacturing, and/or</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 and Note 17 to our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Regulation by government authorities in the United States and foreign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Preclinical Requirements</w:t>
      </w:r>
    </w:p>
    <w:p>
      <w:pPr>
        <w:spacing w:after="0" w:line="1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Certain preclinical trials must comply with the FDA's Good Laboratory Practice requirements (GLPs) and the U.S. Department of Agriculture's Animal Welfare Act. The results of these studies must be submitted to the FDA as part of an IND, which must be reviewed by the FDA before proposed clinical testing can begin. In other countries, the data are reviewed by regulatory authorities as part of clinical trial applications. The FDA or other regulatory authorities may ask for additional data in order to begin a clinical study.</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Approval</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All of our product candidates will require regulatory approval before they can be commercialized. In particular, human therapeutic products are subject to rigorous preclinical and clinical trials and other pre-market approval requirements by the FDA and foreign authorities. The structure and substance of the FDA and foreign pharmaceutical regulatory practices may evolve over time. The ultimate outcome and impact of such developments cannot be predicted.</w:t>
      </w:r>
    </w:p>
    <w:p>
      <w:pPr>
        <w:spacing w:after="0" w:line="20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Typically, clinical testing involves a three-phase process. In Phase 1, trials are usually conducted with a small number of healthy volunteers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larger clinical trials are conducted with patients afflicted with the specific disease or disorder in order to provide enough data to understand the efficacy and safety profile of the product candidate, as required by the FDA. If concerns arise about the safety of the product candidate, the FDA or other regulatory authorities can stop clinical trials by placing them on a "clinical hold" pending receipt of additional data, which can result in a delay or termination of a clinical development program. The results of the preclinical and clinical testing of a biologic product candidate are then submitted to the FDA in the form of a Biologics License Application (BLA) for evaluation to determine whether the product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candidate may be approved for commercial sale under the Public Health Service Act. Under the Prescription Drug User Fee Act, we typically must pay fees to the FDA for review of any BLA, which can exceed $2 million per filing. In responding to a BLA, the FDA may grant marketing approval, request additional information, or deny the application. Before approving a new drug or biologic product, the FDA 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also can audit the sponsor of the BLA to determine if the clinical studies were conducted in compliance with current Good Clinical Practice, or cGCP, requirements.</w:t>
      </w:r>
    </w:p>
    <w:p>
      <w:pPr>
        <w:spacing w:after="0" w:line="23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42"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Post-Approval Regulation</w:t>
      </w:r>
    </w:p>
    <w:p>
      <w:pPr>
        <w:spacing w:after="0" w:line="27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labeling changes based on new safety information, and compliance with FDA-approved risk evaluation and mitigation strategies.</w:t>
      </w:r>
    </w:p>
    <w:p>
      <w:pPr>
        <w:spacing w:after="0" w:line="201"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 xml:space="preserve">Following approval, the FDA regulates the marketing and promotion of our products, which must comply with the Food, Drug, and Cosmetic Act and applicable FDA regulations and standards thereunder. The FDA's review of promotional activities includes, but is not limited to, healthcare provider-directed and direct-to-consumer advertising as well as sales representatives' communications. The FDA may take enforcement action for promoting unapproved uses of a product or other violations of its advertising and promotion laws and regulations. See Part I, Item 1A. "Risk Factors - Regulatory and Litigation Risks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we market and sell approved products in a way that violates federal or state healthcare laws, we may be subject to civil or criminal penalties</w:t>
      </w:r>
      <w:r>
        <w:rPr>
          <w:rFonts w:ascii="Arial" w:cs="Arial" w:eastAsia="Arial" w:hAnsi="Arial"/>
          <w:sz w:val="16"/>
          <w:szCs w:val="16"/>
          <w:color w:val="auto"/>
        </w:rPr>
        <w:t>."</w:t>
      </w:r>
    </w:p>
    <w:p>
      <w:pPr>
        <w:spacing w:after="0" w:line="21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w:t>
      </w:r>
    </w:p>
    <w:p>
      <w:pPr>
        <w:spacing w:after="0" w:line="247"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addition, we and our third-party suppliers are required to maintain compliance with cGMPs,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properly handle suspect and illegitimate products. We may also be subject to state regulations related to the manufacturing and distribution of our products.</w:t>
      </w:r>
    </w:p>
    <w:p>
      <w:pPr>
        <w:spacing w:after="0" w:line="3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Failure to comply with these laws and regulations may lead the FDA and comparable regulatory authorities in other jurisdictions to take regulatory action, which could include ordering the suspension of manufacturing or withdrawing FDA approval of a product.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Pricing and Reimbursement</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Sales in the United States of our marketed products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Arial" w:cs="Arial" w:eastAsia="Arial" w:hAnsi="Arial"/>
          <w:sz w:val="18"/>
          <w:szCs w:val="18"/>
          <w:i w:val="1"/>
          <w:iCs w:val="1"/>
          <w:color w:val="auto"/>
        </w:rPr>
        <w:t>Sales of our marketed products are dependent on the</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and extent of reimbursement from third-party payers, and changes to such reimbursement may materially harm our business, prospects, operating results, and financial condition.</w:t>
      </w:r>
      <w:r>
        <w:rPr>
          <w:rFonts w:ascii="Arial" w:cs="Arial" w:eastAsia="Arial" w:hAnsi="Arial"/>
          <w:sz w:val="18"/>
          <w:szCs w:val="18"/>
          <w:color w:val="auto"/>
        </w:rPr>
        <w:t>"</w:t>
      </w:r>
    </w:p>
    <w:p>
      <w:pPr>
        <w:spacing w:after="0" w:line="1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participate in, and have certain price reporting obligations to, the Medicaid Drug Rebate program, several state Medicaid supplemental rebate programs, and other governmental pricing programs. We also have obligations to report the average sales price for certain of our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0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Medicaid is a joint federal and state program that is administered by the states for low 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 price increases more than inflation (measured by reference to the Consumer Price Index - Urban). 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(PPACA) made significant changes to the Medicaid Drug Rebate program, and CMS issued a final regulation, which became effective on April 1, 2016, to implement the changes to the Medicaid Drug Rebate program under the PPACA.</w:t>
      </w:r>
    </w:p>
    <w:p>
      <w:pPr>
        <w:spacing w:after="0" w:line="232"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is used by CMS to calculate Medicare payment rates.</w:t>
      </w:r>
    </w:p>
    <w:p>
      <w:pPr>
        <w:spacing w:after="0" w:line="21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(340B program) in order for federal funds to be available for the manufacturer's drugs under Medicaid and Medicare Part B. The 340B program, which is administered by the Health Resources and Services Administration, or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Any charge by HRSA that we have violated the requirements of the regulation could result in civil monetary penalties. HRSA also has announced that it will begin to implement a ceiling price reporting requirement related to the 340B program during the first quarter of 2019.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an additional discount. The additional discount applies if the current year Q3 non-FAMP is greater than the prior year Q3 non-FAMP by more than the allowable inflation rate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0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Medicare Part D provides coverage to enrolled Medicare patients for self-administered drugs (</w:t>
      </w:r>
      <w:r>
        <w:rPr>
          <w:rFonts w:ascii="Arial" w:cs="Arial" w:eastAsia="Arial" w:hAnsi="Arial"/>
          <w:sz w:val="16"/>
          <w:szCs w:val="16"/>
          <w:i w:val="1"/>
          <w:iCs w:val="1"/>
          <w:color w:val="auto"/>
        </w:rPr>
        <w:t>i.e.</w:t>
      </w:r>
      <w:r>
        <w:rPr>
          <w:rFonts w:ascii="Arial" w:cs="Arial" w:eastAsia="Arial" w:hAnsi="Arial"/>
          <w:sz w:val="16"/>
          <w:szCs w:val="16"/>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for 2019, manufacturers, including us, are required to provide to CMS a 70% discount on brand name prescription drugs utilized by Medicare Part D beneficiaries when those beneficiaries are in the coverage gap phase of the Part D benefit design.</w:t>
      </w:r>
    </w:p>
    <w:p>
      <w:pPr>
        <w:spacing w:after="0" w:line="21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As a consequence, these payers may not cover or adequately reimburse for use of our products or may do so at levels that disadvantage them relative to competitive products.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8"/>
          <w:szCs w:val="18"/>
          <w:i w:val="1"/>
          <w:iCs w:val="1"/>
          <w:color w:val="auto"/>
        </w:rPr>
        <w:t>i.e.</w:t>
      </w:r>
      <w:r>
        <w:rPr>
          <w:rFonts w:ascii="Arial" w:cs="Arial" w:eastAsia="Arial" w:hAnsi="Arial"/>
          <w:sz w:val="18"/>
          <w:szCs w:val="18"/>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Regulatory Requirements</w:t>
      </w:r>
    </w:p>
    <w:p>
      <w:pPr>
        <w:spacing w:after="0" w:line="27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to the federal government, or knowingly making, or causing to be made, a false statement to get a false claim paid. See Part I, Item 1A. "Risk Factors - Regulatory and Litigation Risks - </w:t>
      </w:r>
      <w:r>
        <w:rPr>
          <w:rFonts w:ascii="Arial" w:cs="Arial" w:eastAsia="Arial" w:hAnsi="Arial"/>
          <w:sz w:val="16"/>
          <w:szCs w:val="16"/>
          <w:i w:val="1"/>
          <w:iCs w:val="1"/>
          <w:color w:val="auto"/>
        </w:rPr>
        <w:t>If we market</w:t>
      </w:r>
      <w:r>
        <w:rPr>
          <w:rFonts w:ascii="Arial" w:cs="Arial" w:eastAsia="Arial" w:hAnsi="Arial"/>
          <w:sz w:val="16"/>
          <w:szCs w:val="16"/>
          <w:color w:val="auto"/>
        </w:rPr>
        <w:t xml:space="preserve"> </w:t>
      </w:r>
      <w:r>
        <w:rPr>
          <w:rFonts w:ascii="Arial" w:cs="Arial" w:eastAsia="Arial" w:hAnsi="Arial"/>
          <w:sz w:val="16"/>
          <w:szCs w:val="16"/>
          <w:i w:val="1"/>
          <w:iCs w:val="1"/>
          <w:color w:val="auto"/>
        </w:rPr>
        <w:t>and sell approved products in a way that violates federal or state healthcare laws, we may be subject to civil or criminal penalties</w:t>
      </w:r>
      <w:r>
        <w:rPr>
          <w:rFonts w:ascii="Arial" w:cs="Arial" w:eastAsia="Arial" w:hAnsi="Arial"/>
          <w:sz w:val="16"/>
          <w:szCs w:val="16"/>
          <w:color w:val="auto"/>
        </w:rPr>
        <w:t>."</w:t>
      </w:r>
    </w:p>
    <w:p>
      <w:pPr>
        <w:spacing w:after="0" w:line="21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We are subject to the Foreign Corrupt Practices Act, or FCPA, and similar anti-bribery or anti-corruption laws, regulations or rules of other countries in which we operate, including the U.K. Bribery Act. See Part I, Item 1A. "Risk Factors - Regulatory and Litigation Risks - </w:t>
      </w:r>
      <w:r>
        <w:rPr>
          <w:rFonts w:ascii="Arial" w:cs="Arial" w:eastAsia="Arial" w:hAnsi="Arial"/>
          <w:sz w:val="18"/>
          <w:szCs w:val="18"/>
          <w:i w:val="1"/>
          <w:iCs w:val="1"/>
          <w:color w:val="auto"/>
        </w:rPr>
        <w:t>Risks from the improper conduct of</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 agents, contractors, or collaborators could adversely affect our reputation and our business, prospects, operating results, and financial condition</w:t>
      </w:r>
      <w:r>
        <w:rPr>
          <w:rFonts w:ascii="Arial" w:cs="Arial" w:eastAsia="Arial" w:hAnsi="Arial"/>
          <w:sz w:val="18"/>
          <w:szCs w:val="18"/>
          <w:color w:val="auto"/>
        </w:rPr>
        <w:t>."</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Numerous federal and state laws, including state security breach notification laws, state health information privacy laws, and federal and state consumer protection laws, govern the collection, use, and disclosure of personal information. In addition, most health care providers, including research institutions from which we or our collaborators obtain patient health information, 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subject to privacy and security regulations promulgated under the Health Insurance Portability and Accountability Act of 1996, or HIPAA, as amended by the Health Information Technology for Economic and Clinical Health Act.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 Outside the United States, our clinical trial programs and research collaborations may implicate international data protection laws, including the General Data Protection Regulation (GDPR) in the EU. The GDPR became effective on May 25, 2018, increasing our responsibility and liability in relation to the processing of personal data of EU subjects. The GDPR, together with the national legislation of the EU member states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 security breach notifications, security and confidentiality of the personal data and imposition of substantial potential fines for breaches of the data protection obligations. Data protection authorities from the different EU member states may interpret the GDPR and national laws differently and impose additional requirements, which add to the complexity of processing personal data in the EU. Guidance on implementation and compliance practices are often updated or otherwise revised. See Part I, Item 1A. "Risk Factors - Regulatory and Litigation Risks - </w:t>
      </w:r>
      <w:r>
        <w:rPr>
          <w:rFonts w:ascii="Arial" w:cs="Arial" w:eastAsia="Arial" w:hAnsi="Arial"/>
          <w:sz w:val="17"/>
          <w:szCs w:val="17"/>
          <w:i w:val="1"/>
          <w:iCs w:val="1"/>
          <w:color w:val="auto"/>
        </w:rPr>
        <w:t>We face potential liability</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the privacy of health information we obtain from clinical trials sponsored by us or our collaborators, from research institutions and our collaborators, and directly from individuals</w:t>
      </w:r>
      <w:r>
        <w:rPr>
          <w:rFonts w:ascii="Arial" w:cs="Arial" w:eastAsia="Arial" w:hAnsi="Arial"/>
          <w:sz w:val="17"/>
          <w:szCs w:val="17"/>
          <w:color w:val="auto"/>
        </w:rPr>
        <w:t>."</w:t>
      </w:r>
    </w:p>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foregoing, our present business is, and our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medicines for the treatment of serious medical conditions. For financial information related to our one segment, see Part II, Item 6. "Selected Financial Data" and our Consolidated Financial Statements and related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2018, we had approximately 7,400 full-time employees. We believe that we have been successful in attracting skilled and experienced personnel in a highly competitive environment; however, competition for these personnel is intense. Our management considers its relations with our employees to be good.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Marketed Products, Product Candidates, and New Indications for Our Marketed Products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substantially dependent on the success of EYLEA.</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2018 and 2017, EYLEA net sales in the United States represented 61% and 63%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that the continued commercial success of our marketed products (in particular, EYLEA, Dupixent, Praluent, Kevzara, and Libtayo) will depend on many factors, including the following (as applicable):</w:t>
      </w:r>
    </w:p>
    <w:p>
      <w:pPr>
        <w:spacing w:after="0" w:line="8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our products, including pricing strategy;</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payer restrictions on eligible patient populations and the reimbursement process, both in the United States and abroad;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willingness of retinal specialists and patients to switch from Lucentis or off-label use of repackaged Avastin to EYLEA or to start treatment with EYLEA;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EYLEA, Dupixent, and Praluent (described further in Note 17 to our Consolidated Financial Statements included in this report), and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ind w:left="660" w:right="20" w:hanging="328"/>
        <w:spacing w:after="0" w:line="32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prescribing practices.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22"/>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2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 xml:space="preserve">We and our collaborators are subject to significant ongoing regulatory obligations and oversight with respect to the products we or they commercialize (such as EYLEA, Dupixent, Praluent, Kevzara, and Libtayo)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Our or our collaborators' failure to meet the stringent requirements of governmental regulation in the manufacture of drug</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marketed products could materially harm our business, prospects, operating results, and financial condition.</w:t>
      </w:r>
    </w:p>
    <w:p>
      <w:pPr>
        <w:spacing w:after="0" w:line="2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 xml:space="preserve">Serious complications or serious, unexpected side effects in connection with the use of our marketed products (such as EYLEA, Dupixent, Praluent, Kevzara, and Libtayo)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4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of our marketed products (such as EYLEA, Dupixent, Praluent, Kevzara, and Libtayo)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marketed products, we must, among other things, maintain our FDA registration and our National Drug Code, maintain formulary approval by pharmacy benefits managers, and maintain recognition by insurance companies and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98"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Further, there have been several recent U.S.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 At the federal level, the current administration's budget proposal for fiscal year 2019 contains drug price control measures that could be enacted during the 2019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in August 2018, CMS issued new guidance that recognizes that Medicare Advantage (MA) plans may use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for Part B drugs (such as EYLEA), beginning January 1, 2019, as part of a patient-centered care coordination program. CMS will also consider rulemaking related to step therapy that might be appropriate for 2020 and future years. On October 25, 2018, President Trump announced that CMS was evaluating a pilot program that proposes to set the Medicare payment amount for Part B single-source drugs and biologics to more closely align with international drug prices (also referred to as reference pricing) and pay physicians and hospitals participating in such program a set drug add-on payment for administered drugs. CMS also issued an advance notice of proposed rulemaking that requested public comment on the pilot program, which is proposed to initially cover fifty percent of Medicare Part B spending on separately payable Part B drugs (such as EYLEA). Congress and the U.S. administration have each indicated that they will continue to seek new legislative and/or administrative measures to control drug costs.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31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strong competition.</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There is significant actual and potential future competition for each of our marketed products.</w:t>
      </w:r>
    </w:p>
    <w:p>
      <w:pPr>
        <w:spacing w:after="0" w:line="242"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i w:val="1"/>
          <w:iCs w:val="1"/>
          <w:color w:val="auto"/>
        </w:rPr>
        <w:t>EYLEA</w:t>
      </w:r>
      <w:r>
        <w:rPr>
          <w:rFonts w:ascii="Arial" w:cs="Arial" w:eastAsia="Arial" w:hAnsi="Arial"/>
          <w:sz w:val="18"/>
          <w:szCs w:val="18"/>
          <w:color w:val="auto"/>
        </w:rPr>
        <w:t>. The market for eye disease products is very competitive. For example, Novartis and Genentech/Roche are collaborating on the commercialization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further development of a VEGF antibody fragment, Lucentis, for the treatment of various eye indications. Lucentis is approved in one or more jurisdictions for the treatment of wet AMD, macular edema following RVO (including CRVO and BRVO), DME, diabetic retinopathy, and mCNV. In addition, we are aware of several companies developing biosimilar versions of EYLEA. For example, Momenta Pharmaceuticals (in partnership with Mylan) is developing M710 (currently in a pivotal trial in patients with DME). Competitors are also exploring the development of a biosimilar version of Lucentis; in particular, Formycon (in collaboration with Bioeq) is developing FYB201 (a Phase 3 trial in patients with wet AMD has been completed), Samsung Bioepis is developing SB11 (currently in a Phase 3 trial in patients with wet AMD), and Pfenex is developing PF582 (a Phase 1b/2a trial in patients with wet AMD has been completed).</w:t>
      </w:r>
    </w:p>
    <w:p>
      <w:pPr>
        <w:spacing w:after="0" w:line="260" w:lineRule="exact"/>
        <w:rPr>
          <w:sz w:val="20"/>
          <w:szCs w:val="20"/>
          <w:color w:val="auto"/>
        </w:rPr>
      </w:pPr>
    </w:p>
    <w:p>
      <w:pPr>
        <w:jc w:val="both"/>
        <w:ind w:firstLine="230"/>
        <w:spacing w:after="0" w:line="283" w:lineRule="auto"/>
        <w:rPr>
          <w:sz w:val="20"/>
          <w:szCs w:val="20"/>
          <w:color w:val="auto"/>
        </w:rPr>
      </w:pPr>
      <w:r>
        <w:rPr>
          <w:rFonts w:ascii="Arial" w:cs="Arial" w:eastAsia="Arial" w:hAnsi="Arial"/>
          <w:sz w:val="17"/>
          <w:szCs w:val="17"/>
          <w:color w:val="auto"/>
        </w:rPr>
        <w:t>Other competitive or potentially competitive products include Allergan's Ozurdex (approved by the FDA for the treatment of macular edema following RVO and for the treatment of DME) and Alimera Sciences' Iluvien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Novartis is developing RTH258 (brolucizumab), a humanized monoclonal single-chain FV (scFv) antibody fragment targeting VEGF-A for wet AMD and DME. Novartis announced in June 2017 that two Phase 3 studies of RTH258 met their primary endpoint of non-inferiority to EYLEA and has indicated that it is targeting approval by global regulatory authorities in 2019. Allergan is developing abicipar pegol for wet AMD and related conditions and announced in July 2018 that two Phase 3 studies of abicipar pegol met their primary endpoint of non-inferiority to Lucentis. Chengdu Kanghong Pharmaceutical Industry Group is conducting non-inferiority Phase 3 trials in the United States and Europe comparing conbercept, an anti-VEGF fusion protein, against EYLEA in wet AMD. Conbercept is approved in the wet AMD and myopic choroidal neovascularization indications in China. Genentech/Roche is developing a port delivery system implant for ranibizumab (currently in a Phase 3 study in patients with wet AMD). Kodiak Sciences is developing KSI-301, an anti-VEGF biologic therapy that is conjugated to a phosphorylcholine-based biopolymer to extend its half-life, for wet AMD, DME, and RVO. A Phase 1 study of KSI-301 in patients with DME met its primary safety and tolerability endpoint, and Kodiak has initiated a Phase 1b open label study in patients with wet AMD, DME, and RVO. In addition, companies are developing products (or combinations of products) to treat wet AMD that act by blocking VEGF and VEGF receptors, as well as other targets (for example, Ang2). Genentech/Roche is developing a bi-specific antibody, faricimab (RG7716), that targets both VEGF and Ang2 for wet AMD and DME (currently in Phase 3 non-inferiority studies comparing RG7716 against EYLEA in DME). Products that are being developed for use in combination with EYLEA and/or Lucentis may also pose a competitive threat. Opthea is developing OPT-302, a VEGFR-3 large molecule trap in combination with Lucentis in a Phase 2 trial for wet AMD. Santen (in partnership with TRACON ) is developing DE-122, an anti-endoglin antibody in combination with Lucentis in a Phase 2 trial for wet AMD. Small-molecule tyrosine kinase inhibitors that have activity against VEGF may also compete against EYLEA, if approved for wet AMD and/or related conditions. Graybug is developing GB-102, an intravitreally administered depot formulation of the small molecule tyrosine kinase inhibitor, sunitinib, in a Phase 1/2 trial for wet AMD. PanOptica is developing PAN-90806, a topically administered tyrosine kinase inhibitor currently in a Phase 1/2 trial for wet AMD. Competitors are also developing other eye-drop formulations, devices, oral therapies, and gene/cell therapies (such as REGENXBIO's RGX-314) for various indications that, if approved, would compete with EYLEA in one or more of its currently approved indications.</w:t>
      </w:r>
    </w:p>
    <w:p>
      <w:pPr>
        <w:spacing w:after="0" w:line="23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for EYLEA in these indications. Avastin is also being evaluated in eye diseases in clinical trials in certain countries. Amgen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41"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i w:val="1"/>
          <w:iCs w:val="1"/>
          <w:color w:val="auto"/>
        </w:rPr>
        <w:t>Dupixent</w:t>
      </w:r>
      <w:r>
        <w:rPr>
          <w:rFonts w:ascii="Arial" w:cs="Arial" w:eastAsia="Arial" w:hAnsi="Arial"/>
          <w:sz w:val="17"/>
          <w:szCs w:val="17"/>
          <w:color w:val="auto"/>
        </w:rPr>
        <w:t>. The market for Dupixent's current and potential future indications is competitive. In atopic dermatitis, Pfizer's Eucrisa, a topical 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competes with Dupixent and there are several other topical agents in development. In addition, a number of companies are developing antibodies against IL-13 for the treatment of atopic dermatitis, including LEO Pharma (in collaboration with AstraZeneca) with tralokinumab (currently in several Phase 3 trials) and Dermira (in collaboration with Genentech/Roche) with lebrikizumab (currently in a Phase 2b trial). Antibodies targeting OX40 are also in development for atopic dermatitis, with Glenmark Pharmaceuticals and Kyowa Hakko Kirin Co. conducting Phase 2 trials of their respective programs (GBR-830 and KHK4083). Galderma has completed a Phase 2b trial of nemolizumab, an antibody against IL-31R. XBiotech has completed a Phase 2 trial of bermekimab, an anti-IL-1alpha antibody. Novartis, in partnership with MorphoSys, has a Phase 2 trial in atopic dermatitis underway for MOR-106, an anti-IL-17C antibody. Kiniksa Pharmaceuticals has completed Phase 1 trials in atopic dermatitis for KPL-716, an antibody against the oncostatin M receptor beta. Orally administered small molecules are also being developed for atopic dermatitis, and, if approved, may compete with Dupixent in atopic dermatitis and other potential future indications. Several companies are studying JAK inhibitors for atopic dermatitis, including AbbVie's upadacitinib, Pfizer's abrocitinib (PF-04965842), Eli Lilly's baricitinib (recently reported to have met the primary endpoints of two atopic dermatitis Phase 3 studies), and Asana BioSciences' ASN002.</w:t>
      </w:r>
    </w:p>
    <w:p>
      <w:pPr>
        <w:spacing w:after="0" w:line="23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In asthma and potential future indications, competitors to Dupixent include antibodies against the IL-5 ligand or the IL-5 receptor such as GSK's Nucala, AstraZeneca's Fasenra, and Teva's Cinqair, all of which are approved for asthma in the United States and other jurisdictions. Novartis and Genentech/Roche's Xolair is also approved for asthma in multiple jurisdictions. Orally administered small molecule agents may also compete with Dupixent in asthma and potential future indications. For example, Novartis is developing fevipiprant, an oral prostaglandin D2 receptor 2 (CRTh2/DP2) antagonist, in multiple Phase 3 trials for asthma. Inhaled products may also compete with Dupixent in asthma and potential future indications, including Pieris Pharmaceuticals' PRS-060 (an anticalin being developed in partnership with AstraZeneca against IL-4R) and Novartis' CSJ117 (an antibody fragment against thymic stromal lymphopoietin).</w:t>
      </w:r>
    </w:p>
    <w:p>
      <w:pPr>
        <w:spacing w:after="0" w:line="243"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There are several other potentially competitive products in development that may compete with Dupixent in both the atopic dermatitis and asthma indications, as well as potential future indications. For example, Amgen/AstraZeneca's tezepelumab, an antibody against thymic stromal lymphopoietin, or TSLP, is currently in Phase 3 development for asthma and Phase 2 trials in atopic dermatitis have been completed. Antibodies against the IL-33 ligand or the IL-33 receptor (ST2) may also be competitive with Dupixent across multiple indications. Phase 2 trials are ongoing in atopic dermatitis and asthma for etiokimab (ANB-020), an antibody against IL-33 developed by AnaptysBio. Genentech/Roche is developing RG6149, an anti-ST2 antibody, in Phase 2 trials for asthma and atopic dermatitis. GSK is developing GSK3772847, an anti-ST2 antibody, in a Phase 2 trial for asthma, and completed a Phase 1 trial that included atopic dermatitis patients.</w:t>
      </w:r>
    </w:p>
    <w:p>
      <w:pPr>
        <w:spacing w:after="0" w:line="243" w:lineRule="exact"/>
        <w:rPr>
          <w:sz w:val="20"/>
          <w:szCs w:val="20"/>
          <w:color w:val="auto"/>
        </w:rPr>
      </w:pPr>
    </w:p>
    <w:p>
      <w:pPr>
        <w:jc w:val="both"/>
        <w:ind w:firstLine="216"/>
        <w:spacing w:after="0" w:line="291" w:lineRule="auto"/>
        <w:rPr>
          <w:sz w:val="20"/>
          <w:szCs w:val="20"/>
          <w:color w:val="auto"/>
        </w:rPr>
      </w:pPr>
      <w:r>
        <w:rPr>
          <w:rFonts w:ascii="Arial" w:cs="Arial" w:eastAsia="Arial" w:hAnsi="Arial"/>
          <w:sz w:val="16"/>
          <w:szCs w:val="16"/>
          <w:i w:val="1"/>
          <w:iCs w:val="1"/>
          <w:color w:val="auto"/>
        </w:rPr>
        <w:t>Praluent</w:t>
      </w:r>
      <w:r>
        <w:rPr>
          <w:rFonts w:ascii="Arial" w:cs="Arial" w:eastAsia="Arial" w:hAnsi="Arial"/>
          <w:sz w:val="16"/>
          <w:szCs w:val="16"/>
          <w:color w:val="auto"/>
        </w:rPr>
        <w:t>. Amgen's Repatha has already received regulatory approvals in jurisdictions including the U.S., the EU, and Japan, and has captured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share in certain jurisdictions. Amgen may obtain marketing approval for Repatha in one or more additional countries before Praluent is approved in those countries. Repatha has also received regulatory approval for cardiovascular risk reduction.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(currently in Phase 3 clinical development).</w:t>
      </w:r>
    </w:p>
    <w:p>
      <w:pPr>
        <w:spacing w:after="0" w:line="22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Kevzara</w:t>
      </w:r>
      <w:r>
        <w:rPr>
          <w:rFonts w:ascii="Arial" w:cs="Arial" w:eastAsia="Arial" w:hAnsi="Arial"/>
          <w:sz w:val="18"/>
          <w:szCs w:val="18"/>
          <w:color w:val="auto"/>
        </w:rPr>
        <w:t>. Genentech/Roche and Chugai are marketing an antibody against IL-6R (Actemra) for the treatment of rheumatoid arthritis that competes with</w:t>
      </w:r>
      <w:r>
        <w:rPr>
          <w:rFonts w:ascii="Arial" w:cs="Arial" w:eastAsia="Arial" w:hAnsi="Arial"/>
          <w:sz w:val="18"/>
          <w:szCs w:val="18"/>
          <w:i w:val="1"/>
          <w:iCs w:val="1"/>
          <w:color w:val="auto"/>
        </w:rPr>
        <w:t xml:space="preserve"> </w:t>
      </w:r>
      <w:r>
        <w:rPr>
          <w:rFonts w:ascii="Arial" w:cs="Arial" w:eastAsia="Arial" w:hAnsi="Arial"/>
          <w:sz w:val="18"/>
          <w:szCs w:val="18"/>
          <w:color w:val="auto"/>
        </w:rPr>
        <w:t>Kevzara. In addition, several other companies, including R-Pharm JSC and BIOCAD, have antibodies against IL-6 or IL-6R in clinical development for rheumatoid arthritis. Biosimilar versions of Actemra may also compete with Kevzara, such as Mycenax's LuciNex (a Phase 1 trial has been completed). Further, oral, small-molecule JAK inhibitors such as Pfizer's Xeljanz, Eli Lilly's Olumiant, Gilead Sciences' filgotinib, Astellas Pharma's peficitinib, and AbbVie's upadacitinib may pose a competitive threat for Kevzara.</w:t>
      </w:r>
    </w:p>
    <w:p>
      <w:pPr>
        <w:spacing w:after="0" w:line="24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Libtayo</w:t>
      </w:r>
      <w:r>
        <w:rPr>
          <w:rFonts w:ascii="Arial" w:cs="Arial" w:eastAsia="Arial" w:hAnsi="Arial"/>
          <w:sz w:val="18"/>
          <w:szCs w:val="18"/>
          <w:color w:val="auto"/>
        </w:rPr>
        <w:t>. There are several competitors that are marketing or developing antibodies against PD-1 and/or PDL-1, including Bristol-Myers Squibb's Opdivo,</w:t>
      </w:r>
      <w:r>
        <w:rPr>
          <w:rFonts w:ascii="Arial" w:cs="Arial" w:eastAsia="Arial" w:hAnsi="Arial"/>
          <w:sz w:val="18"/>
          <w:szCs w:val="18"/>
          <w:i w:val="1"/>
          <w:iCs w:val="1"/>
          <w:color w:val="auto"/>
        </w:rPr>
        <w:t xml:space="preserve"> </w:t>
      </w:r>
      <w:r>
        <w:rPr>
          <w:rFonts w:ascii="Arial" w:cs="Arial" w:eastAsia="Arial" w:hAnsi="Arial"/>
          <w:sz w:val="18"/>
          <w:szCs w:val="18"/>
          <w:color w:val="auto"/>
        </w:rPr>
        <w:t>Merck's Keytruda, Roche's Tecentriq, AstraZeneca's Imfinzi, Pfizer's Bavencio, Novartis' spartalizumab (PDR001), Celgene/BeiGene's tislelizumab (BGB-A317), GSK's dostarlimab (TSR-042), Agenus' AGEN2034, and Incyte's INCMGA0012.</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also Part I. Item 1. "Business - Competition" of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Our other late-stage and earlier-stage clinical candidates in development are all fully human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Competitors to evinacumab include Ionis Pharmaceuticals/Akcea Therapeutics' AKCEA-ANGPTL3-LRx, a ligand conjugated antisense drug against ANGPTL3, and Arrowhead Pharmaceuticals' ARO-ANG3, an RNAi therapeutic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also Part I. Item 1. "Business - Competition" of this report.</w:t>
      </w:r>
    </w:p>
    <w:p>
      <w:pPr>
        <w:spacing w:after="0" w:line="27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rely on our collaborations with Bayer and Sanofi for commercializing EYLEA and Dupixent, Praluent, Kevzara, and Libtayo, respectively.</w:t>
      </w:r>
    </w:p>
    <w:p>
      <w:pPr>
        <w:spacing w:after="0" w:line="30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w:t>
      </w:r>
    </w:p>
    <w:p>
      <w:pPr>
        <w:spacing w:after="0" w:line="22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addition, while we have elected to co-promote Dupixent, Praluent, and Kevzara with Sanofi in the United States in accordance with the terms of our Antibody Collaboration, we continue to rely in part on Sanofi's sales and marketing organization in the United States for such products. Moreover, even though we lead commercialization efforts for Libtayo in the United States, Sanofi has exercised its option to co-promote Libtayo in the United States in accordance with the terms of our IO Collaboration. If we and Sanofi fail to coordinate our United States sales and marketing efforts effectively, sales of Dupixent, Praluent, Kevzara, or Libtayo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8"/>
          <w:szCs w:val="18"/>
          <w:i w:val="1"/>
          <w:iCs w:val="1"/>
          <w:color w:val="auto"/>
        </w:rPr>
        <w:t>e.g.</w:t>
      </w:r>
      <w:r>
        <w:rPr>
          <w:rFonts w:ascii="Arial" w:cs="Arial" w:eastAsia="Arial" w:hAnsi="Arial"/>
          <w:sz w:val="18"/>
          <w:szCs w:val="18"/>
          <w:color w:val="auto"/>
        </w:rPr>
        <w:t>,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Kevzara, and (in the future) Libtayo in countries outside the United States.</w:t>
      </w:r>
    </w:p>
    <w:p>
      <w:pPr>
        <w:spacing w:after="0" w:line="24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6"/>
          <w:szCs w:val="16"/>
          <w:i w:val="1"/>
          <w:iCs w:val="1"/>
          <w:color w:val="auto"/>
        </w:rPr>
        <w:t>If our collaboration with Bayer for EYLEA is terminated, or Bayer materially breaches its</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6"/>
          <w:szCs w:val="16"/>
          <w:color w:val="auto"/>
        </w:rPr>
        <w:t>" below and "Risks Related to Our Reliance on Third Parties -</w:t>
      </w:r>
      <w:r>
        <w:rPr>
          <w:rFonts w:ascii="Arial" w:cs="Arial" w:eastAsia="Arial" w:hAnsi="Arial"/>
          <w:sz w:val="16"/>
          <w:szCs w:val="16"/>
          <w:i w:val="1"/>
          <w:iCs w:val="1"/>
          <w:color w:val="auto"/>
        </w:rPr>
        <w:t xml:space="preserve"> If our Antibody Collaboration or our IO Collaboration with Sanofi is terminated, our business, prospects, operating results, and financial condition, and our ability to develop, manufacture, and commercialize our pipeline of product candidates in the time expected, or at all, would be materially harmed</w:t>
      </w:r>
      <w:r>
        <w:rPr>
          <w:rFonts w:ascii="Arial" w:cs="Arial" w:eastAsia="Arial" w:hAnsi="Arial"/>
          <w:sz w:val="16"/>
          <w:szCs w:val="16"/>
          <w:color w:val="auto"/>
        </w:rPr>
        <w:t>" below.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35"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sell EYLEA and Libtayo in the United States to several distributors and specialty pharmacies. Under this distribution model, the distributors and specialty pharmacies generally take physical delivery of product and generally sell the product directly to healthcare providers. For the year ended December 31, 2018, product sales to two customers accounted on a combined basis for 92% of our total gross product revenue. We expect this significant customer concentration to continue for the foreseeable future. Our ability to generate and grow sales of EYLEA and Libtayo will depend, in part, on the extent to which our distributors and specialty pharmacies are able to provide adequate distribution of EYLEA and Libtayo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will be materially harmed.</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noncompliance with the requirements and regulations described in this paragraph.</w:t>
      </w:r>
    </w:p>
    <w:p>
      <w:pPr>
        <w:spacing w:after="0" w:line="242"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7"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2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3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With respect to EYLEA,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Dupixent is being studied in additional indications, including atopic dermatitis in pediatric patients, CRSwNP, and eosinophilic esophagitis. There is no guarantee that marketing approval of Dupixent in any of these indications will be successfully obtained. The side effects previously reported for Dupixent include hypersensitivity reactions, conjunctivitis and keratitis, injection-site reactions, eye and eyelid inflammation, and cold sores. These and other complications or side effects could harm further development and/or commercialization of Dupixent.</w:t>
      </w:r>
    </w:p>
    <w:p>
      <w:pPr>
        <w:spacing w:after="0" w:line="241"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Libtayo is also being studied in additional indications, as shown in the table under Part I, Item 1. "Business - Programs in Clinical Development." There is no guarantee that marketing approval of Libtayo in any of these indications will be successfully obtained.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(EPO) (currently pending before its Boards of Appeal), as described in Note 17 to our Consolidated Financial Statements included in this report. We have pending patent applications in the United States Patent and Trademark Office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under the America Invents Act of 2011 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7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233"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17 to our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17 to our Consolidated Financial Statements.</w:t>
      </w:r>
    </w:p>
    <w:p>
      <w:pPr>
        <w:spacing w:after="0" w:line="22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Kevzara (sarilumab), and Libtayo (cemiplimab), our late-stage antibody-based pipeline includes fasinumab, an antibody to NGF, and evinacumab, an antibody to ANGPTL3.</w:t>
      </w:r>
    </w:p>
    <w:p>
      <w:pPr>
        <w:spacing w:after="0" w:line="22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infringes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as discussed further under Part I, Item 1. "Business - Marketed Products - Additional Information on 2018 Developments."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2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19"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Kevzara, and Libtayo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Kevzara, and Libtayo, and (b) our antibody-based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antibody-based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own an approximately 445,000-square-foot facility in Limerick, Ireland, which we purchased and subsequently renovated to expand our manufacturing capacity and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Kevzara, and Libtayo,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24"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and Limerick, Ireland facilities and at additional facilities (if any)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apply on a temporary or permanent basis, which could materially harm our business, prospects, operating results, and financial condition.</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Kevzara, or Libtayo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have large-scale manufacturing operations in Rensselaer, New York and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6"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4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3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or our collaborators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20"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3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w:t>
      </w:r>
    </w:p>
    <w:p>
      <w:pPr>
        <w:spacing w:after="0" w:line="2" w:lineRule="exact"/>
        <w:rPr>
          <w:sz w:val="20"/>
          <w:szCs w:val="20"/>
          <w:color w:val="auto"/>
        </w:rPr>
      </w:pPr>
    </w:p>
    <w:p>
      <w:pPr>
        <w:jc w:val="both"/>
        <w:ind w:firstLine="8"/>
        <w:spacing w:after="0" w:line="252" w:lineRule="auto"/>
        <w:tabs>
          <w:tab w:leader="none" w:pos="10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r>
        <w:rPr>
          <w:rFonts w:ascii="Arial" w:cs="Arial" w:eastAsia="Arial" w:hAnsi="Arial"/>
          <w:sz w:val="18"/>
          <w:szCs w:val="18"/>
          <w:color w:val="auto"/>
        </w:rPr>
        <w:t>"). While it is not possible to predict whether and when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For example, in a referendum held in the United Kingdom, voters have approved an exit from the EU, commonly referred to as "Brexit." As a result of the referendum, the British government has been negotiating the terms of the United Kingdom's future relationship with the EU. We do not know to what extent Brexit will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On December 22, 2017, President Trump signed into law H.R.1., "An Act to provide for reconciliation pursuant to titles II and V of the concurrent resolution on the budget for fiscal year 2018" (also known as the "Tax Cuts and Jobs Act") (the Act). Most of the provisions of the Act went into effect on January 1, 2018. The Act includes a number of provisions that have impacted and are expected to continue to impact our operating results, cash flows, and financial condition, including reducing the U.S. federal corporate tax rate from 35% to 21%, changing the taxation of foreign earnings (including taxation of certain global intangible low-taxed income), allowing for a foreign-derived intangible income deduction and immediate expensing of qualified assets, repealing the deduction for domestic manufacturing, and imposing further limitations on the deductibility of executive compensation.</w:t>
      </w:r>
    </w:p>
    <w:p>
      <w:pPr>
        <w:spacing w:after="0" w:line="23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1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General Data Protection Regulation (GDPR) that recently replaced the EU Data Protection Directive and is being enforced in the European Union.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3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If we or any collaborators fail to comply with applicable federal, state, or local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Dupixent, Praluent, Kevzara, and REGN3500, which we are co-developing with Sanofi under our Antibody Collaboration,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result of the amendment and restatement of our IO Discovery and Development Agreement with Sanofi (which forms part of our IO Collaboration), we will fund and conduct on our own all research, development, manufacturing, and commercialization activities to support all of our immuno-oncology product candidates other than REGN4018 and REGN5458, unless we enter into arrangements with other parties. In addition, if Sanofi does not elect to co-develop REGN4018 or REGN5458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212"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If Sanofi elects to co-develop REGN5458 and/or REGN4018 under our IO Collaboration, Sanofi will initially fund almost all of the development expenses incurred in connection with the development of REGN5458, for which Sanofi will be the principal controlling party, and half of the development expenses incurred in connection with the clinical development of REGN4018, for which we will be the principal controlling party. Under our IO Collaboration, Sanofi also funds half of the development expenses incurred in connection with the clinical development of Libtayo, subject to an agreed-upon development budget. In addition, for REGN5458, we will rely on Sanofi to lead much of the clinical development efforts and assist with obtaining and maintaining regulatory approval. Following regulatory approval, we will rely on Sanofi to lead (i) the commercialization efforts in the United States for REGN5458 and (ii) the commercialization efforts outside the United States to support Libtayo, REGN4018, and REGN5458.</w:t>
      </w:r>
    </w:p>
    <w:p>
      <w:pPr>
        <w:spacing w:after="0" w:line="232"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or our IO Collaboration, such as Libtayo (see also "Risks Related to Commercialization of Products - </w:t>
      </w:r>
      <w:r>
        <w:rPr>
          <w:rFonts w:ascii="Arial" w:cs="Arial" w:eastAsia="Arial" w:hAnsi="Arial"/>
          <w:sz w:val="17"/>
          <w:szCs w:val="17"/>
          <w:i w:val="1"/>
          <w:iCs w:val="1"/>
          <w:color w:val="auto"/>
        </w:rPr>
        <w:t>If we need to establish commercial capabilities outside the United States and are unable to do so, our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prospects, operating results, and financial condition may be adversely affected</w:t>
      </w:r>
      <w:r>
        <w:rPr>
          <w:rFonts w:ascii="Arial" w:cs="Arial" w:eastAsia="Arial" w:hAnsi="Arial"/>
          <w:sz w:val="17"/>
          <w:szCs w:val="17"/>
          <w:color w:val="auto"/>
        </w:rPr>
        <w:t>" above). Termination of the Antibody Collaboration or the IO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would create substantial new and additional risks to the successful development and commercialization of (i) Dupixent, Praluent, and Kevzara and (ii) Libtayo, respectively, particularly outside the United States.</w:t>
      </w:r>
    </w:p>
    <w:p>
      <w:pPr>
        <w:spacing w:after="0" w:line="237"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78"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Products - </w:t>
      </w:r>
      <w:r>
        <w:rPr>
          <w:rFonts w:ascii="Arial" w:cs="Arial" w:eastAsia="Arial" w:hAnsi="Arial"/>
          <w:sz w:val="17"/>
          <w:szCs w:val="17"/>
          <w:i w:val="1"/>
          <w:iCs w:val="1"/>
          <w:color w:val="auto"/>
        </w:rPr>
        <w:t>If we need to establish</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capabilities outside the United States and are unable to do so, our business, prospects, operating results, and financial condition may be adversely affected</w:t>
      </w:r>
      <w:r>
        <w:rPr>
          <w:rFonts w:ascii="Arial" w:cs="Arial" w:eastAsia="Arial" w:hAnsi="Arial"/>
          <w:sz w:val="17"/>
          <w:szCs w:val="17"/>
          <w:color w:val="auto"/>
        </w:rPr>
        <w:t>" above). Termination of the Bayer collaboration agreement would create substantial new and additional risks to the successful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EYLEA outside the United States.</w:t>
      </w:r>
    </w:p>
    <w:p>
      <w:pPr>
        <w:spacing w:after="0" w:line="242"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As of December 31, 2018, we had $1,467.7 million in cash and cash equivalents and $3,097.2 million in marketable securities (including $88.0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right="42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(note, however, that we have agreed to grant a limited waiver of the requirement that Sanofi maintain the Highest Percentage Threshold (as defined below) as a condition to its director designation right during the term of the letter agreement with Sanofi described below under "</w:t>
      </w:r>
      <w:r>
        <w:rPr>
          <w:rFonts w:ascii="Arial" w:cs="Arial" w:eastAsia="Arial" w:hAnsi="Arial"/>
          <w:sz w:val="17"/>
          <w:szCs w:val="17"/>
          <w:i w:val="1"/>
          <w:iCs w:val="1"/>
          <w:color w:val="auto"/>
        </w:rPr>
        <w:t>Our existing shareholders may be able</w:t>
      </w:r>
      <w:r>
        <w:rPr>
          <w:rFonts w:ascii="Arial" w:cs="Arial" w:eastAsia="Arial" w:hAnsi="Arial"/>
          <w:sz w:val="17"/>
          <w:szCs w:val="17"/>
          <w:color w:val="auto"/>
        </w:rPr>
        <w:t xml:space="preserve"> </w:t>
      </w:r>
      <w:r>
        <w:rPr>
          <w:rFonts w:ascii="Arial" w:cs="Arial" w:eastAsia="Arial" w:hAnsi="Arial"/>
          <w:sz w:val="17"/>
          <w:szCs w:val="17"/>
          <w:i w:val="1"/>
          <w:iCs w:val="1"/>
          <w:color w:val="auto"/>
        </w:rPr>
        <w:t>to exert significant influence over matters requiring shareholder approval and over our management</w:t>
      </w:r>
      <w:r>
        <w:rPr>
          <w:rFonts w:ascii="Arial" w:cs="Arial" w:eastAsia="Arial" w:hAnsi="Arial"/>
          <w:sz w:val="17"/>
          <w:szCs w:val="17"/>
          <w:color w:val="auto"/>
        </w:rPr>
        <w:t>"). As a result, the public float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2018, our five largest shareholders plus Dr. Schleifer, our Chief Executive Officer, beneficially owned approximately 44.4% of our outstanding shares of Common Stock, assuming, in the case of our Chief Executive Officer, the conversion of his Class A Stock into Common Stock and the exercise of all options held by him which are exercisable within 60 days of December 31, 2018. As of December 31, 2018, Sanofi beneficially owned 23,654,384 shares of our Common Stock, representing approximately 22.1%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1,173,847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 significant influence over matters requiring 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and over our management</w:t>
      </w:r>
      <w:r>
        <w:rPr>
          <w:rFonts w:ascii="Arial" w:cs="Arial" w:eastAsia="Arial" w:hAnsi="Arial"/>
          <w:sz w:val="16"/>
          <w:szCs w:val="16"/>
          <w:color w:val="auto"/>
        </w:rPr>
        <w:t>" and which currently remain available to be sold in accordance with the letter agreement). These restrictions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dispositions are subject to earlier 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2018, holders of Class A Stock held 15.1%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2018:</w:t>
      </w:r>
    </w:p>
    <w:p>
      <w:pPr>
        <w:spacing w:after="0" w:line="97" w:lineRule="exact"/>
        <w:rPr>
          <w:sz w:val="20"/>
          <w:szCs w:val="20"/>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9.7% of our outstanding shares of Common Stock, assuming conversion of their Class A Stock into Common Stock and the exercise of all options held by such persons which are exercisable within 60 days of December 31, 2018, and 20.4% of the combined voting power of our outstanding shares of Common Stock and Class A Stock, assuming the exercise of all options held by such persons which are exercisable within 60 days of December 31, 2018;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44.4% of our outstanding shares of Common Stock, assuming, in the case of our Chief Executive Officer, the conversion of his Class A Stock into Common Stock and the exercise of all options held by him which are exercisable within 60 days of December 31, 2018. In addition, these five shareholders plus our Chief Executive Officer held approximately 50.5% of the combined voting power of our outstanding shares of Common Stock and Class A Stock, assuming the exercise of all options held by our Chief Executive Officer which are exercisable within 60 days of December 31, 2018.</w:t>
      </w:r>
    </w:p>
    <w:p>
      <w:pPr>
        <w:spacing w:after="0" w:line="9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98" w:lineRule="exact"/>
        <w:rPr>
          <w:sz w:val="20"/>
          <w:szCs w:val="20"/>
          <w:color w:val="auto"/>
        </w:rPr>
      </w:pPr>
    </w:p>
    <w:p>
      <w:pPr>
        <w:jc w:val="both"/>
        <w:ind w:firstLine="230"/>
        <w:spacing w:after="0" w:line="267"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584,613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589,234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2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A summary of our significant owned and leased properties is provided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At our Tarrytown, New York location, we lease approximately 1,467,000 square feet of laboratory and office space, of which approximately 1,180,000 square feet is occupied by Regeneron. Refer to Part II,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for further details. We also own an approximate 100-acre parcel of undeveloped land adjacent to our Tarrytown, New York location; we intend to develop this property to accommodate and support our growth, primarily in connection with expanding our existing research and development and office space.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Sleepy Hollow, New York</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own an office building in Sleepy Hollow, New York, consisting of approximately 383,000 square feet. This facility is being used as additional office space to support the growth of our existing Tarrytown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own facilities in Rensselaer, New York totaling approximately 565,000 square feet of research, manufacturing, office, and warehouse space. In 2018, we also purchased approximately 124,000 square feet of research and office space near our Rensselaer facility, a portion of which we had previously leased. We also own approximately 130 acres of land near our Rensselaer facility; we developed approximately 212,000 square feet on this property in connection with expanding our warehouse space, and we have plans to further develop this property in connection with expanding certain manufacturing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Troy, New York</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own an office building in Troy, New York, consisting of approximately 217,000 square feet, which we are utilizing as additional office space to support the growth of our existing Rensselaer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own a manufacturing facility in Limerick, Ireland, consisting of approximately 445,000 square feet, which was purchased and subsequently renovated to accommodate and support our growth and expand our manufacturing capacity. The facility has received certain manufacturing approvals by regulatory agencies, including the FDA.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17 to our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both"/>
        <w:ind w:left="740" w:right="2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January 31, 2019, there were 180 shareholders of record of our Common Stock and 18 shareholders of record of our Class A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27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2013 through December 31, 2018. The comparison assumes that $100 was invested on December 31, 2013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143510</wp:posOffset>
            </wp:positionV>
            <wp:extent cx="5848985" cy="3430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12/31/2016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12/31/2018</w:t>
            </w: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135.70</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135.63</w:t>
            </w: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NQ US Pharma TR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163.37</w:t>
            </w:r>
          </w:p>
        </w:tc>
      </w:tr>
      <w:tr>
        <w:trPr>
          <w:trHeight w:val="27"/>
        </w:trPr>
        <w:tc>
          <w:tcPr>
            <w:tcW w:w="3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0"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selected financial data set forth below for the years ended December 31, 2018, 2017, and 2016 and as of December 31, 2018 and 2017 are derived from and should be read in conjunction with our audited financial statements, including the notes thereto, included elsewhere in this report. The selected financial data for the years ended December 31, 2015 and 2014 and as of December 31, 2016, 2015, and 2014 are derived from our audited financial statements not included in this report. Certain prior year amounts have been reclassified to conform to the current year's presentation.</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i w:val="1"/>
                <w:iCs w:val="1"/>
                <w:color w:val="auto"/>
              </w:rPr>
              <w:t>(In millions, except per share data)</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Sanofi and Bayer collaboration revenue</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1,036.9</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7"/>
        </w:trPr>
        <w:tc>
          <w:tcPr>
            <w:tcW w:w="4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5,872.2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2,819.6</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1,271.4</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7"/>
        </w:trPr>
        <w:tc>
          <w:tcPr>
            <w:tcW w:w="4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1,995.7</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823.9</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761.2</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9"/>
        </w:trPr>
        <w:tc>
          <w:tcPr>
            <w:tcW w:w="4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70"/>
        </w:trPr>
        <w:tc>
          <w:tcPr>
            <w:tcW w:w="44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w:t>
            </w:r>
          </w:p>
        </w:tc>
      </w:tr>
      <w:tr>
        <w:trPr>
          <w:trHeight w:val="183"/>
        </w:trPr>
        <w:tc>
          <w:tcPr>
            <w:tcW w:w="4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304"/>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2,444.4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r>
      <w:tr>
        <w:trPr>
          <w:trHeight w:val="163"/>
        </w:trPr>
        <w:tc>
          <w:tcPr>
            <w:tcW w:w="4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4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89"/>
              </w:rPr>
              <w:t>As of December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r>
      <w:tr>
        <w:trPr>
          <w:trHeight w:val="27"/>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w w:val="93"/>
              </w:rPr>
              <w:t>Cash, cash equivalents, and marketable securities (current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and non-current)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4,564.9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2,896.0</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1,902.9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1,677.4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1,360.6</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Convertible senior notes (current and non-current)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and facility lease obligations (current and non-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8,757.3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2,550.3</w:t>
            </w:r>
          </w:p>
        </w:tc>
      </w:tr>
    </w:tbl>
    <w:p>
      <w:pPr>
        <w:spacing w:after="0" w:line="148" w:lineRule="exact"/>
        <w:rPr>
          <w:sz w:val="20"/>
          <w:szCs w:val="20"/>
          <w:color w:val="auto"/>
        </w:rPr>
      </w:pPr>
    </w:p>
    <w:p>
      <w:pPr>
        <w:jc w:val="both"/>
        <w:ind w:left="580" w:hanging="167"/>
        <w:spacing w:after="0" w:line="232" w:lineRule="auto"/>
        <w:tabs>
          <w:tab w:leader="none" w:pos="624"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Income taxes for the year ended December 31, 2018 includes the $162.1 million net impact of the Company's sale of non-inventory related assets between foreign subsidiaries. As a result of the Tax Cuts and Jobs Act being signed into law in December 2017, income taxes for the year ended December 31, 2017 included a charge of $326.2 million related to the re-measurement of our U.S. net deferred tax assets at the lower enacted corporate tax rate. See Note 16 to our Consolidated Financial Statements for further details.</w:t>
      </w:r>
    </w:p>
    <w:p>
      <w:pPr>
        <w:sectPr>
          <w:pgSz w:w="11900" w:h="16838" w:orient="portrait"/>
          <w:cols w:equalWidth="0" w:num="1">
            <w:col w:w="11420"/>
          </w:cols>
          <w:pgMar w:left="240" w:top="13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0"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are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in Part I, Item 1. "Business," we currently have seven products that have received marketing approval and 21 product candidates in clinical development, all of which were discovered in our research laboratories. Also refer to Part I, Item 1. "Business" for a summary of key events in 2018 and 2019 to date, and plans for the remainder of 2019, related to our clinical programs.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Kevzara,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During the first quarter of 2018, we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Product sales consist of U.S. sales of EYLEA, Libtayo, and ARCALYST. We record revenue from product sales upon delivery to our distributors and specialty pharmacies (collectively, our customers). Revenue from product sales is recognized at a point in time when our customer is deemed to have obtained control of the product, which generally occurs upon receipt by our customers.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The amount of revenue we recognize from product sales varies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 government-funded programs, historical experience, estimated payer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w:t>
      </w:r>
      <w:r>
        <w:rPr>
          <w:rFonts w:ascii="Arial" w:cs="Arial" w:eastAsia="Arial" w:hAnsi="Arial"/>
          <w:sz w:val="17"/>
          <w:szCs w:val="17"/>
          <w:i w:val="1"/>
          <w:iCs w:val="1"/>
          <w:color w:val="auto"/>
        </w:rPr>
        <w:t>Revenues</w:t>
      </w:r>
      <w:r>
        <w:rPr>
          <w:rFonts w:ascii="Arial" w:cs="Arial" w:eastAsia="Arial" w:hAnsi="Arial"/>
          <w:sz w:val="17"/>
          <w:szCs w:val="17"/>
          <w:color w:val="auto"/>
        </w:rPr>
        <w:t xml:space="preserve"> - </w:t>
      </w:r>
      <w:r>
        <w:rPr>
          <w:rFonts w:ascii="Arial" w:cs="Arial" w:eastAsia="Arial" w:hAnsi="Arial"/>
          <w:sz w:val="17"/>
          <w:szCs w:val="17"/>
          <w:i w:val="1"/>
          <w:iCs w:val="1"/>
          <w:color w:val="auto"/>
        </w:rPr>
        <w:t>Net Product Sales</w:t>
      </w:r>
      <w:r>
        <w:rPr>
          <w:rFonts w:ascii="Arial" w:cs="Arial" w:eastAsia="Arial" w:hAnsi="Arial"/>
          <w:sz w:val="17"/>
          <w:szCs w:val="17"/>
          <w:color w:val="auto"/>
        </w:rPr>
        <w:t>" section below for further details regarding our provisions, and credits/payments, for sales-related deductions.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entered into various agreements related to our activities to research, develop, manufacture, and commercialize product candidates and utilize our technology platforms. We earn collaboration revenue in connection with collaboration agreements to utilize our technology platforms and develop and/or commercialize product candidates. Depending on the terms of the arrangement, we may defer the recognition of all or a portion of the consideration received because the performance obligations are satisfied over time.</w:t>
      </w:r>
    </w:p>
    <w:p>
      <w:pPr>
        <w:spacing w:after="0" w:line="24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(i.e., is "distinct"), or whether such promises should be combined as a single performance obligation.</w:t>
      </w:r>
    </w:p>
    <w:p>
      <w:pPr>
        <w:spacing w:after="0" w:line="20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We review our estimate of the transaction price each period, and make revisions to such estimates as necessary.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and could result in material changes to the amount of revenue recognized each year in the future.</w:t>
      </w:r>
    </w:p>
    <w:p>
      <w:pPr>
        <w:spacing w:after="0" w:line="25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research and development expense in the period when our collaborator incurs development expenses, the portion of the collaborator's development expenses that we are obligated to reimburse. Our collaborators provide us with estimated development expenses for the most recent fiscal quarter. Our collaborators' estimates are reconciled to their actual expenses for such quarter in the subsequent fiscal quarter, and our portion of our collaborators' development expenses that we are obligated to reimburse is adjusted on a prospective basis accordingly, as necessary.</w:t>
      </w:r>
    </w:p>
    <w:p>
      <w:pPr>
        <w:spacing w:after="0" w:line="24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certain of our collaboration agreements, product sales and cost of sales may be recorded by our collaborators as they are deemed to be the principal in the transaction. We share in any profits or losses arising from the commercialization of such products, and record our share of the variable consideration, representing net product sales less cost of goods sold and shared commercialization and other expenses, as collaboration revenue in the period in which such underlying sales occur and costs are incurred by the collaborator. Our collaborator provides us with our estimated share of the profits or losses from commercialization of such products for the most recent fiscal quarter. Our collaborators' estimates of profits or losses for such quarter are reconciled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to actual profits or losses in the subsequent fiscal quarter, and our share of the profit or loss is adjusted on a prospective basis accordingly, as necessary.</w:t>
      </w:r>
    </w:p>
    <w:p>
      <w:pPr>
        <w:spacing w:after="0" w:line="302"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In arrangements where the collaborator records product sales, we may be obligated to use commercially reasonable efforts to supply commercial product to our collaborators, and may be reimbursed for our manufacturing costs as commercial product is shipped to our collaborators; however, recognition of such cost reimbursements as collaboration revenue is deferred until the product is sold by our collaborators to third-party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restricted stock awards, and restricted stock units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stock option awards reflect our best estimates but involve uncertainties related to market and other conditions, many of which are outside of our control. Changes in any of these assumptions may materially affect the fair value of stock option awards granted and the amount of stock-based compensation recognized in future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forecasts of future operating results, and utilization of net operating losses and tax credits prior to their expiration. Significant judgment is required in making this assessment.</w:t>
      </w:r>
    </w:p>
    <w:p>
      <w:pPr>
        <w:spacing w:after="0" w:line="24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300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01"/>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86"/>
        </w:trPr>
        <w:tc>
          <w:tcPr>
            <w:tcW w:w="41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Income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4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gridSpan w:val="12"/>
          </w:tcPr>
          <w:p>
            <w:pPr>
              <w:ind w:left="78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(In millions, except per share data)</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(4,176.4)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w w:val="98"/>
              </w:rPr>
              <w:t>Income before income taxes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1"/>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13"/>
        </w:trPr>
        <w:tc>
          <w:tcPr>
            <w:tcW w:w="41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13"/>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40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2018 vs. 2017</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2017 vs. 2016</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product sales in the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EYLEA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4,076.7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3,701.9</w:t>
            </w:r>
          </w:p>
        </w:tc>
        <w:tc>
          <w:tcPr>
            <w:tcW w:w="100" w:type="dxa"/>
            <w:vAlign w:val="bottom"/>
          </w:tcPr>
          <w:p>
            <w:pPr>
              <w:spacing w:after="0"/>
              <w:rPr>
                <w:sz w:val="21"/>
                <w:szCs w:val="21"/>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378.8</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Libtayo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ARCALYST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Sanofi and Bayer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Sanofi</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0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Bayer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r>
      <w:tr>
        <w:trPr>
          <w:trHeight w:val="243"/>
        </w:trPr>
        <w:tc>
          <w:tcPr>
            <w:tcW w:w="120" w:type="dxa"/>
            <w:vAlign w:val="bottom"/>
          </w:tcPr>
          <w:p>
            <w:pPr>
              <w:spacing w:after="0"/>
              <w:rPr>
                <w:sz w:val="21"/>
                <w:szCs w:val="21"/>
                <w:color w:val="auto"/>
              </w:rPr>
            </w:pPr>
          </w:p>
        </w:tc>
        <w:tc>
          <w:tcPr>
            <w:tcW w:w="4040" w:type="dxa"/>
            <w:vAlign w:val="bottom"/>
            <w:gridSpan w:val="3"/>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219.4</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4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5,872.2</w:t>
            </w:r>
          </w:p>
        </w:tc>
        <w:tc>
          <w:tcPr>
            <w:tcW w:w="1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4,860.4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1,011.8</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increased in 2018 compared to 2017 and 2016 due to higher sales volume, partly offset by an increase in sales-related deductions primarily due to payer sales mix and new rebate and discount programs. In addition, on September 28, 2018, the FDA approved Libtayo for the treatment of patients with metastatic or locally advanced CSCC. The following table summarizes the provisions, and credits/payments, for sales-related deductions.</w:t>
      </w:r>
    </w:p>
    <w:p>
      <w:pPr>
        <w:spacing w:after="0" w:line="264"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Related</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43"/>
        </w:trPr>
        <w:tc>
          <w:tcPr>
            <w:tcW w:w="312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278.2</w:t>
            </w: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43"/>
        </w:trPr>
        <w:tc>
          <w:tcPr>
            <w:tcW w:w="312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(368.8)</w:t>
            </w:r>
          </w:p>
        </w:tc>
      </w:tr>
      <w:tr>
        <w:trPr>
          <w:trHeight w:val="27"/>
        </w:trPr>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12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478.9</w:t>
            </w:r>
          </w:p>
        </w:tc>
      </w:tr>
      <w:tr>
        <w:trPr>
          <w:trHeight w:val="27"/>
        </w:trPr>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r>
      <w:tr>
        <w:trPr>
          <w:trHeight w:val="257"/>
        </w:trPr>
        <w:tc>
          <w:tcPr>
            <w:tcW w:w="312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r>
      <w:tr>
        <w:trPr>
          <w:trHeight w:val="20"/>
        </w:trPr>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18"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70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01"/>
        </w:trPr>
        <w:tc>
          <w:tcPr>
            <w:tcW w:w="5860" w:type="dxa"/>
            <w:vAlign w:val="bottom"/>
            <w:gridSpan w:val="3"/>
          </w:tcPr>
          <w:p>
            <w:pPr>
              <w:spacing w:after="0"/>
              <w:rPr>
                <w:sz w:val="20"/>
                <w:szCs w:val="20"/>
                <w:color w:val="auto"/>
              </w:rPr>
            </w:pPr>
            <w:r>
              <w:rPr>
                <w:rFonts w:ascii="Arial" w:cs="Arial" w:eastAsia="Arial" w:hAnsi="Arial"/>
                <w:sz w:val="18"/>
                <w:szCs w:val="18"/>
                <w:i w:val="1"/>
                <w:iCs w:val="1"/>
                <w:color w:val="auto"/>
              </w:rPr>
              <w:t>Sanofi Collaboration 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13"/>
        </w:trPr>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development expenses - Discovery Agreement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development expenses - License and Collaboration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Agreement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434.9</w:t>
            </w: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related expenses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305.9</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r>
      <w:tr>
        <w:trPr>
          <w:trHeight w:val="243"/>
        </w:trPr>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development expenses - Discovery Agreement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3"/>
              </w:rPr>
              <w:t>development expenses - License and Collaboration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Agreement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57"/>
        </w:trPr>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658.7</w:t>
            </w: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lower reimbursement of antibody research and development costs in 2018 compared to 2017 and 2016 was partly due to the Company's Discovery and Preclinical Development Agreement with Sanofi ending on December 31, 2017 without any extension and, therefore, no further funding from Sanofi under the Antibody Discovery Agreement after 2017. In addition, the lower reimbursement of antibody research and development costs during 2018 compared to 2017 was primarily related to the timing of recognition of revenue related to clinical manufacturing for Dupixent and a lower proportion of development reimbursements for Dupixent that Sanofi is required to fund under our License and Collaboration Agreement (for example, following receipt of positive Phase 3 results or U.S. regulatory approval). The lower reimbursement of antibody research and development costs under our License and Collaboration Agreement in 2017, compared to 2016, was also primarily due to a lower proportion of development reimbursements for Dupixent as described above.</w:t>
      </w:r>
    </w:p>
    <w:p>
      <w:pPr>
        <w:spacing w:after="0" w:line="2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2017, the FDA and the European Commission approved Dupixent for the treatment of adult patients with moderate-to-severe atopic dermatitis. In October 2018, the FDA also approved Dupixent as an add-on maintenance therapy in patients with moderate-to-severe asthma aged 12 years and older. In 2017, the FDA and the European Commission approved Kevzara for the treatment of rheumatoid arthritis in adult patients.</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antibody commercialization-related expenses represents reimbursement of internal and external costs incurred by Regeneron in connection with commercializing Praluent, Kevzara, and Dupixent.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During 2018, 2017, and 2016,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combined losses in connection with the companies commercializing Praluent, Kevzara, and Dupixent within Sanofi collaboration revenue. During 2018, Sanofi collaboration revenues in connection with commercialization of antibodies were primarily impacted, compared to 2017, by our share of higher net sales of Dupixent (as the product was launched at the end of March 2017), and, to a lesser extent, Praluent and Kevzara. These increases in collaboration revenue were partly offset by an increase in the collaborations' Dupixent commercialization expenses for atopic dermatitis and the launch in asthma. In 2017, Sanofi collaboration revenues in connection with commercialization of antibodies were positively impacted, compared to 2016, by higher sales of collaboration antibody products, higher reimbursements of Dupixent commercialization-related expenses, and a decrease in the collaborations' Praluent commercialization expenses, which were partially offset by an increase in the collaborations' Kevzara commercialization expenses. See Part 1, Item 1. "Business - Marketed Products" for a summary of global net product sales recorded by Sanofi in connection with our Antibody License and Collaboration Agreement.</w:t>
      </w:r>
    </w:p>
    <w:p>
      <w:pPr>
        <w:spacing w:after="0" w:line="23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Sanofi antibody revenue in the table above primarily includes reimbursement of commercial supplies which were manufactured by the Company, and, in 2017, an acceleration of the recognition of deferred revenue from an $85.0 million up-front payment and other payments in connection with Sanofi's decision to end our Antibody Discovery Agreement.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Sanofi's reimbursement of immuno-oncology research and development costs under our IO License and Collaboration Agreement increased in 2018, compared to 2017 and 2016, due to an increase in clinical development activities for Libtayo. Reimbursement of Regeneron immuno-oncology commercialization-related expenses represents reimbursement of internal and external costs incurred by Regeneron in connection with commercializing Libtayo outside the United States.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Sanofi immuno-oncology revenue primarily includes recognition of a portion of the deferred revenue from $640.0 million of up-front payments received in 2015 in connection with the execution of the IO Collaboration agreements. This remaining portion of deferred revenue from the up-front payments is expected to be recognized as revenue over the remaining period the Company is obligated to satisfy its performance obligation in connection with performing development activities.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2018, we recorded cumulative catch-up adjustments to revenue of $135.0 million (included in other Sanofi immuno-oncology revenue in the table above) arising from changes in the estimate of the stage of completion of the collaborations' immuno-oncology programs, primarily in connection with the recent Amended IO Discovery Agreement (see Note 3 to our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13"/>
        </w:trPr>
        <w:tc>
          <w:tcPr>
            <w:tcW w:w="1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r>
      <w:tr>
        <w:trPr>
          <w:trHeight w:val="27"/>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160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160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r>
      <w:tr>
        <w:trPr>
          <w:trHeight w:val="243"/>
        </w:trPr>
        <w:tc>
          <w:tcPr>
            <w:tcW w:w="1600" w:type="dxa"/>
            <w:vAlign w:val="bottom"/>
          </w:tcPr>
          <w:p>
            <w:pPr>
              <w:spacing w:after="0"/>
              <w:rPr>
                <w:sz w:val="21"/>
                <w:szCs w:val="21"/>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4"/>
              </w:rPr>
              <w:t>Reimbursement of Regeneron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16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57"/>
        </w:trPr>
        <w:tc>
          <w:tcPr>
            <w:tcW w:w="1600" w:type="dxa"/>
            <w:vAlign w:val="bottom"/>
          </w:tcPr>
          <w:p>
            <w:pPr>
              <w:spacing w:after="0"/>
              <w:rPr>
                <w:sz w:val="22"/>
                <w:szCs w:val="22"/>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w:t>
            </w:r>
          </w:p>
        </w:tc>
      </w:tr>
      <w:tr>
        <w:trPr>
          <w:trHeight w:val="20"/>
        </w:trPr>
        <w:tc>
          <w:tcPr>
            <w:tcW w:w="16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Regeneron's share of collaboration profit from sales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856.1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Reimbursement of development expenses incurred by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Bayer in accordance with Regeneron's payment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8"/>
                <w:szCs w:val="18"/>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649.2</w:t>
            </w:r>
          </w:p>
        </w:tc>
        <w:tc>
          <w:tcPr>
            <w:tcW w:w="0" w:type="dxa"/>
            <w:vAlign w:val="bottom"/>
          </w:tcPr>
          <w:p>
            <w:pPr>
              <w:spacing w:after="0"/>
              <w:rPr>
                <w:sz w:val="1"/>
                <w:szCs w:val="1"/>
                <w:color w:val="auto"/>
              </w:rPr>
            </w:pPr>
          </w:p>
        </w:tc>
      </w:tr>
      <w:tr>
        <w:trPr>
          <w:trHeight w:val="242"/>
        </w:trPr>
        <w:tc>
          <w:tcPr>
            <w:tcW w:w="4240" w:type="dxa"/>
            <w:vAlign w:val="bottom"/>
          </w:tcPr>
          <w:p>
            <w:pPr>
              <w:ind w:left="180"/>
              <w:spacing w:after="0"/>
              <w:rPr>
                <w:sz w:val="20"/>
                <w:szCs w:val="20"/>
                <w:color w:val="auto"/>
              </w:rPr>
            </w:pPr>
            <w:r>
              <w:rPr>
                <w:rFonts w:ascii="Arial" w:cs="Arial" w:eastAsia="Arial" w:hAnsi="Arial"/>
                <w:sz w:val="18"/>
                <w:szCs w:val="18"/>
                <w:color w:val="auto"/>
              </w:rPr>
              <w:t>States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Other Bayer revenue in the table above primarily includes reimbursement of commercial supplies which were manufactured by the Company. In 2016, we entered into an agreement with Bayer governing the joint development and commercialization outside the United States of an antibody product candidate to angiopoietin-2 (Ang2), REGN910-3, for the treatment of ocular diseases or disorders. In 2017, we reported that results from two Phase 2 studies of REGN910-3 did not provide sufficient differentiation to warrant Phase 3 development; therefore, we recognized $37.4 million of revenue related to the acceleration of the recognition of the remaining amount of deferred revenue from the up-front payment received from Bayer.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Teva 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9"/>
        </w:trPr>
        <w:tc>
          <w:tcPr>
            <w:tcW w:w="4280" w:type="dxa"/>
            <w:vAlign w:val="bottom"/>
          </w:tcPr>
          <w:p>
            <w:pPr>
              <w:ind w:left="20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Teva collaboration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 other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In 2016, we and Teva entered into a collaboration agreement to develop and commercialize fasinumab. In 2017, we recognized as revenue substantive development milestones of $25.0 million and $35.0 million from Teva, which are included in other Teva collaboration revenue in the table above.</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to Teva collaboration revenue, "Total other revenue" in the table above includes:</w:t>
      </w:r>
    </w:p>
    <w:p>
      <w:pPr>
        <w:spacing w:after="0" w:line="144" w:lineRule="exact"/>
        <w:rPr>
          <w:sz w:val="20"/>
          <w:szCs w:val="20"/>
          <w:color w:val="auto"/>
        </w:rPr>
      </w:pPr>
    </w:p>
    <w:p>
      <w:pPr>
        <w:jc w:val="both"/>
        <w:ind w:left="660" w:hanging="328"/>
        <w:spacing w:after="0" w:line="25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a portion of deferred revenue from up-front and other payments received from MTPC, including a portion related to the achievement of a $20.0 million development milestone in the third quarter of 2018, and, in 2017, recognition of a substantive development milestone of $30.0 million from MTPC, in connection with our fasinumab collaboration.</w:t>
      </w: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sales of ZALTRAP under the terms of the Amended ZALTRAP Agreement.</w:t>
      </w:r>
    </w:p>
    <w:p>
      <w:pPr>
        <w:jc w:val="both"/>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Recognition of revenue related to the $165.0 million up-front payment we received in August 2010, which was deferred upon receipt and was being recognized as revenue through mid-2018, in connection with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accordance with the terms of the license agreement, Astellas terminated the agreement effective June 2018.</w:t>
      </w:r>
    </w:p>
    <w:p>
      <w:pPr>
        <w:spacing w:after="0" w:line="1" w:lineRule="exact"/>
        <w:rPr>
          <w:rFonts w:ascii="Arial" w:cs="Arial" w:eastAsia="Arial" w:hAnsi="Arial"/>
          <w:sz w:val="18"/>
          <w:szCs w:val="18"/>
          <w:color w:val="auto"/>
        </w:rPr>
      </w:pPr>
    </w:p>
    <w:p>
      <w:pPr>
        <w:jc w:val="both"/>
        <w:ind w:left="660" w:hanging="328"/>
        <w:spacing w:after="0" w:line="22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Royalties in connection with a June 2009 agreement with Novartis, under which we receive royalties on worldwide sales of Novartis'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 with BARDA to develop, test, and manufacture an antibody therapy (REGN3470-3471-3479) for the treatment of Ebola virus infection.</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Recognition of revenue in connection with sequencing of samples by the RGC for its customers.</w:t>
      </w:r>
    </w:p>
    <w:p>
      <w:pPr>
        <w:spacing w:after="0" w:line="13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 xml:space="preserve">The $416.8 million in total other revenue for 2018 also includes the impact of adopting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in 2018 as the new standard has resulted in certain changes to the timing of revenue recognition related to our collaboration</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agreements. Prior period amounts have not been adjusted in connection with the adoption of this standard. See Note 1 to our Consolidated 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13"/>
        </w:trPr>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5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 vs. 2017</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2017 vs. 2016</w:t>
            </w:r>
          </w:p>
        </w:tc>
      </w:tr>
      <w:tr>
        <w:trPr>
          <w:trHeight w:val="27"/>
        </w:trPr>
        <w:tc>
          <w:tcPr>
            <w:tcW w:w="54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54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5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29"/>
        </w:trPr>
        <w:tc>
          <w:tcPr>
            <w:tcW w:w="5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Cost of collaboration and contract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54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r>
      <w:tr>
        <w:trPr>
          <w:trHeight w:val="20"/>
        </w:trPr>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540" w:type="dxa"/>
            <w:vAlign w:val="bottom"/>
          </w:tcPr>
          <w:p>
            <w:pPr>
              <w:spacing w:after="0"/>
              <w:rPr>
                <w:sz w:val="21"/>
                <w:szCs w:val="21"/>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headcount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54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average headcount in 2018 increased compared to 2017 principally in connection with expanding our manufacturing activities and, to a lesser extent, increased research and development activities and the launches of Libtayo and Dupixent for asthma in the United States. Average headcount in 2017 increased compared to 2016 principally in connection with expanding our manufacturing activities.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Operating expenses in 2018, 2017, and 2016 included a total of $427.4 million, $507.3 million, and $559.9 million, respectively, of non-cash compensation expense related to employee stock options and restricted stock. The decrease in total non-cash compensation expense in 2018, compared to 2017, is largely attributable to a revision in our estimate of the number of stock options that are expected to be forfeited, partly offset by the immediate recognition of non-cash compensation expense in connection with annual employee grants made in December 2018 to certain retirement-eligible employees. As of December 31, 2018, unrecognized non-cash compensation expense related to outstanding stock options and unvested restricted stock was $702.6 million and $124.4 million, respectively. We expect to recognize this non-cash compensation expense related to stock options and restricted stock over weighted-average periods of 1.9 years and 4.6 years,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39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28"/>
        </w:trPr>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8"/>
          </w:tcPr>
          <w:p>
            <w:pPr>
              <w:ind w:left="50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4"/>
                <w:szCs w:val="24"/>
                <w:color w:val="auto"/>
              </w:rPr>
            </w:pPr>
          </w:p>
        </w:tc>
        <w:tc>
          <w:tcPr>
            <w:tcW w:w="28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Pr>
          <w:p>
            <w:pPr>
              <w:spacing w:after="0"/>
              <w:rPr>
                <w:sz w:val="22"/>
                <w:szCs w:val="22"/>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2"/>
                <w:szCs w:val="22"/>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5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2018 vs. 2017</w:t>
            </w:r>
          </w:p>
        </w:tc>
        <w:tc>
          <w:tcPr>
            <w:tcW w:w="160" w:type="dxa"/>
            <w:vAlign w:val="bottom"/>
          </w:tcPr>
          <w:p>
            <w:pPr>
              <w:spacing w:after="0"/>
              <w:rPr>
                <w:sz w:val="22"/>
                <w:szCs w:val="22"/>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2017 vs. 2016</w:t>
            </w:r>
          </w:p>
        </w:tc>
      </w:tr>
      <w:tr>
        <w:trPr>
          <w:trHeight w:val="209"/>
        </w:trPr>
        <w:tc>
          <w:tcPr>
            <w:tcW w:w="8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7"/>
        </w:trPr>
        <w:tc>
          <w:tcPr>
            <w:tcW w:w="820" w:type="dxa"/>
            <w:vAlign w:val="bottom"/>
          </w:tcPr>
          <w:p>
            <w:pPr>
              <w:spacing w:after="0"/>
              <w:rPr>
                <w:sz w:val="20"/>
                <w:szCs w:val="20"/>
                <w:color w:val="auto"/>
              </w:rPr>
            </w:pPr>
          </w:p>
        </w:tc>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20" w:type="dxa"/>
            <w:vAlign w:val="bottom"/>
          </w:tcPr>
          <w:p>
            <w:pPr>
              <w:spacing w:after="0"/>
              <w:rPr>
                <w:sz w:val="21"/>
                <w:szCs w:val="21"/>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Dupixent (dupilumab)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Libtayo (cemiplimab)</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820" w:type="dxa"/>
            <w:vAlign w:val="bottom"/>
          </w:tcPr>
          <w:p>
            <w:pPr>
              <w:spacing w:after="0"/>
              <w:rPr>
                <w:sz w:val="21"/>
                <w:szCs w:val="21"/>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Fasinumab</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Praluent (alirocumab)</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Other product candidates in clinical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7"/>
        </w:trPr>
        <w:tc>
          <w:tcPr>
            <w:tcW w:w="82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20" w:type="dxa"/>
            <w:vAlign w:val="bottom"/>
          </w:tcPr>
          <w:p>
            <w:pPr>
              <w:spacing w:after="0"/>
              <w:rPr>
                <w:sz w:val="18"/>
                <w:szCs w:val="18"/>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Total direct research and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7"/>
        </w:trPr>
        <w:tc>
          <w:tcPr>
            <w:tcW w:w="82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82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820" w:type="dxa"/>
            <w:vAlign w:val="bottom"/>
          </w:tcPr>
          <w:p>
            <w:pPr>
              <w:spacing w:after="0"/>
              <w:rPr>
                <w:sz w:val="21"/>
                <w:szCs w:val="21"/>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0" w:type="dxa"/>
            <w:vAlign w:val="bottom"/>
          </w:tcPr>
          <w:p>
            <w:pPr>
              <w:spacing w:after="0"/>
              <w:rPr>
                <w:sz w:val="19"/>
                <w:szCs w:val="19"/>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Lab supplies, licensing,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0" w:type="dxa"/>
            <w:vAlign w:val="bottom"/>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820" w:type="dxa"/>
            <w:vAlign w:val="bottom"/>
          </w:tcPr>
          <w:p>
            <w:pPr>
              <w:spacing w:after="0"/>
              <w:rPr>
                <w:sz w:val="21"/>
                <w:szCs w:val="21"/>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w w:val="99"/>
              </w:rPr>
              <w:t>Occupancy and other operating costs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82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20" w:type="dxa"/>
            <w:vAlign w:val="bottom"/>
          </w:tcPr>
          <w:p>
            <w:pPr>
              <w:spacing w:after="0"/>
              <w:rPr>
                <w:sz w:val="18"/>
                <w:szCs w:val="18"/>
                <w:color w:val="auto"/>
              </w:rPr>
            </w:pP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indirect research and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7"/>
        </w:trPr>
        <w:tc>
          <w:tcPr>
            <w:tcW w:w="82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57"/>
        </w:trPr>
        <w:tc>
          <w:tcPr>
            <w:tcW w:w="820" w:type="dxa"/>
            <w:vAlign w:val="bottom"/>
          </w:tcPr>
          <w:p>
            <w:pPr>
              <w:spacing w:after="0"/>
              <w:rPr>
                <w:sz w:val="22"/>
                <w:szCs w:val="22"/>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w w:val="91"/>
              </w:rPr>
              <w:t>Total research and development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"Direct research and development expenses - Other product candidates in clinical development and other research programs" in 2016 included the $75.0 million up-front payment made in connection with the license and collaboration agreement with Intellia. Research and development expenses included non-cash compensation expense of $229.0 million, $271.9 million, and $313.0 million in 2018, 2017, and 2016, respectively.</w:t>
      </w:r>
    </w:p>
    <w:p>
      <w:pPr>
        <w:spacing w:after="0" w:line="22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increased in 2018, compared to 2017, primarily due to higher headcount and headcount-related costs, higher contributions to independent not-for-profit patient assistance organizations, an increase in commercialization-related expenses for Dupixent, and, to a lesser extent, Libtayo, and an accrual for loss contingencies associated with ongoing litigation. Selling, general, and administrative expenses increased in 2017, compared to 2016, primarily due to (i) an increase in commercialization-related expenses associated with Dupixent and EYLEA, and, to a lesser extent, Kevzara and Libtayo, partly offset by lower commercialization-related expenses associated with Praluent, and (ii) higher headcount and headcount-related costs. Selling, general, and administrative expenses also included $169.2 million, $208.4 million, and $231.2 million of non-cash compensation expense in 2018, 2017, and 2016,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goods sold decreased slightly in 2018, compared to 2017, principally due to a decrease in period costs for our Limerick manufacturing facility as a result of higher commercial manufacturing activities. Cost of goods sold increased slightly in 2017, compared to 2016, principally due to an increase in start-up costs for our Limerick manufacturing facility, offset due to the fact that, effective May 2016, we were no longer obligated to pay royalties to Genentech based on U.S. sales of EYLEA.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collaboration and contract manufacturing primarily includes costs we incur in connection with producing commercial drug supplies for Sanofi and Bayer. The increase in cost of collaboration and contract manufacturing in 2018, compared to 2017, was impacted primarily due to the recognition of manufacturing costs associated with higher sales of Sanofi collaboration antibodies. These increases were partly offset by lower expenses recorded in connection with validating our Limerick manufacturing facility and lower inventory write-offs and reserves.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collaboration and contract manufacturing increased in 2017, compared to 2016, primarily due to costs we incurred in connection with validating our Limerick manufacturing facility related to products that are in collaboration with Sanofi, partly offset by the fact that 2016 included royalties payable to Genentech based on sales of EYLEA outside the United States (which ended in May 2016). Cost of collaboration and contract manufacturing was also adversely impacted by inventory write-offs and reserves totaling $57.2 million in 2017 primarily related to product that no longer met quality specifications, compared to $11.2 million in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Other income (expense), net, in 2018 increased compared to 2017 primarily due to increased interest income earned on available-for-sale debt securities due to higher average investment balances and rising interest rates. In addition, other expenses in 2017 included the recognition of a $30.1 million loss on debt extinguishment related to the 2017 Tarrytown lease transaction. See Note 12 to our Consolidated Financial Statements. The increase in other income in 2018 was partly offset by the recognition of unrealized losses on equity securities. In the first quarter of 2018, we adopted Accounting Standards Update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which requires us to measure equity investments at fair value with changes in fair value recognized in net income; previously, such changes in fair value were recognized in Other comprehensive income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r>
    </w:tbl>
    <w:p>
      <w:pPr>
        <w:spacing w:after="0" w:line="14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December 22, 2017, the bill known as the "Tax Cuts and Jobs Act" (the Act) was signed into law. The Act, which became effective with respect to most of its provisions as of January 1, 2018, includes a number of provisions that impact us, including reducing the U.S. federal corporate income tax rate from 35% to 21%, changing the taxation of foreign earnings (including taxation of certain global intangible low-taxed income (GILTI)), allowing for a foreign-derived intangible income deduction and immediate expensing of the cost for qualified assets, repealing the deduction for domestic manufacturing, and imposing further limitations on the deductibility of executive compensation. Changes in tax rates and tax laws are accounted for in the period of enactment. Therefore, as a result of the Act being signed into law, we recognized a provisional charge of $326.2 million in the fourth quarter of 2017 related to the re-measurement of our U.S. net deferred tax assets at the lower enacted corporate tax rate. The provisional charge recorded in the fourth quarter of 2017 was an estimate and was subject to further analysis, interpretation, and clarification of the Act. During 2018, we recorded an income tax benefit of $68.0 million as a final adjustment to the provisional amount recorded as of December 31, 2017.</w:t>
      </w:r>
    </w:p>
    <w:p>
      <w:pPr>
        <w:spacing w:after="0" w:line="23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effective tax rate for 2018 was positively impacted, compared to the U.S. federal statutory rate, primarily by the sale of non-inventory related assets between foreign subsidiaries (for which we recorded a $162.1 million net income tax benefit), and, to a lesser extent, the federal tax credit for research activities, stock-based compensation, income earned in foreign jurisdictions with tax rates lower than the U.S. federal statutory rate, and tax planning in connection with the Act. The 2017 effective tax rate was negatively impacted by the provisional charge recorded as a result of the Act being signed into law (as described above), and was partly offset by the tax benefit associated with stock-based compensation. The 2016 effective tax rate was positively impacted, compared to the U.S. federal statutory rate, by the tax benefit associated with stock-based compensation, partly offset by the negative impact of losses incurred in foreign jurisdictions with rates lower than the U.S. federal statutory rate.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46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01"/>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6"/>
        </w:trPr>
        <w:tc>
          <w:tcPr>
            <w:tcW w:w="5620" w:type="dxa"/>
            <w:vAlign w:val="bottom"/>
            <w:gridSpan w:val="3"/>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48"/>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ind w:left="280"/>
              <w:spacing w:after="0"/>
              <w:rPr>
                <w:sz w:val="20"/>
                <w:szCs w:val="20"/>
                <w:color w:val="auto"/>
              </w:rPr>
            </w:pPr>
            <w:r>
              <w:rPr>
                <w:rFonts w:ascii="Arial" w:cs="Arial" w:eastAsia="Arial" w:hAnsi="Arial"/>
                <w:sz w:val="18"/>
                <w:szCs w:val="18"/>
                <w:b w:val="1"/>
                <w:bCs w:val="1"/>
                <w:color w:val="auto"/>
              </w:rPr>
              <w:t>As of December 31,</w:t>
            </w:r>
          </w:p>
        </w:tc>
        <w:tc>
          <w:tcPr>
            <w:tcW w:w="16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Increase</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655.0</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1,668.9</w:t>
            </w: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2,112.6</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37"/>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1,805.3</w:t>
            </w: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2018, we also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and as described in Part 1, Item 1. "Business - Collaborations - Collaborations with Sanofi," we and Sanofi recently entered into an Amended IO Discovery Agreement, pursuant to which Sanofi made a payment of $461.9 million to us in the first quarter of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2018, 2017, and 2016</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Increase (Decrease)</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2018 vs. 2017</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2017 vs. 2016</w:t>
            </w:r>
          </w:p>
        </w:tc>
      </w:tr>
      <w:tr>
        <w:trPr>
          <w:trHeight w:val="27"/>
        </w:trPr>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1"/>
              </w:rPr>
              <w:t>(1,046.8)</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676.1</w:t>
            </w:r>
          </w:p>
        </w:tc>
      </w:tr>
      <w:tr>
        <w:trPr>
          <w:trHeight w:val="27"/>
        </w:trPr>
        <w:tc>
          <w:tcPr>
            <w:tcW w:w="4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u w:val="single" w:color="auto"/>
          <w:color w:val="auto"/>
        </w:rPr>
        <w:t>2018</w:t>
      </w:r>
      <w:r>
        <w:rPr>
          <w:rFonts w:ascii="Arial" w:cs="Arial" w:eastAsia="Arial" w:hAnsi="Arial"/>
          <w:sz w:val="18"/>
          <w:szCs w:val="18"/>
          <w:b w:val="1"/>
          <w:bCs w:val="1"/>
          <w:color w:val="auto"/>
        </w:rPr>
        <w:t xml:space="preserve">. </w:t>
      </w:r>
      <w:r>
        <w:rPr>
          <w:rFonts w:ascii="Arial" w:cs="Arial" w:eastAsia="Arial" w:hAnsi="Arial"/>
          <w:sz w:val="18"/>
          <w:szCs w:val="18"/>
          <w:color w:val="auto"/>
        </w:rPr>
        <w:t>Our net income of $2,444.4 million in 2018 included (i) non-cash compensation expense of $427.4 million, (ii) the recognition of cumulative catch-up adjustments of $135.0 million within revenue primarily in connection with the Amended IO Discovery Agreement, and (iii) other non-cash items, including $75.8 million in connection with Sanofi satisfying its Libtayo development funding obligation in shares of Regeneron stock (see "Sanofi Funding of Certain Development Costs" below) and $41.9 million related to unrealized losses (net) on equity securities. Deferred tax assets as of December 31, 2018 increased by $140.0 million, compared to December 31, 2017, primarily due to the impact of the Company's sale of non-inventory related assets between foreign subsidiaries.</w:t>
      </w:r>
    </w:p>
    <w:p>
      <w:pPr>
        <w:spacing w:after="0" w:line="242"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6"/>
          <w:szCs w:val="16"/>
          <w:b w:val="1"/>
          <w:bCs w:val="1"/>
          <w:u w:val="single" w:color="auto"/>
          <w:color w:val="auto"/>
        </w:rPr>
        <w:t>2017</w:t>
      </w:r>
      <w:r>
        <w:rPr>
          <w:rFonts w:ascii="Arial" w:cs="Arial" w:eastAsia="Arial" w:hAnsi="Arial"/>
          <w:sz w:val="16"/>
          <w:szCs w:val="16"/>
          <w:b w:val="1"/>
          <w:bCs w:val="1"/>
          <w:color w:val="auto"/>
        </w:rPr>
        <w:t xml:space="preserve">. </w:t>
      </w:r>
      <w:r>
        <w:rPr>
          <w:rFonts w:ascii="Arial" w:cs="Arial" w:eastAsia="Arial" w:hAnsi="Arial"/>
          <w:sz w:val="16"/>
          <w:szCs w:val="16"/>
          <w:color w:val="auto"/>
        </w:rPr>
        <w:t>Our net income of $1,198.5 million in 2017 included non-cash compensation expense of $507.3 million. Deferred tax assets as of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2017 decreased by $318.8 million, compared to December 31, 2016, primarily due to the re-measurement of our U.S. net deferred tax assets at the lower enacted corporate tax rates pursuant to the Act (as described in "Results of Operations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additional tax depreciation, partly offset by an increase in deferred tax assets related to stock-based compensation. Cash flows from operating activities for the year ended December 31, 2017 were negatively impacted by $926.5 million in connection with changes in other assets and liabilities. Included in such change was a decrease in deferred revenue by $113.1 million compared to December 31, 2016, partly due to the acceleration of the recognition of deferred revenue in connection with the Sanofi Antibody Discovery Agreement and the Bayer Ang2 agreement; see "Results of Operations - </w:t>
      </w:r>
      <w:r>
        <w:rPr>
          <w:rFonts w:ascii="Arial" w:cs="Arial" w:eastAsia="Arial" w:hAnsi="Arial"/>
          <w:sz w:val="16"/>
          <w:szCs w:val="16"/>
          <w:i w:val="1"/>
          <w:iCs w:val="1"/>
          <w:color w:val="auto"/>
        </w:rPr>
        <w:t>Revenues</w:t>
      </w:r>
      <w:r>
        <w:rPr>
          <w:rFonts w:ascii="Arial" w:cs="Arial" w:eastAsia="Arial" w:hAnsi="Arial"/>
          <w:sz w:val="16"/>
          <w:szCs w:val="16"/>
          <w:color w:val="auto"/>
        </w:rPr>
        <w:t>" section above for further details.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u w:val="single" w:color="auto"/>
          <w:color w:val="auto"/>
        </w:rPr>
        <w:t>2016</w:t>
      </w:r>
      <w:r>
        <w:rPr>
          <w:rFonts w:ascii="Arial" w:cs="Arial" w:eastAsia="Arial" w:hAnsi="Arial"/>
          <w:sz w:val="18"/>
          <w:szCs w:val="18"/>
          <w:b w:val="1"/>
          <w:bCs w:val="1"/>
          <w:color w:val="auto"/>
        </w:rPr>
        <w:t xml:space="preserve">. </w:t>
      </w:r>
      <w:r>
        <w:rPr>
          <w:rFonts w:ascii="Arial" w:cs="Arial" w:eastAsia="Arial" w:hAnsi="Arial"/>
          <w:sz w:val="18"/>
          <w:szCs w:val="18"/>
          <w:color w:val="auto"/>
        </w:rPr>
        <w:t>Our net income of $895.5 million in 2016 included non-cash compensation expense of $559.9 million. Deferred tax assets as of December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$360.1 million, compared to December 31, 2015, primarily due to an increase in stock-based compensation, the tax basis of intangible assets, and deferred revenue. Deferred revenue increased by $244.3 million as of December 31, 2016, compared to December 31, 2015, primarily due to $250.0 million and $60.0 million of payments received during 2016 from Teva and Mitsubishi, respectively, in connection with the companies' respective fasinumab collaborations, and the $50.0 million up-front payment from Bayer in connection with the companies' Ang2 collaboration, partly offset primarily by the amortization of these 2016 payments and past up-front payments from Sanofi.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Capital expenditures were $383.1 million, $272.6 million, and $511.9 million in 2018, 2017, and 2016, respectively. Capital expenditures increased in 2018, compared to 2017, primarily due to higher capital expenditures in connection with renovations and additions at our Limerick, Ireland and Rensselaer, New York manufacturing facilities, and laboratory expansion and renovations at our Tarrytown, New York facilities.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expect to incur capital expenditures of $410 million to $490 million in 2019 primarily in connection with expanding a portion of our manufacturing facilities at our Rensselaer, New York facility, continued renovations and expansion of our Limerick, Ireland facility, and laboratory expansion and renovations at our Tarrytown, New York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2017, proceeds in connection with capital and facility lease obligations relate to our receipt of $57.0 million in connection with the March 2017 lease transaction as described below under "Tarrytown, New York Leases". In 2016, we paid an aggregate amount of $643.4 million to warrant holders to reduce the maximum number of shares of Common Stock issuable upon exercise of the warrants.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December 2018, we entered into an agreement with a syndicate of lenders (the Credit Agreement) which provides for a $750.0 million senior unsecured five-year revolving credit facility (the Credit Facility), and contemporaneously terminated our then-existing credit agreement (the Prior Credit Agreement). The Credit Agreement was entered into on terms substantially similar to those of the Prior Credit Agreement. No borrowings were outstanding under the Prior Credit Agreement at the time of its termination.</w:t>
      </w:r>
    </w:p>
    <w:p>
      <w:pPr>
        <w:spacing w:after="0" w:line="2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2018.</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described in Part 1, Item 1. "Business - Collaborations - Collaborations with Sanofi," effective January 7, 2018, we and Sanofi entered into a Letter Agreement in connection with, among other matters, increasing the development budget amount for Libtayo and allocating additional funds to certain proposed activities relating to dupilumab and REGN3500. Pursuant to the Letter Agreement, we have agreed to allow Sanofi to satisfy in whole or in part its funding obligations with respect to Libtayo development and/or Dupilumab/REGN3500 Eligible Investments by selling up to an aggregate of 1,400,000 shares (of which 1,173,847 shares remain available to be sold as of December 31, 2018)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1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2018, Sanofi elected to sell, and we elected to purchase (by issuing a credit towards the amount owed by Sanofi), 215,387 shares of the Company's Common Stock to satisfy Sanofi's funding obligation related to Libtayo development costs. Consequently,</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30" w:right="2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$75.8 million related to the shares received as Treasury Stock during 2018. In addition, during 2018, Sanofi elected to sell, and we elected to purchase (in cash), 10,766 shares of the Company's Common Stock in connection with Sanofi's funding obligation for Dupilumab/REGN3500 Eligible Investments. Consequently, we recorded the cost of the shares received, or $4.4 million, as Treasury Stock during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lease laboratory and office facilities in Tarrytown, New York (the Facility). In 2016, we entered into a Purchase Agreement with the then lessor, pursuant to which we agreed to purchase the Facility for a purchase price of $720.0 million. In March 2017, we entered into a Participation Agreement with Banc of America Leasing &amp; Capital LLC (BAL), as lessor, and a syndicate of lenders (collectively, the Participants), which provided for lease financing in connection with the acquisition by BAL of the Facility and our lease of the Facility from BAL. In March 2017, we assigned our right to take title to the Facility under the Purchase Agreement to BAL, and the Participants advanced $720.0 million, which was used by BAL to finance the purchase price for the Facility.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entering into the Participation Agreement, we also entered into a lease agreement (the Lease) for the Facility with BAL for a five-year term.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December 31,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amount required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Part I, Item 1. "Business - Collaborations," funding for reimbursement of research and development costs that we are entitled to receive under our collaboration agreements, will enable us to meet our projected operating needs for the foreseeable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140"/>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Less than one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Greater than</w:t>
            </w:r>
          </w:p>
        </w:tc>
      </w:tr>
      <w:tr>
        <w:trPr>
          <w:trHeight w:val="234"/>
        </w:trPr>
        <w:tc>
          <w:tcPr>
            <w:tcW w:w="41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3 to 5 years</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5 years</w:t>
            </w: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Purchase and other obligations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70"/>
        </w:trPr>
        <w:tc>
          <w:tcPr>
            <w:tcW w:w="4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Capital and facility lease obligations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940" w:right="620" w:hanging="162"/>
        <w:spacing w:after="0" w:line="252" w:lineRule="auto"/>
        <w:tabs>
          <w:tab w:leader="none" w:pos="974"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Purchase and other obligations primarily relate to research and development commitments, including those related to clinical trials, and capital expenditures. Our obligation to pay certain of these amounts may increase or be reduced based on relevant future events.</w:t>
      </w:r>
    </w:p>
    <w:p>
      <w:pPr>
        <w:spacing w:after="0" w:line="27" w:lineRule="exact"/>
        <w:rPr>
          <w:rFonts w:ascii="Arial" w:cs="Arial" w:eastAsia="Arial" w:hAnsi="Arial"/>
          <w:sz w:val="22"/>
          <w:szCs w:val="22"/>
          <w:color w:val="auto"/>
          <w:vertAlign w:val="superscript"/>
        </w:rPr>
      </w:pPr>
    </w:p>
    <w:p>
      <w:pPr>
        <w:jc w:val="both"/>
        <w:ind w:left="940" w:right="600" w:hanging="162"/>
        <w:spacing w:after="0" w:line="262" w:lineRule="auto"/>
        <w:tabs>
          <w:tab w:leader="none" w:pos="971"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Represents rent payments with respect to capital lease and facility lease obligations in connection with our property leases in Tarrytown, New York, as described under "</w:t>
      </w:r>
      <w:r>
        <w:rPr>
          <w:rFonts w:ascii="Arial" w:cs="Arial" w:eastAsia="Arial" w:hAnsi="Arial"/>
          <w:sz w:val="16"/>
          <w:szCs w:val="16"/>
          <w:i w:val="1"/>
          <w:iCs w:val="1"/>
          <w:color w:val="auto"/>
        </w:rPr>
        <w:t>Tarrytown, New York Leases</w:t>
      </w:r>
      <w:r>
        <w:rPr>
          <w:rFonts w:ascii="Arial" w:cs="Arial" w:eastAsia="Arial" w:hAnsi="Arial"/>
          <w:sz w:val="16"/>
          <w:szCs w:val="16"/>
          <w:color w:val="auto"/>
        </w:rPr>
        <w:t>" above and Note 12 to our Consolidated Financial Statements. Amounts in the table above exclude the purchase price we would be obligated to pay if we were to exercise our option to purchase the Facility.</w:t>
      </w:r>
    </w:p>
    <w:p>
      <w:pPr>
        <w:spacing w:after="0" w:line="1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Liabilities for unrecognized tax benefits, totaling $189.5 million at December 31, 2018, are not included in the table of contractual obligations above as, due to their nature, there is a high degree of uncertainty regarding the period of potential future cash settlement with taxing authorities. See Note 16 to our Consolidated Financial Statements.</w:t>
      </w:r>
    </w:p>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w:t>
      </w:r>
    </w:p>
    <w:p>
      <w:pPr>
        <w:spacing w:after="0" w:line="2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w:t>
      </w:r>
    </w:p>
    <w:p>
      <w:pPr>
        <w:spacing w:after="0" w:line="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anticipate continuing to incur substantial commercialization costs for EYLEA, Dupixent, Praluent, Kevzara, and Libtayo.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Because of these factors, such payments are not included in the table of contractual obligations above. See Note 3 and Note 12 to our Consolidated Financial Statements.</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our Antibody and IO Collaborations with Sanofi and our collaboration with Bayer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for a defined percentage (generally 50%) of agreed-upon development expenses funded by Sanofi and Bayer. These reimbursements would be deducted each quarter, in accordance with a formula, from our share of the collaboration profits (and, for our EYLEA collaboration with Bayer, inclusive of our percentage on product sales in Japan) otherwise payable to us, unless, in the case of EYLEA, we elect to reimburse these expenses at a faster rate. As of December 31, 2018, our contingent reimbursement obligation to Bayer for EYLEA was approximately $265 million and our contingent reimbursement obligation to Sanofi in connection with the companies' Antibody Collaboration and IO Collaboration was approximately $2.786 billion and $58 million, respectively. Therefore, we expect that, for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foreseeable future, a portion of our share of profits from sales of EYLEA outside the United States and a portion of our share of profits, if any, from sales of Dupixent, Praluent, and Kevzara will be used to reimburse our collaborator for these obligations.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 to our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$27.7 million and $23.2 million decrease in the fair value of our investment portfolio as of December 31, 2018 and 2017, respectively.</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We have exposure to market risk for changes in interest rates, including the interest rate risk relating to our March 2017 variable rate Tarrytown, New York lease (as described in Item 7. "Management's Discussion and Analysis of Financial Condition and Results of Operations - Liquidity and Capital Resources - </w:t>
      </w:r>
      <w:r>
        <w:rPr>
          <w:rFonts w:ascii="Arial" w:cs="Arial" w:eastAsia="Arial" w:hAnsi="Arial"/>
          <w:sz w:val="18"/>
          <w:szCs w:val="18"/>
          <w:i w:val="1"/>
          <w:iCs w:val="1"/>
          <w:color w:val="auto"/>
        </w:rPr>
        <w:t>Tarrytown, New York Leases</w:t>
      </w:r>
      <w:r>
        <w:rPr>
          <w:rFonts w:ascii="Arial" w:cs="Arial" w:eastAsia="Arial" w:hAnsi="Arial"/>
          <w:sz w:val="18"/>
          <w:szCs w:val="18"/>
          <w:color w:val="auto"/>
        </w:rPr>
        <w:t>"). Our interest rate exposure is primarily offset by our investments in marketable securities. In addition, we further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exposure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hedged a portion of our floating interest rate exposure using interest rate swap and interest rate cap contracts (see Note 6 to our Consolidated Financial Statements). We estimate that a 100 basis point, or 1%, unfavorable change in interest rates would not have a material impact on the fair value of our interest rate swap or interest rate cap contracts. The following table summarizes the notional amounts of our outstanding interest rate swap and cap contracts as of December 31, 2018:</w:t>
      </w:r>
    </w:p>
    <w:p>
      <w:pPr>
        <w:spacing w:after="0" w:line="399"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2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Notional Amount</w:t>
            </w:r>
          </w:p>
        </w:tc>
      </w:tr>
      <w:tr>
        <w:trPr>
          <w:trHeight w:val="27"/>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2018, 2017, and 2016, we did not record any charges for other-than-temporary impairments of our available-for-sale debt securities.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subject to credit risk associated with the receivables due from our collaborators Bayer, Sanofi, and Teva. We are also subject to credit risk in connection with trade accounts receivable from our product sales. These trade accounts receivable are primarily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During 2018, 2017, and 2016, we did not recognize any charges for write-offs of accounts receivable related to our marketed products. As of December 31, 2018 and 2017, three customers accounted on a combined basis for 99% of our net trade accounts receivables.</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30"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discussed further above, Bayer markets EYLEA outside the United States and Sanofi markets Dupixent, Praluent, and Kevzara worldwide,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in addition to incurring expenses outside of the United States in connection with our international operations. Therefore, significant changes in foreign exchange rates of the countries outside the United States where our product is sold, where development expenses are incurred by us or our collaborators, or where we incur operating expenses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Risk</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are exposed to price risk on equity securities included in our investment portfolio. Our marketable securities include equity investments in publicly traded stock of companies, including common stock of companies with which we have entered into collaboration arrangements. Changes in the fair value of our equity investments are included in Other income (expense), net on the Consolidated Statements of Income. For the year ended December 31, 2018, there were $41.9 million of net unrealized losses on equity securities recognized in Other income (expense),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F-47 of this report. The supplementary financial information required by this Item is included at page F-47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2018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2018. The effectiveness of the Company's internal control over financial reporting as of December 31, 2018 has been audited by PricewaterhouseCoopers LLP, an independent registered public accounting firm, as stated in their report which appears under Item 15.</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2018 that has materially affected, or is reasonably likely to materially affect, our internal control over financial reporting.</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2019 Annual Meeting of Shareholders to be filed with the SEC, and is incorporated herein by reference.</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2019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2019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2019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2019 Annual Meeting of Shareholders to be filed with the SEC, and is incorporated herein by reference.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tab/>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30"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520" w:type="dxa"/>
            <w:vAlign w:val="bottom"/>
            <w:gridSpan w:val="4"/>
          </w:tcPr>
          <w:p>
            <w:pPr>
              <w:spacing w:after="0"/>
              <w:rPr>
                <w:sz w:val="20"/>
                <w:szCs w:val="20"/>
                <w:color w:val="auto"/>
              </w:rPr>
            </w:pPr>
            <w:r>
              <w:rPr>
                <w:rFonts w:ascii="Arial" w:cs="Arial" w:eastAsia="Arial" w:hAnsi="Arial"/>
                <w:sz w:val="18"/>
                <w:szCs w:val="18"/>
                <w:i w:val="1"/>
                <w:iCs w:val="1"/>
                <w:color w:val="auto"/>
              </w:rPr>
              <w:t>3. Exhibits</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3"/>
        </w:trPr>
        <w:tc>
          <w:tcPr>
            <w:tcW w:w="38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1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240" w:type="dxa"/>
            <w:vAlign w:val="bottom"/>
            <w:gridSpan w:val="1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5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Restated Certificate of Incorporation, as amended. (Incorporated by reference from the Form 10-Q for Regeneron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Pharmaceuticals, Inc. (the "Registrant"), for the quarter ended June 30, 2015, filed August 4, 2015.)</w:t>
              </w:r>
            </w:hyperlink>
          </w:p>
        </w:tc>
        <w:tc>
          <w:tcPr>
            <w:tcW w:w="106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6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202"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Amended and Restated By-Laws. (Incorporated by reference from the Form 8-K for the Registrant filed</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December 21, 2016.)</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 +</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Regeneron Pharmaceuticals, Inc. Second Amended and Restated 2000 Long-Term Incentive Plan. (Incorporated</w:t>
              </w:r>
            </w:hyperlink>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by reference from the Registration Statement on Form S-8 for the Registrant, filed June 13, 2011.)</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380" w:type="dxa"/>
            <w:vAlign w:val="bottom"/>
            <w:tcBorders>
              <w:right w:val="single" w:sz="8" w:color="CCEEFF"/>
            </w:tcBorders>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38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w w:val="94"/>
              </w:rPr>
              <w:t>10.1.1 +</w:t>
            </w:r>
          </w:p>
        </w:tc>
        <w:tc>
          <w:tcPr>
            <w:tcW w:w="500" w:type="dxa"/>
            <w:vAlign w:val="bottom"/>
          </w:tcPr>
          <w:p>
            <w:pPr>
              <w:spacing w:after="0"/>
              <w:rPr>
                <w:sz w:val="17"/>
                <w:szCs w:val="17"/>
                <w:color w:val="auto"/>
              </w:rPr>
            </w:pPr>
          </w:p>
        </w:tc>
        <w:tc>
          <w:tcPr>
            <w:tcW w:w="8240" w:type="dxa"/>
            <w:vAlign w:val="bottom"/>
            <w:gridSpan w:val="12"/>
          </w:tcPr>
          <w:p>
            <w:pPr>
              <w:spacing w:after="0" w:line="202" w:lineRule="exact"/>
              <w:rPr>
                <w:rFonts w:ascii="Arial" w:cs="Arial" w:eastAsia="Arial" w:hAnsi="Arial"/>
                <w:sz w:val="18"/>
                <w:szCs w:val="18"/>
                <w:color w:val="0000FF"/>
                <w:w w:val="98"/>
              </w:rPr>
            </w:pPr>
            <w:hyperlink r:id="rId38">
              <w:r>
                <w:rPr>
                  <w:rFonts w:ascii="Arial" w:cs="Arial" w:eastAsia="Arial" w:hAnsi="Arial"/>
                  <w:sz w:val="18"/>
                  <w:szCs w:val="18"/>
                  <w:color w:val="0000FF"/>
                  <w:w w:val="98"/>
                </w:rPr>
                <w:t>Form of option agreement and related notice of grant for use in connection with the grant of options to the</w:t>
              </w:r>
            </w:hyperlink>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Registrant's non-employee directors and named executive officers under the Regeneron Pharmaceuticals, Inc.</w:t>
              </w:r>
            </w:hyperlink>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Second Amended and Restated 2000 Long-Term Incentive Plan. (Incorporated by reference from the Form 8-K</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for the Registrant, filed December 16, 2005.)</w:t>
              </w:r>
            </w:hyperlink>
          </w:p>
        </w:tc>
        <w:tc>
          <w:tcPr>
            <w:tcW w:w="40" w:type="dxa"/>
            <w:vAlign w:val="bottom"/>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10.1.2 +</w:t>
            </w: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8"/>
              </w:rPr>
            </w:pPr>
            <w:hyperlink r:id="rId39">
              <w:r>
                <w:rPr>
                  <w:rFonts w:ascii="Arial" w:cs="Arial" w:eastAsia="Arial" w:hAnsi="Arial"/>
                  <w:sz w:val="18"/>
                  <w:szCs w:val="18"/>
                  <w:color w:val="0000FF"/>
                  <w:w w:val="98"/>
                </w:rPr>
                <w:t>Form of option agreement and related notice of grant for use in connection with the grant of options to the</w:t>
              </w:r>
            </w:hyperlink>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Registrant's executive officers other than the named executive officers under the Regeneron Pharmaceuticals, Inc.</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Second Amended and Restated 2000 Long-Term Incentive Plan. (Incorporated by reference from the Form 8-K</w:t>
              </w:r>
            </w:hyperlink>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324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for the Registrant, filed December 16, 2005.)</w:t>
              </w:r>
            </w:hyperlink>
          </w:p>
        </w:tc>
        <w:tc>
          <w:tcPr>
            <w:tcW w:w="496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020" w:type="dxa"/>
            <w:vAlign w:val="bottom"/>
            <w:gridSpan w:val="3"/>
          </w:tcPr>
          <w:p>
            <w:pPr>
              <w:ind w:left="380"/>
              <w:spacing w:after="0" w:line="202" w:lineRule="exact"/>
              <w:rPr>
                <w:sz w:val="20"/>
                <w:szCs w:val="20"/>
                <w:color w:val="auto"/>
              </w:rPr>
            </w:pPr>
            <w:r>
              <w:rPr>
                <w:rFonts w:ascii="Arial" w:cs="Arial" w:eastAsia="Arial" w:hAnsi="Arial"/>
                <w:sz w:val="18"/>
                <w:szCs w:val="18"/>
                <w:color w:val="auto"/>
                <w:w w:val="94"/>
              </w:rPr>
              <w:t>10.1.3 +</w:t>
            </w:r>
          </w:p>
        </w:tc>
        <w:tc>
          <w:tcPr>
            <w:tcW w:w="500" w:type="dxa"/>
            <w:vAlign w:val="bottom"/>
          </w:tcPr>
          <w:p>
            <w:pPr>
              <w:spacing w:after="0"/>
              <w:rPr>
                <w:sz w:val="17"/>
                <w:szCs w:val="17"/>
                <w:color w:val="auto"/>
              </w:rPr>
            </w:pPr>
          </w:p>
        </w:tc>
        <w:tc>
          <w:tcPr>
            <w:tcW w:w="8240" w:type="dxa"/>
            <w:vAlign w:val="bottom"/>
            <w:gridSpan w:val="12"/>
          </w:tcPr>
          <w:p>
            <w:pPr>
              <w:spacing w:after="0" w:line="202"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restricted stock awards to the Registrant's executive officers under the Regeneron Pharmaceuticals, Inc. Second</w:t>
              </w:r>
            </w:hyperlink>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Amended and Restated 2000 Long-Term Incentive Plan. (Incorporated by reference from the Form 8-K for the</w:t>
              </w:r>
            </w:hyperlink>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Registrant, filed December 13, 2004.)</w:t>
              </w:r>
            </w:hyperlink>
          </w:p>
        </w:tc>
        <w:tc>
          <w:tcPr>
            <w:tcW w:w="40" w:type="dxa"/>
            <w:vAlign w:val="bottom"/>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10.1.5 +</w:t>
            </w: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Form of option agreement and related notice of grant for use in connection with the grant of time based vesting</w:t>
              </w:r>
            </w:hyperlink>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stock  options  to  the  Registrant's  non-employee  directors  and  executive  officers  under  the  Regeneron</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Pharmaceuticals, Inc. Second Amended and Restated 2000 Long-Term Incentive Plan. (Incorporated by reference</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from the Form 10-Q for the Registrant, for the quarter ended March 31, 2009, filed April 30, 2009.)</w:t>
              </w:r>
            </w:hyperlink>
          </w:p>
        </w:tc>
        <w:tc>
          <w:tcPr>
            <w:tcW w:w="106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1020" w:type="dxa"/>
            <w:vAlign w:val="bottom"/>
            <w:gridSpan w:val="3"/>
          </w:tcPr>
          <w:p>
            <w:pPr>
              <w:ind w:left="380"/>
              <w:spacing w:after="0" w:line="202" w:lineRule="exact"/>
              <w:rPr>
                <w:sz w:val="20"/>
                <w:szCs w:val="20"/>
                <w:color w:val="auto"/>
              </w:rPr>
            </w:pPr>
            <w:r>
              <w:rPr>
                <w:rFonts w:ascii="Arial" w:cs="Arial" w:eastAsia="Arial" w:hAnsi="Arial"/>
                <w:sz w:val="18"/>
                <w:szCs w:val="18"/>
                <w:color w:val="auto"/>
                <w:w w:val="94"/>
              </w:rPr>
              <w:t>10.1.6 +</w:t>
            </w: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202"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Form of option agreement and related notice of grant for use in connection with the grant of performance based</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vesting stock options to the Registrant's executive officers under the Regeneron Pharmaceuticals, Inc. Second</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Amended and Restated 2000 Long-Term Incentive Plan. (Incorporated by reference from the Form 10-Q for the</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Registrant, for the quarter ended March 31, 2009, filed April 30, 2009.)</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10.1.7 +</w:t>
            </w: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restricted stock awards to the Registrant's executive officers under the Regeneron Pharmaceuticals, Inc. Second</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Amended and Restated 2000 Long-Term Incentive Plan (revised). (Incorporated by reference from the Form 10-</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K for the Registrant, for the year ended December 31, 2010, filed February 17, 2011.)</w:t>
              </w:r>
            </w:hyperlink>
          </w:p>
        </w:tc>
        <w:tc>
          <w:tcPr>
            <w:tcW w:w="206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1020" w:type="dxa"/>
            <w:vAlign w:val="bottom"/>
            <w:gridSpan w:val="3"/>
          </w:tcPr>
          <w:p>
            <w:pPr>
              <w:ind w:left="380"/>
              <w:spacing w:after="0" w:line="202" w:lineRule="exact"/>
              <w:rPr>
                <w:sz w:val="20"/>
                <w:szCs w:val="20"/>
                <w:color w:val="auto"/>
              </w:rPr>
            </w:pPr>
            <w:r>
              <w:rPr>
                <w:rFonts w:ascii="Arial" w:cs="Arial" w:eastAsia="Arial" w:hAnsi="Arial"/>
                <w:sz w:val="18"/>
                <w:szCs w:val="18"/>
                <w:color w:val="auto"/>
                <w:w w:val="94"/>
              </w:rPr>
              <w:t>10.1.8 +</w:t>
            </w: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202"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Form of option agreement and related notice of grant for use in connection with the grant of performance based</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vesting stock options to the Registrant's executive officers under the Regeneron Pharmaceuticals, Inc. Second</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Amended and Restated 2000 Long-Term Incentive Plan (revised). (Incorporated by reference from the Form 10-</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K for the Registrant, for the year ended December 31, 2010, filed February 17, 2011.)</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9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10.1.9 +</w:t>
            </w: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Form of option agreement and related notice of grant for use in connection with the grant of time based vesting</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stock options to the Registrant's non-employee directors under the Regeneron Pharmaceuticals, Inc. Second</w:t>
              </w:r>
            </w:hyperlink>
          </w:p>
        </w:tc>
      </w:tr>
      <w:tr>
        <w:trPr>
          <w:trHeight w:val="20"/>
        </w:trPr>
        <w:tc>
          <w:tcPr>
            <w:tcW w:w="380" w:type="dxa"/>
            <w:vAlign w:val="bottom"/>
            <w:tcBorders>
              <w:right w:val="single" w:sz="8" w:color="CCEEFF"/>
            </w:tcBorders>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380" w:type="dxa"/>
            <w:vAlign w:val="bottom"/>
            <w:tcBorders>
              <w:right w:val="single" w:sz="8" w:color="CCEEFF"/>
            </w:tcBorders>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Amended and Restated 2000 Long-Term Incentive Plan (revised). (Incorporated by reference from the Form 10-</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K for the Registrant, for the year ended December 31, 2011, filed February 21, 2012.)</w:t>
              </w:r>
            </w:hyperlink>
          </w:p>
        </w:tc>
        <w:tc>
          <w:tcPr>
            <w:tcW w:w="206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1520" w:type="dxa"/>
            <w:vAlign w:val="bottom"/>
            <w:gridSpan w:val="4"/>
          </w:tcPr>
          <w:p>
            <w:pPr>
              <w:ind w:left="380"/>
              <w:spacing w:after="0" w:line="202" w:lineRule="exact"/>
              <w:rPr>
                <w:sz w:val="20"/>
                <w:szCs w:val="20"/>
                <w:color w:val="auto"/>
              </w:rPr>
            </w:pPr>
            <w:r>
              <w:rPr>
                <w:rFonts w:ascii="Arial" w:cs="Arial" w:eastAsia="Arial" w:hAnsi="Arial"/>
                <w:sz w:val="18"/>
                <w:szCs w:val="18"/>
                <w:color w:val="auto"/>
              </w:rPr>
              <w:t>10.1.10 +</w:t>
            </w:r>
          </w:p>
        </w:tc>
        <w:tc>
          <w:tcPr>
            <w:tcW w:w="8200" w:type="dxa"/>
            <w:vAlign w:val="bottom"/>
            <w:tcBorders>
              <w:bottom w:val="single" w:sz="8" w:color="0000FF"/>
            </w:tcBorders>
            <w:gridSpan w:val="11"/>
          </w:tcPr>
          <w:p>
            <w:pPr>
              <w:spacing w:after="0" w:line="202"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Amendment No. 1 to the Regeneron Pharmaceuticals, Inc. Second Amended and Restated 2000 Long-Term</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Incentive Plan. (Incorporated by reference from the Form 10-K for the Registrant, for the year ended December</w:t>
              </w:r>
            </w:hyperlink>
          </w:p>
        </w:tc>
        <w:tc>
          <w:tcPr>
            <w:tcW w:w="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31, 2013, filed February 13, 2014.)</w:t>
              </w:r>
            </w:hyperlink>
          </w:p>
        </w:tc>
      </w:tr>
      <w:tr>
        <w:trPr>
          <w:trHeight w:val="48"/>
        </w:trPr>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8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10.2 +</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40" w:type="dxa"/>
            <w:vAlign w:val="bottom"/>
            <w:gridSpan w:val="12"/>
            <w:shd w:val="clear" w:color="auto" w:fill="CCEEFF"/>
          </w:tcPr>
          <w:p>
            <w:pPr>
              <w:spacing w:after="0" w:line="202"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Amended and Restated Regeneron Pharmaceuticals, Inc. 2014 Long-Term Incentive Plan. (Incorporated by</w:t>
              </w:r>
            </w:hyperlink>
          </w:p>
        </w:tc>
      </w:tr>
      <w:tr>
        <w:trPr>
          <w:trHeight w:val="244"/>
        </w:trPr>
        <w:tc>
          <w:tcPr>
            <w:tcW w:w="380" w:type="dxa"/>
            <w:vAlign w:val="bottom"/>
            <w:tcBorders>
              <w:right w:val="single" w:sz="8" w:color="CCEEFF"/>
            </w:tcBorders>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20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reference from the Registration Statement on Form S-8 for the Registrant, filed June 12, 2017.)</w:t>
              </w:r>
            </w:hyperlink>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r>
      <w:tr>
        <w:trPr>
          <w:trHeight w:val="459"/>
        </w:trPr>
        <w:tc>
          <w:tcPr>
            <w:tcW w:w="380" w:type="dxa"/>
            <w:vAlign w:val="bottom"/>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140" w:type="dxa"/>
            <w:vAlign w:val="bottom"/>
            <w:tcBorders>
              <w:top w:val="single" w:sz="8" w:color="0000FF"/>
            </w:tcBorders>
            <w:gridSpan w:val="6"/>
          </w:tcPr>
          <w:p>
            <w:pPr>
              <w:ind w:left="3440"/>
              <w:spacing w:after="0"/>
              <w:rPr>
                <w:sz w:val="20"/>
                <w:szCs w:val="20"/>
                <w:color w:val="auto"/>
              </w:rPr>
            </w:pPr>
            <w:r>
              <w:rPr>
                <w:rFonts w:ascii="Arial" w:cs="Arial" w:eastAsia="Arial" w:hAnsi="Arial"/>
                <w:sz w:val="18"/>
                <w:szCs w:val="18"/>
                <w:color w:val="auto"/>
              </w:rPr>
              <w:t>79</w:t>
            </w:r>
          </w:p>
        </w:tc>
        <w:tc>
          <w:tcPr>
            <w:tcW w:w="10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10.2.1 +</w:t>
      </w:r>
      <w:r>
        <w:rPr>
          <w:sz w:val="20"/>
          <w:szCs w:val="20"/>
          <w:color w:val="auto"/>
        </w:rPr>
        <w:tab/>
      </w:r>
      <w:hyperlink r:id="rId48">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stock options to the Registrant's executive officers under the Regeneron Pharmaceuticals, Inc. 2014 Long-Term</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596900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5969000" cy="445770"/>
                    </a:xfrm>
                    <a:prstGeom prst="rect">
                      <a:avLst/>
                    </a:prstGeom>
                    <a:noFill/>
                  </pic:spPr>
                </pic:pic>
              </a:graphicData>
            </a:graphic>
          </wp:anchor>
        </w:drawing>
      </w:r>
    </w:p>
    <w:p>
      <w:pPr>
        <w:jc w:val="both"/>
        <w:ind w:left="2180" w:hanging="1133"/>
        <w:spacing w:after="0" w:line="286" w:lineRule="auto"/>
        <w:tabs>
          <w:tab w:leader="none" w:pos="2160" w:val="left"/>
        </w:tabs>
        <w:rPr>
          <w:rFonts w:ascii="Arial" w:cs="Arial" w:eastAsia="Arial" w:hAnsi="Arial"/>
          <w:sz w:val="17"/>
          <w:szCs w:val="17"/>
          <w:u w:val="single" w:color="auto"/>
          <w:color w:val="0000FF"/>
        </w:rPr>
      </w:pPr>
      <w:r>
        <w:rPr>
          <w:rFonts w:ascii="Arial" w:cs="Arial" w:eastAsia="Arial" w:hAnsi="Arial"/>
          <w:sz w:val="18"/>
          <w:szCs w:val="18"/>
          <w:color w:val="auto"/>
        </w:rPr>
        <w:t>10.2.2 +</w:t>
      </w:r>
      <w:r>
        <w:rPr>
          <w:sz w:val="20"/>
          <w:szCs w:val="20"/>
          <w:color w:val="auto"/>
        </w:rPr>
        <w:tab/>
      </w:r>
      <w:hyperlink r:id="rId50">
        <w:r>
          <w:rPr>
            <w:rFonts w:ascii="Arial" w:cs="Arial" w:eastAsia="Arial" w:hAnsi="Arial"/>
            <w:sz w:val="17"/>
            <w:szCs w:val="17"/>
            <w:u w:val="single" w:color="auto"/>
            <w:color w:val="0000FF"/>
          </w:rPr>
          <w:t>Form of stock option agreement and related notice of grant for use in connection with the grant of incentive stock</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options to the Registrant's executive officers under the Regeneron Pharmaceuticals, Inc. 2014 Long-Term</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Incentive Plan. (Incorporated by reference from the Form 8-K for the Registrant, filed June 18, 2014.)</w:t>
        </w:r>
      </w:hyperlink>
    </w:p>
    <w:p>
      <w:pPr>
        <w:spacing w:after="0" w:line="3" w:lineRule="exact"/>
        <w:rPr>
          <w:rFonts w:ascii="Arial" w:cs="Arial" w:eastAsia="Arial" w:hAnsi="Arial"/>
          <w:sz w:val="17"/>
          <w:szCs w:val="17"/>
          <w:u w:val="single" w:color="auto"/>
          <w:color w:val="0000FF"/>
        </w:rPr>
      </w:pP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10.2.3 +</w:t>
      </w:r>
      <w:r>
        <w:rPr>
          <w:sz w:val="20"/>
          <w:szCs w:val="20"/>
          <w:color w:val="auto"/>
        </w:rPr>
        <w:tab/>
      </w:r>
      <w:hyperlink r:id="rId51">
        <w:r>
          <w:rPr>
            <w:rFonts w:ascii="Arial" w:cs="Arial" w:eastAsia="Arial" w:hAnsi="Arial"/>
            <w:sz w:val="16"/>
            <w:szCs w:val="16"/>
            <w:u w:val="single" w:color="auto"/>
            <w:color w:val="0000FF"/>
          </w:rPr>
          <w:t>Form of restricted stock award agreement and related notice of grant for use in connection with the grant of</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restricted stock awards to the Registrant's executive officers under the Regeneron Pharmaceuticals, Inc. 2014</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Long-Term Incentive Plan. (Incorporated by reference from the Form 8-K for the Registrant, filed June 18, 2014.)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-6985</wp:posOffset>
            </wp:positionV>
            <wp:extent cx="596900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5969000" cy="445770"/>
                    </a:xfrm>
                    <a:prstGeom prst="rect">
                      <a:avLst/>
                    </a:prstGeom>
                    <a:noFill/>
                  </pic:spPr>
                </pic:pic>
              </a:graphicData>
            </a:graphic>
          </wp:anchor>
        </w:drawing>
      </w:r>
    </w:p>
    <w:p>
      <w:pPr>
        <w:jc w:val="both"/>
        <w:ind w:left="2180" w:hanging="1133"/>
        <w:spacing w:after="0" w:line="305" w:lineRule="auto"/>
        <w:tabs>
          <w:tab w:leader="none" w:pos="2160" w:val="left"/>
        </w:tabs>
        <w:rPr>
          <w:rFonts w:ascii="Arial" w:cs="Arial" w:eastAsia="Arial" w:hAnsi="Arial"/>
          <w:sz w:val="16"/>
          <w:szCs w:val="16"/>
          <w:u w:val="single" w:color="auto"/>
          <w:color w:val="0000FF"/>
        </w:rPr>
      </w:pPr>
      <w:r>
        <w:rPr>
          <w:rFonts w:ascii="Arial" w:cs="Arial" w:eastAsia="Arial" w:hAnsi="Arial"/>
          <w:sz w:val="18"/>
          <w:szCs w:val="18"/>
          <w:color w:val="auto"/>
        </w:rPr>
        <w:t>10.2.4 +</w:t>
      </w:r>
      <w:r>
        <w:rPr>
          <w:sz w:val="20"/>
          <w:szCs w:val="20"/>
          <w:color w:val="auto"/>
        </w:rPr>
        <w:tab/>
      </w:r>
      <w:hyperlink r:id="rId53">
        <w:r>
          <w:rPr>
            <w:rFonts w:ascii="Arial" w:cs="Arial" w:eastAsia="Arial" w:hAnsi="Arial"/>
            <w:sz w:val="16"/>
            <w:szCs w:val="16"/>
            <w:u w:val="single" w:color="auto"/>
            <w:color w:val="0000FF"/>
          </w:rPr>
          <w:t>Form of stock option agreement and related notice of grant for use in connection with the grant of non-qualified</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stock options to the Registrant's non-employee directors under the Regeneron Pharmaceuticals, Inc. 2014 Long-</w:t>
        </w:r>
      </w:hyperlink>
      <w:hyperlink r:id="rId53">
        <w:r>
          <w:rPr>
            <w:rFonts w:ascii="Arial" w:cs="Arial" w:eastAsia="Arial" w:hAnsi="Arial"/>
            <w:sz w:val="16"/>
            <w:szCs w:val="16"/>
            <w:u w:val="single" w:color="auto"/>
            <w:color w:val="0000FF"/>
          </w:rPr>
          <w:t>Term Incentive Plan. (Incorporated by reference from the Form 8-K for the Registrant, filed June 18, 2014.)</w:t>
        </w:r>
      </w:hyperlink>
    </w:p>
    <w:p>
      <w:pPr>
        <w:spacing w:after="0" w:line="1" w:lineRule="exact"/>
        <w:rPr>
          <w:rFonts w:ascii="Arial" w:cs="Arial" w:eastAsia="Arial" w:hAnsi="Arial"/>
          <w:sz w:val="16"/>
          <w:szCs w:val="16"/>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10.2.5 +</w:t>
      </w:r>
      <w:r>
        <w:rPr>
          <w:sz w:val="20"/>
          <w:szCs w:val="20"/>
          <w:color w:val="auto"/>
        </w:rPr>
        <w:tab/>
      </w:r>
      <w:hyperlink r:id="rId54">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stock options to P. Roy Vagelos, M.D. under the Regeneron Pharmaceuticals, Inc. 2014 Long-Term Incentive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Plan. (Incorporated by reference from the Form 10-K for the Registrant, for the year ended December 31, 2015,</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filed February 11,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56">
        <w:r>
          <w:rPr>
            <w:rFonts w:ascii="Arial" w:cs="Arial" w:eastAsia="Arial" w:hAnsi="Arial"/>
            <w:sz w:val="18"/>
            <w:szCs w:val="18"/>
            <w:u w:val="single" w:color="auto"/>
            <w:color w:val="0000FF"/>
          </w:rPr>
          <w:t>Form of stock option agreement and related notice of grant for use in connection with the grant of incentive stock</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options to P. Roy Vagelos, M.D. under the Regeneron Pharmaceuticals, Inc. 2014 Long-Term Incentive Plan.</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(Incorporated by reference from the Form 10-K for the Registrant, for the year ended December 31, 2015, filed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February 11, 2016.)</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10.2.7 +</w:t>
      </w:r>
      <w:r>
        <w:rPr>
          <w:sz w:val="20"/>
          <w:szCs w:val="20"/>
          <w:color w:val="auto"/>
        </w:rPr>
        <w:tab/>
      </w:r>
      <w:hyperlink r:id="rId57">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stock options to the Registrant's executive officers under the Regeneron Pharmaceuticals, Inc. 2014 Long-Term</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Incentive Plan (revised). (Incorporated by reference from the Form 8-K for the Registrant, filed November 19,</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59">
        <w:r>
          <w:rPr>
            <w:rFonts w:ascii="Arial" w:cs="Arial" w:eastAsia="Arial" w:hAnsi="Arial"/>
            <w:sz w:val="18"/>
            <w:szCs w:val="18"/>
            <w:u w:val="single" w:color="auto"/>
            <w:color w:val="0000FF"/>
          </w:rPr>
          <w:t>Form of stock option agreement and related notice of grant for use in connection with the grant of incentive stock</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options to the Registrant's executive officers under the Regeneron Pharmaceuticals, Inc. 2014 Long-Term</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Incentive Plan (revised). (Incorporated by reference from the Form 8-K for the Registrant, filed November 19,</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2015.)</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60">
        <w:r>
          <w:rPr>
            <w:rFonts w:ascii="Arial" w:cs="Arial" w:eastAsia="Arial" w:hAnsi="Arial"/>
            <w:sz w:val="18"/>
            <w:szCs w:val="18"/>
            <w:u w:val="single" w:color="auto"/>
            <w:color w:val="0000FF"/>
          </w:rPr>
          <w:t>Form of restricted stock award agreement and related notice of grant for use in connection with the grant of</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restricted stock awards to the Registrant's executive officers under the Regeneron Pharmaceuticals, Inc. 2014</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Long-Term Incentive Plan (revised). (Incorporated by reference from the Form 8-K for the Registrant, filed</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November 19,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10.2.10 +</w:t>
      </w:r>
      <w:r>
        <w:rPr>
          <w:sz w:val="20"/>
          <w:szCs w:val="20"/>
          <w:color w:val="auto"/>
        </w:rPr>
        <w:tab/>
      </w:r>
      <w:hyperlink r:id="rId62">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stock options to the Registrant's non-employee directors under the Regeneron Pharmaceuticals, Inc. 2014 Long-</w:t>
        </w:r>
      </w:hyperlink>
      <w:hyperlink r:id="rId62">
        <w:r>
          <w:rPr>
            <w:rFonts w:ascii="Arial" w:cs="Arial" w:eastAsia="Arial" w:hAnsi="Arial"/>
            <w:sz w:val="18"/>
            <w:szCs w:val="18"/>
            <w:u w:val="single" w:color="auto"/>
            <w:color w:val="0000FF"/>
          </w:rPr>
          <w:t>Term Incentive Plan (revised). (Incorporated by reference from the Form 10-K for the Registrant, for the year</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ended December 31, 2015, filed February 11, 2016.)</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10.2.11 +</w:t>
      </w:r>
      <w:r>
        <w:rPr>
          <w:sz w:val="20"/>
          <w:szCs w:val="20"/>
          <w:color w:val="auto"/>
        </w:rPr>
        <w:tab/>
      </w:r>
      <w:hyperlink r:id="rId63">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stock options to the Registrant's executive officers under the Amended and Restated Regeneron Pharmaceuticals,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 2014 Long-Term Incentive Plan. (Incorporated by reference from the Form 10-K for the Registrant, for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year ended 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10.2.12 +</w:t>
      </w:r>
      <w:r>
        <w:rPr>
          <w:sz w:val="20"/>
          <w:szCs w:val="20"/>
          <w:color w:val="auto"/>
        </w:rPr>
        <w:tab/>
      </w:r>
      <w:hyperlink r:id="rId65">
        <w:r>
          <w:rPr>
            <w:rFonts w:ascii="Arial" w:cs="Arial" w:eastAsia="Arial" w:hAnsi="Arial"/>
            <w:sz w:val="18"/>
            <w:szCs w:val="18"/>
            <w:u w:val="single" w:color="auto"/>
            <w:color w:val="0000FF"/>
          </w:rPr>
          <w:t>Form of stock option agreement and related notice of grant for use in connection with the grant of incentive stock</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options to the Registrant's executive officers under the Amended and Restated Regeneron Pharmaceuticals, Inc.</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2014 Long-Term Incentive Plan. (Incorporated by reference from the Form 10-K for the Registrant, for the year</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ended December 31, 2017, filed February 8, 2018.)</w:t>
        </w:r>
      </w:hyperlink>
    </w:p>
    <w:p>
      <w:pPr>
        <w:spacing w:after="0" w:line="2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10.2.13 +</w:t>
      </w:r>
      <w:r>
        <w:rPr>
          <w:sz w:val="20"/>
          <w:szCs w:val="20"/>
          <w:color w:val="auto"/>
        </w:rPr>
        <w:tab/>
      </w:r>
      <w:hyperlink r:id="rId66">
        <w:r>
          <w:rPr>
            <w:rFonts w:ascii="Arial" w:cs="Arial" w:eastAsia="Arial" w:hAnsi="Arial"/>
            <w:sz w:val="18"/>
            <w:szCs w:val="18"/>
            <w:u w:val="single" w:color="auto"/>
            <w:color w:val="0000FF"/>
          </w:rPr>
          <w:t>Form of stock option agreement and related notice of grant for use in connection with the grant of non-qualified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stock options to P. Roy Vagelos, M.D. under the Amended and Restated Regeneron Pharmaceuticals, Inc. 2014</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Long-Term Incentive Plan. (Incorporated by reference from the Form 10-K for the Registrant, for the year ended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December 31, 2017, filed February 8,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5969000" cy="58293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2180" w:hanging="1133"/>
        <w:spacing w:after="0" w:line="259" w:lineRule="auto"/>
        <w:tabs>
          <w:tab w:leader="none" w:pos="2160" w:val="left"/>
        </w:tabs>
        <w:rPr>
          <w:rFonts w:ascii="Arial" w:cs="Arial" w:eastAsia="Arial" w:hAnsi="Arial"/>
          <w:sz w:val="18"/>
          <w:szCs w:val="18"/>
          <w:u w:val="single" w:color="auto"/>
          <w:color w:val="0000FF"/>
        </w:rPr>
      </w:pPr>
      <w:r>
        <w:rPr>
          <w:rFonts w:ascii="Arial" w:cs="Arial" w:eastAsia="Arial" w:hAnsi="Arial"/>
          <w:sz w:val="18"/>
          <w:szCs w:val="18"/>
          <w:color w:val="auto"/>
        </w:rPr>
        <w:t>10.2.14 +</w:t>
      </w:r>
      <w:r>
        <w:rPr>
          <w:sz w:val="20"/>
          <w:szCs w:val="20"/>
          <w:color w:val="auto"/>
        </w:rPr>
        <w:tab/>
      </w:r>
      <w:hyperlink r:id="rId68">
        <w:r>
          <w:rPr>
            <w:rFonts w:ascii="Arial" w:cs="Arial" w:eastAsia="Arial" w:hAnsi="Arial"/>
            <w:sz w:val="18"/>
            <w:szCs w:val="18"/>
            <w:u w:val="single" w:color="auto"/>
            <w:color w:val="0000FF"/>
          </w:rPr>
          <w:t>Form of stock option agreement and related notice of grant for use in connection with the grant of incentive stock</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options to P. Roy Vagelos, M.D. under the Amended and Restated Regeneron Pharmaceuticals, Inc. 2014 Long-</w:t>
        </w:r>
      </w:hyperlink>
      <w:hyperlink r:id="rId68">
        <w:r>
          <w:rPr>
            <w:rFonts w:ascii="Arial" w:cs="Arial" w:eastAsia="Arial" w:hAnsi="Arial"/>
            <w:sz w:val="18"/>
            <w:szCs w:val="18"/>
            <w:u w:val="single" w:color="auto"/>
            <w:color w:val="0000FF"/>
          </w:rPr>
          <w:t>Term Incentive Plan. (Incorporated by reference from the Form 10-K for the Registrant, for the year ended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December 31, 2017, filed February 8, 2018.)</w:t>
        </w:r>
      </w:hyperlink>
    </w:p>
    <w:p>
      <w:pPr>
        <w:spacing w:after="0" w:line="241"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380"/>
          </w:cols>
          <w:pgMar w:left="240" w:top="130" w:right="12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180" w:type="dxa"/>
            <w:vAlign w:val="bottom"/>
            <w:gridSpan w:val="3"/>
          </w:tcPr>
          <w:p>
            <w:pPr>
              <w:ind w:left="1040"/>
              <w:spacing w:after="0"/>
              <w:rPr>
                <w:sz w:val="20"/>
                <w:szCs w:val="20"/>
                <w:color w:val="auto"/>
              </w:rPr>
            </w:pPr>
            <w:r>
              <w:rPr>
                <w:rFonts w:ascii="Arial" w:cs="Arial" w:eastAsia="Arial" w:hAnsi="Arial"/>
                <w:sz w:val="18"/>
                <w:szCs w:val="18"/>
                <w:color w:val="auto"/>
              </w:rPr>
              <w:t>10.2.15 +</w:t>
            </w:r>
          </w:p>
        </w:tc>
        <w:tc>
          <w:tcPr>
            <w:tcW w:w="8240" w:type="dxa"/>
            <w:vAlign w:val="bottom"/>
            <w:gridSpan w:val="17"/>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restricted stock awards to the Registrant's executive officers under the Amended and Restated Regeneron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Pharmaceuticals, Inc. 2014 Long-Term Incentive Plan. (Incorporated by reference from the Form 10-K for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Registrant, for the year ended December 31, 2017, filed February 8, 2018.)</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10.2.16 +</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stock  options  to  the  Registrant's  non-employee  directors  under  the  Amended  and  Restated  Regeneron</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Pharmaceuticals, Inc. 2014 Long-Term Incentive Plan. (Incorporated by reference from the Form 10-K for the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Registrant, for the year ended December 31, 2017, filed February 8, 2018.)</w:t>
              </w:r>
            </w:hyperlink>
          </w:p>
        </w:tc>
        <w:tc>
          <w:tcPr>
            <w:tcW w:w="284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10.2.17 +</w:t>
            </w:r>
          </w:p>
        </w:tc>
        <w:tc>
          <w:tcPr>
            <w:tcW w:w="8240" w:type="dxa"/>
            <w:vAlign w:val="bottom"/>
            <w:gridSpan w:val="17"/>
          </w:tcPr>
          <w:p>
            <w:pPr>
              <w:spacing w:after="0" w:line="202" w:lineRule="exact"/>
              <w:rPr>
                <w:rFonts w:ascii="Arial" w:cs="Arial" w:eastAsia="Arial" w:hAnsi="Arial"/>
                <w:sz w:val="18"/>
                <w:szCs w:val="18"/>
                <w:color w:val="0000FF"/>
                <w:w w:val="93"/>
              </w:rPr>
            </w:pPr>
            <w:hyperlink w:anchor="page134">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89"/>
              </w:rPr>
            </w:pPr>
            <w:hyperlink w:anchor="page134">
              <w:r>
                <w:rPr>
                  <w:rFonts w:ascii="Arial" w:cs="Arial" w:eastAsia="Arial" w:hAnsi="Arial"/>
                  <w:sz w:val="18"/>
                  <w:szCs w:val="18"/>
                  <w:color w:val="0000FF"/>
                  <w:w w:val="89"/>
                </w:rPr>
                <w:t>stock options to the Registrant's executive officers under the Amended and Restated Regeneron Pharmaceuticals,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Inc. 2014 Long-Term Incentive Plan (revised).</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10.2.18 +</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3"/>
              </w:rPr>
            </w:pPr>
            <w:hyperlink w:anchor="page139">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w w:val="91"/>
              </w:rPr>
            </w:pPr>
            <w:hyperlink w:anchor="page139">
              <w:r>
                <w:rPr>
                  <w:rFonts w:ascii="Arial" w:cs="Arial" w:eastAsia="Arial" w:hAnsi="Arial"/>
                  <w:sz w:val="18"/>
                  <w:szCs w:val="18"/>
                  <w:color w:val="0000FF"/>
                  <w:w w:val="91"/>
                </w:rPr>
                <w:t>stock options to P. Roy Vagelos, M.D. under the Amended and Restated Regeneron Pharmaceuticals, Inc. 2014</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rPr>
            </w:pPr>
            <w:hyperlink w:anchor="page139">
              <w:r>
                <w:rPr>
                  <w:rFonts w:ascii="Arial" w:cs="Arial" w:eastAsia="Arial" w:hAnsi="Arial"/>
                  <w:sz w:val="18"/>
                  <w:szCs w:val="18"/>
                  <w:color w:val="0000FF"/>
                </w:rPr>
                <w:t>Long-Term Incentive Plan (revised).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10.2.19 +</w:t>
            </w:r>
          </w:p>
        </w:tc>
        <w:tc>
          <w:tcPr>
            <w:tcW w:w="8240" w:type="dxa"/>
            <w:vAlign w:val="bottom"/>
            <w:gridSpan w:val="17"/>
          </w:tcPr>
          <w:p>
            <w:pPr>
              <w:spacing w:after="0" w:line="202" w:lineRule="exact"/>
              <w:rPr>
                <w:rFonts w:ascii="Arial" w:cs="Arial" w:eastAsia="Arial" w:hAnsi="Arial"/>
                <w:sz w:val="18"/>
                <w:szCs w:val="18"/>
                <w:color w:val="0000FF"/>
                <w:w w:val="96"/>
              </w:rPr>
            </w:pPr>
            <w:hyperlink w:anchor="page143">
              <w:r>
                <w:rPr>
                  <w:rFonts w:ascii="Arial" w:cs="Arial" w:eastAsia="Arial" w:hAnsi="Arial"/>
                  <w:sz w:val="18"/>
                  <w:szCs w:val="18"/>
                  <w:color w:val="0000FF"/>
                  <w:w w:val="96"/>
                </w:rPr>
                <w:t>Form of restricted stock award agreement and related notice of grant for use in connection with the grant of</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w w:val="97"/>
              </w:rPr>
            </w:pPr>
            <w:hyperlink w:anchor="page143">
              <w:r>
                <w:rPr>
                  <w:rFonts w:ascii="Arial" w:cs="Arial" w:eastAsia="Arial" w:hAnsi="Arial"/>
                  <w:sz w:val="18"/>
                  <w:szCs w:val="18"/>
                  <w:color w:val="0000FF"/>
                  <w:w w:val="97"/>
                </w:rPr>
                <w:t>restricted stock awards to the Registrant's executive officers under the Amended and Restated Regeneron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43">
              <w:r>
                <w:rPr>
                  <w:rFonts w:ascii="Arial" w:cs="Arial" w:eastAsia="Arial" w:hAnsi="Arial"/>
                  <w:sz w:val="18"/>
                  <w:szCs w:val="18"/>
                  <w:color w:val="0000FF"/>
                </w:rPr>
                <w:t>Pharmaceuticals, Inc. 2014 Long-Term Incentive Plan (revised).</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10.2.20 +</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3"/>
              </w:rPr>
            </w:pPr>
            <w:hyperlink w:anchor="page148">
              <w:r>
                <w:rPr>
                  <w:rFonts w:ascii="Arial" w:cs="Arial" w:eastAsia="Arial" w:hAnsi="Arial"/>
                  <w:sz w:val="18"/>
                  <w:szCs w:val="18"/>
                  <w:color w:val="0000FF"/>
                  <w:w w:val="93"/>
                </w:rPr>
                <w:t>Form of stock option agreement and related notice of grant for use in connection with the grant of non-qualified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w w:val="93"/>
              </w:rPr>
            </w:pPr>
            <w:hyperlink w:anchor="page148">
              <w:r>
                <w:rPr>
                  <w:rFonts w:ascii="Arial" w:cs="Arial" w:eastAsia="Arial" w:hAnsi="Arial"/>
                  <w:sz w:val="18"/>
                  <w:szCs w:val="18"/>
                  <w:color w:val="0000FF"/>
                  <w:w w:val="93"/>
                </w:rPr>
                <w:t>stock  options  to  the  Registrant's  non-employee  directors  under  the  Amended  and  Restated  Regeneron</w:t>
              </w:r>
            </w:hyperlink>
          </w:p>
        </w:tc>
      </w:tr>
      <w:tr>
        <w:trPr>
          <w:trHeight w:val="244"/>
        </w:trPr>
        <w:tc>
          <w:tcPr>
            <w:tcW w:w="1020" w:type="dxa"/>
            <w:vAlign w:val="bottom"/>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462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0"/>
              </w:rPr>
            </w:pPr>
            <w:hyperlink w:anchor="page148">
              <w:r>
                <w:rPr>
                  <w:rFonts w:ascii="Arial" w:cs="Arial" w:eastAsia="Arial" w:hAnsi="Arial"/>
                  <w:sz w:val="18"/>
                  <w:szCs w:val="18"/>
                  <w:color w:val="0000FF"/>
                  <w:w w:val="90"/>
                </w:rPr>
                <w:t>Pharmaceuticals, Inc. 2014 Long-Term Incentive Plan (revised).</w:t>
              </w:r>
            </w:hyperlink>
          </w:p>
        </w:tc>
        <w:tc>
          <w:tcPr>
            <w:tcW w:w="3580" w:type="dxa"/>
            <w:vAlign w:val="bottom"/>
            <w:tcBorders>
              <w:top w:val="single" w:sz="8" w:color="0000FF"/>
              <w:bottom w:val="single" w:sz="8" w:color="CCEEFF"/>
              <w:right w:val="single" w:sz="8" w:color="CCEEFF"/>
            </w:tcBorders>
            <w:gridSpan w:val="5"/>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10.2.21 +</w:t>
            </w:r>
          </w:p>
        </w:tc>
        <w:tc>
          <w:tcPr>
            <w:tcW w:w="8200" w:type="dxa"/>
            <w:vAlign w:val="bottom"/>
            <w:tcBorders>
              <w:bottom w:val="single" w:sz="8" w:color="0000FF"/>
            </w:tcBorders>
            <w:gridSpan w:val="16"/>
          </w:tcPr>
          <w:p>
            <w:pPr>
              <w:spacing w:after="0" w:line="202" w:lineRule="exact"/>
              <w:rPr>
                <w:rFonts w:ascii="Arial" w:cs="Arial" w:eastAsia="Arial" w:hAnsi="Arial"/>
                <w:sz w:val="18"/>
                <w:szCs w:val="18"/>
                <w:color w:val="0000FF"/>
                <w:w w:val="92"/>
              </w:rPr>
            </w:pPr>
            <w:hyperlink w:anchor="page152">
              <w:r>
                <w:rPr>
                  <w:rFonts w:ascii="Arial" w:cs="Arial" w:eastAsia="Arial" w:hAnsi="Arial"/>
                  <w:sz w:val="18"/>
                  <w:szCs w:val="18"/>
                  <w:color w:val="0000FF"/>
                  <w:w w:val="92"/>
                </w:rPr>
                <w:t>Form of restricted stock unit award agreement and related notice of grant for use in connection with the grant of</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restricted stock units to the Registrant's non-employee directors under the Amended and Restated Regeneron</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rPr>
            </w:pPr>
            <w:hyperlink w:anchor="page152">
              <w:r>
                <w:rPr>
                  <w:rFonts w:ascii="Arial" w:cs="Arial" w:eastAsia="Arial" w:hAnsi="Arial"/>
                  <w:sz w:val="18"/>
                  <w:szCs w:val="18"/>
                  <w:color w:val="0000FF"/>
                </w:rPr>
                <w:t>Pharmaceuticals, Inc. 2014 Long-Term Incentive Plan (revised).</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10.3 +</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Amended and Restated Employment Agreement, dated as of November 14, 2008, between the Registrant and</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Leonard S. Schleifer, M.D., Ph.D. (Incorporated by reference from the Form 10-K for the Registrant, for the year</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ended December 31, 2008, filed February 26, 2009.)</w:t>
              </w:r>
            </w:hyperlink>
          </w:p>
        </w:tc>
        <w:tc>
          <w:tcPr>
            <w:tcW w:w="446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10.4* +</w:t>
            </w:r>
          </w:p>
        </w:tc>
        <w:tc>
          <w:tcPr>
            <w:tcW w:w="8240" w:type="dxa"/>
            <w:vAlign w:val="bottom"/>
            <w:gridSpan w:val="17"/>
          </w:tcPr>
          <w:p>
            <w:pPr>
              <w:spacing w:after="0" w:line="202"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Employment Agreement, dated as of December 31, 1998, between the Registrant and P. Roy Vagelos, M.D.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(Incorporated by reference from the Form 10-K for the Registrant, for the year ended December 31, 2004, filed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March 11, 2005.)</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10.5 +</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Offer Letter for Robert E. Landry effective September 9, 2013. (Incorporated by reference from the Form 8-K for</w:t>
              </w:r>
            </w:hyperlink>
          </w:p>
        </w:tc>
      </w:tr>
      <w:tr>
        <w:trPr>
          <w:trHeight w:val="244"/>
        </w:trPr>
        <w:tc>
          <w:tcPr>
            <w:tcW w:w="1020" w:type="dxa"/>
            <w:vAlign w:val="bottom"/>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the Registrant, filed September 12, 2013.)</w:t>
              </w:r>
            </w:hyperlink>
          </w:p>
        </w:tc>
        <w:tc>
          <w:tcPr>
            <w:tcW w:w="5180" w:type="dxa"/>
            <w:vAlign w:val="bottom"/>
            <w:tcBorders>
              <w:top w:val="single" w:sz="8" w:color="0000FF"/>
              <w:bottom w:val="single" w:sz="8" w:color="CCEEFF"/>
              <w:right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10.6 +</w:t>
            </w:r>
          </w:p>
        </w:tc>
        <w:tc>
          <w:tcPr>
            <w:tcW w:w="8200" w:type="dxa"/>
            <w:vAlign w:val="bottom"/>
            <w:tcBorders>
              <w:bottom w:val="single" w:sz="8" w:color="0000FF"/>
            </w:tcBorders>
            <w:gridSpan w:val="16"/>
          </w:tcPr>
          <w:p>
            <w:pPr>
              <w:spacing w:after="0" w:line="202"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Regeneron Pharmaceuticals, Inc. Change in Control Severance Plan, amended and restated effective as of</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November 14, 2008. (Incorporated by reference from the Form 10-K for the Registrant, for the year ended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December 31, 2008, filed February 26, 2009.)</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10.7 +</w:t>
            </w:r>
          </w:p>
        </w:tc>
        <w:tc>
          <w:tcPr>
            <w:tcW w:w="8200" w:type="dxa"/>
            <w:vAlign w:val="bottom"/>
            <w:tcBorders>
              <w:bottom w:val="single" w:sz="8" w:color="0000FF"/>
              <w:right w:val="single" w:sz="8" w:color="CCEEFF"/>
            </w:tcBorders>
            <w:gridSpan w:val="16"/>
            <w:shd w:val="clear" w:color="auto" w:fill="CCEEFF"/>
          </w:tcPr>
          <w:p>
            <w:pPr>
              <w:spacing w:after="0" w:line="202"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Regeneron Pharmaceuticals, Inc. Cash Incentive Bonus Plan. (Incorporated by reference from the Form 8-K for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the Registrant, filed June 17, 2015.)</w:t>
              </w:r>
            </w:hyperlink>
          </w:p>
        </w:tc>
        <w:tc>
          <w:tcPr>
            <w:tcW w:w="5660" w:type="dxa"/>
            <w:vAlign w:val="bottom"/>
            <w:tcBorders>
              <w:bottom w:val="single" w:sz="8" w:color="CCEEFF"/>
            </w:tcBorders>
            <w:gridSpan w:val="14"/>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10.8*</w:t>
            </w:r>
          </w:p>
        </w:tc>
        <w:tc>
          <w:tcPr>
            <w:tcW w:w="8200" w:type="dxa"/>
            <w:vAlign w:val="bottom"/>
            <w:tcBorders>
              <w:bottom w:val="single" w:sz="8" w:color="0000FF"/>
            </w:tcBorders>
            <w:gridSpan w:val="16"/>
          </w:tcPr>
          <w:p>
            <w:pPr>
              <w:spacing w:after="0" w:line="202" w:lineRule="exact"/>
              <w:rPr>
                <w:rFonts w:ascii="Arial" w:cs="Arial" w:eastAsia="Arial" w:hAnsi="Arial"/>
                <w:sz w:val="18"/>
                <w:szCs w:val="18"/>
                <w:color w:val="0000FF"/>
              </w:rPr>
            </w:pPr>
            <w:hyperlink r:id="rId76">
              <w:r>
                <w:rPr>
                  <w:rFonts w:ascii="Arial" w:cs="Arial" w:eastAsia="Arial" w:hAnsi="Arial"/>
                  <w:sz w:val="18"/>
                  <w:szCs w:val="18"/>
                  <w:color w:val="0000FF"/>
                </w:rPr>
                <w:t>IL-1 Antibody Termination Agreement by and between Novartis Pharma AG, Novartis Pharmaceuticals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Corporation and the Registrant, dated as of June 8, 2009. (Incorporated by reference from the Form 10-Q for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Registrant, for the quarter ended June 30, 2009, filed August 4, 2009.)</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10.9*</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Amended and Restated Collaboration Agreement, dated as of February 23, 2015, by and between Sanofi-Aventis</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US LLC and the Registrant. (Incorporated by reference from the Form 10-Q for the Registrant, for the quarter</w:t>
              </w:r>
            </w:hyperlink>
          </w:p>
        </w:tc>
      </w:tr>
      <w:tr>
        <w:trPr>
          <w:trHeight w:val="244"/>
        </w:trPr>
        <w:tc>
          <w:tcPr>
            <w:tcW w:w="1020" w:type="dxa"/>
            <w:vAlign w:val="bottom"/>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ended March 31, 2015, filed May 7, 2015.)</w:t>
              </w:r>
            </w:hyperlink>
          </w:p>
        </w:tc>
        <w:tc>
          <w:tcPr>
            <w:tcW w:w="5100" w:type="dxa"/>
            <w:vAlign w:val="bottom"/>
            <w:tcBorders>
              <w:top w:val="single" w:sz="8" w:color="0000FF"/>
              <w:bottom w:val="single" w:sz="8" w:color="CCEEFF"/>
              <w:right w:val="single" w:sz="8" w:color="CCEEFF"/>
            </w:tcBorders>
            <w:gridSpan w:val="10"/>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10.10*</w:t>
            </w:r>
          </w:p>
        </w:tc>
        <w:tc>
          <w:tcPr>
            <w:tcW w:w="820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License and Collaboration Agreement, dated as of October 18, 2006, by and between Bayer HealthCare LLC and</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the Registrant. (Incorporated by reference from the Form 10-Q for the Registrant, for the quarter ended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September 30, 2006, filed November 6, 2006.)</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10.10.1*</w:t>
            </w:r>
          </w:p>
        </w:tc>
        <w:tc>
          <w:tcPr>
            <w:tcW w:w="8240" w:type="dxa"/>
            <w:vAlign w:val="bottom"/>
            <w:gridSpan w:val="17"/>
            <w:shd w:val="clear" w:color="auto" w:fill="CCEEFF"/>
          </w:tcPr>
          <w:p>
            <w:pPr>
              <w:spacing w:after="0" w:line="202"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Restated Amendment Agreement, dated December 30, 2014 and entered into effective as of May 7, 2012, by and</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w w:val="96"/>
              </w:rPr>
            </w:pPr>
            <w:hyperlink r:id="rId79">
              <w:r>
                <w:rPr>
                  <w:rFonts w:ascii="Arial" w:cs="Arial" w:eastAsia="Arial" w:hAnsi="Arial"/>
                  <w:sz w:val="18"/>
                  <w:szCs w:val="18"/>
                  <w:color w:val="0000FF"/>
                  <w:w w:val="96"/>
                </w:rPr>
                <w:t>between Bayer HealthCare LLC and the Registrant. (Incorporated by reference from the Form 10-K for the</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Registrant, for the year ended December 31, 2014, filed February 12, 2015.)</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10.11</w:t>
            </w:r>
          </w:p>
        </w:tc>
        <w:tc>
          <w:tcPr>
            <w:tcW w:w="8240" w:type="dxa"/>
            <w:vAlign w:val="bottom"/>
            <w:gridSpan w:val="17"/>
          </w:tcPr>
          <w:p>
            <w:pPr>
              <w:spacing w:after="0" w:line="202"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License and Collaboration Agreement, dated as of January 10, 2014, by and between Bayer HealthCare LLC and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760" w:type="dxa"/>
            <w:vAlign w:val="bottom"/>
            <w:gridSpan w:val="13"/>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7"/>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the Registrant. (Incorporated by reference from the Form 10-Q for the Registrant, for the quarter ended March 31,</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2014, filed May 8, 2014.)</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10.12*</w:t>
            </w:r>
          </w:p>
        </w:tc>
        <w:tc>
          <w:tcPr>
            <w:tcW w:w="8200" w:type="dxa"/>
            <w:vAlign w:val="bottom"/>
            <w:tcBorders>
              <w:bottom w:val="single" w:sz="8" w:color="0000FF"/>
              <w:right w:val="single" w:sz="8" w:color="CCEEFF"/>
            </w:tcBorders>
            <w:gridSpan w:val="16"/>
            <w:shd w:val="clear" w:color="auto" w:fill="CCEEFF"/>
          </w:tcPr>
          <w:p>
            <w:pPr>
              <w:spacing w:after="0" w:line="202"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Amended and Restated Discovery and Preclinical Development Agreement, dated as of November 10, 2009,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and between Aventis Pharmaceuticals Inc. and the Registrant. (Incorporated by reference from the Form 10-K/A</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7"/>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for the Registrant, for the year ended December 31, 2009, filed June 2, 2010.)</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20"/>
          </w:cols>
          <w:pgMar w:left="240" w:top="118" w:right="123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420"/>
          </w:cols>
          <w:pgMar w:left="240" w:top="118" w:right="12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2180" w:type="dxa"/>
            <w:vAlign w:val="bottom"/>
            <w:gridSpan w:val="3"/>
          </w:tcPr>
          <w:p>
            <w:pPr>
              <w:ind w:left="1040"/>
              <w:spacing w:after="0"/>
              <w:rPr>
                <w:sz w:val="20"/>
                <w:szCs w:val="20"/>
                <w:color w:val="auto"/>
              </w:rPr>
            </w:pPr>
            <w:r>
              <w:rPr>
                <w:rFonts w:ascii="Arial" w:cs="Arial" w:eastAsia="Arial" w:hAnsi="Arial"/>
                <w:sz w:val="18"/>
                <w:szCs w:val="18"/>
                <w:color w:val="auto"/>
              </w:rPr>
              <w:t>10.12.1*</w:t>
            </w:r>
          </w:p>
        </w:tc>
        <w:tc>
          <w:tcPr>
            <w:tcW w:w="8200" w:type="dxa"/>
            <w:vAlign w:val="bottom"/>
            <w:tcBorders>
              <w:bottom w:val="single" w:sz="8" w:color="0000FF"/>
            </w:tcBorders>
            <w:gridSpan w:val="14"/>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Amendment No. 1 to Amended and Restated Discovery and Preclinical Development Agreement, dated July 27,</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2015 and entered into effective as of July 1, 2015, by and between the Registrant and Sanofi Biotechnology SAS,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as successor-in-interest to Aventis Pharmaceuticals, Inc. (Incorporated by reference from the Form 10-Q for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Registrant, for the quarter ended September 30, 2015, filed November 4, 2015.)</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10.13*</w:t>
            </w:r>
          </w:p>
        </w:tc>
        <w:tc>
          <w:tcPr>
            <w:tcW w:w="8200" w:type="dxa"/>
            <w:vAlign w:val="bottom"/>
            <w:tcBorders>
              <w:bottom w:val="single" w:sz="8" w:color="0000FF"/>
              <w:right w:val="single" w:sz="8" w:color="CCEEFF"/>
            </w:tcBorders>
            <w:gridSpan w:val="14"/>
            <w:shd w:val="clear" w:color="auto" w:fill="CCEEFF"/>
          </w:tcPr>
          <w:p>
            <w:pPr>
              <w:spacing w:after="0" w:line="202"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Amended and Restated License and Collaboration Agreement, dated as of November 10, 2009, by and among</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Aventis Pharmaceuticals Inc., sanofi-aventis Amerique du Nord, and the Registrant. (Incorporated by reference</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from the Form 10-K/A for the Registrant, for the year ended December 31, 2009, filed June 2, 2010.)</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10.13.1*</w:t>
            </w:r>
          </w:p>
        </w:tc>
        <w:tc>
          <w:tcPr>
            <w:tcW w:w="8240" w:type="dxa"/>
            <w:vAlign w:val="bottom"/>
            <w:gridSpan w:val="15"/>
          </w:tcPr>
          <w:p>
            <w:pPr>
              <w:spacing w:after="0" w:line="202"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First Amendment to Amended and Restated License and Collaboration Agreement by and between the Registrant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and Aventis Pharmaceuticals Inc., dated May 1, 2013. (Incorporated by reference from the Form 10-Q for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Registrant, for the quarter ended June 30, 2013, filed August 6, 2013.)</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10.13.2*</w:t>
            </w:r>
          </w:p>
        </w:tc>
        <w:tc>
          <w:tcPr>
            <w:tcW w:w="8240" w:type="dxa"/>
            <w:vAlign w:val="bottom"/>
            <w:gridSpan w:val="15"/>
            <w:shd w:val="clear" w:color="auto" w:fill="CCEEFF"/>
          </w:tcPr>
          <w:p>
            <w:pPr>
              <w:spacing w:after="0" w:line="202"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Amendment No. 2 to Amended and Restated License and Collaboration Agreement, dated July 27, 2015 and</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entered into effective as of July 1, 2015, by and between the Registrant and Sanofi Biotechnology SAS, as</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successor-in-interest to Aventis Pharmaceuticals, Inc. (Incorporated by reference from the Form 10-Q for the</w:t>
              </w:r>
            </w:hyperlink>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Registrant, for the quarter ended September 30, 2015, filed November 4, 2015.)</w:t>
              </w:r>
            </w:hyperlink>
          </w:p>
        </w:tc>
        <w:tc>
          <w:tcPr>
            <w:tcW w:w="250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10.14</w:t>
            </w:r>
          </w:p>
        </w:tc>
        <w:tc>
          <w:tcPr>
            <w:tcW w:w="8240" w:type="dxa"/>
            <w:vAlign w:val="bottom"/>
            <w:gridSpan w:val="15"/>
          </w:tcPr>
          <w:p>
            <w:pPr>
              <w:spacing w:after="0" w:line="202"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Amended and Restated Investor Agreement, dated as of January 11, 2014, by and among Sanofi, sanofi-aventis</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US LLC, Aventis Pharmaceuticals Inc., sanofi-aventis Amerique du Nord, and the Registrant. (Incorporated by</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reference from the Form 8-K for the Registrant, filed January 13, 2014.)</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10.15*</w:t>
            </w:r>
          </w:p>
        </w:tc>
        <w:tc>
          <w:tcPr>
            <w:tcW w:w="8240" w:type="dxa"/>
            <w:vAlign w:val="bottom"/>
            <w:gridSpan w:val="15"/>
            <w:shd w:val="clear" w:color="auto" w:fill="CCEEFF"/>
          </w:tcPr>
          <w:p>
            <w:pPr>
              <w:spacing w:after="0" w:line="20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Letter Agreement by and between the Registrant and Aventis Pharmaceuticals Inc., dated May 2, 2013.</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(Incorporated by reference from the Form 10-Q for the Registrant, for the quarter ended June 30, 2013, filed</w:t>
              </w:r>
            </w:hyperlink>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August 6, 2013.)</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10.16</w:t>
            </w:r>
          </w:p>
        </w:tc>
        <w:tc>
          <w:tcPr>
            <w:tcW w:w="8200" w:type="dxa"/>
            <w:vAlign w:val="bottom"/>
            <w:tcBorders>
              <w:bottom w:val="single" w:sz="8" w:color="0000FF"/>
            </w:tcBorders>
            <w:gridSpan w:val="14"/>
          </w:tcPr>
          <w:p>
            <w:pPr>
              <w:spacing w:after="0" w:line="202"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Credit Agreement, dated as of December 14, 2018, by and among the Registrant, as a borrower and guarantor;</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certain direct subsidiaries of the Registrant, as the initial subsidiary borrowers; JPMorgan Chase Bank, N.A., as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5"/>
              </w:rPr>
            </w:pPr>
            <w:hyperlink r:id="rId88">
              <w:r>
                <w:rPr>
                  <w:rFonts w:ascii="Arial" w:cs="Arial" w:eastAsia="Arial" w:hAnsi="Arial"/>
                  <w:sz w:val="18"/>
                  <w:szCs w:val="18"/>
                  <w:color w:val="0000FF"/>
                  <w:w w:val="95"/>
                </w:rPr>
                <w:t>administrative agent; Bank of America, N.A. and U.S. Bank National Association, as co-syndication agents;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Arial" w:cs="Arial" w:eastAsia="Arial" w:hAnsi="Arial"/>
                <w:sz w:val="18"/>
                <w:szCs w:val="18"/>
                <w:color w:val="0000FF"/>
                <w:w w:val="97"/>
              </w:rPr>
            </w:pPr>
            <w:hyperlink r:id="rId88">
              <w:r>
                <w:rPr>
                  <w:rFonts w:ascii="Arial" w:cs="Arial" w:eastAsia="Arial" w:hAnsi="Arial"/>
                  <w:sz w:val="18"/>
                  <w:szCs w:val="18"/>
                  <w:color w:val="0000FF"/>
                  <w:w w:val="97"/>
                </w:rPr>
                <w:t>Barclays Bank PLC, Citibank, N.A., Fifth Third Bank, and MUFG Bank, Ltd., as co-documentation agents;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JPMorgan Chase Bank, N.A., Bank of America, N.A., and U.S. Bank National Association, as the issuing banks;</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Arial" w:cs="Arial" w:eastAsia="Arial" w:hAnsi="Arial"/>
                <w:sz w:val="18"/>
                <w:szCs w:val="18"/>
                <w:color w:val="0000FF"/>
                <w:w w:val="95"/>
              </w:rPr>
            </w:pPr>
            <w:hyperlink r:id="rId88">
              <w:r>
                <w:rPr>
                  <w:rFonts w:ascii="Arial" w:cs="Arial" w:eastAsia="Arial" w:hAnsi="Arial"/>
                  <w:sz w:val="18"/>
                  <w:szCs w:val="18"/>
                  <w:color w:val="0000FF"/>
                  <w:w w:val="95"/>
                </w:rPr>
                <w:t>JPMorgan Chase Bank, N.A., as the swingline lender; and the other lenders party thereto from time to time.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(Incorporated by reference from the Form 8-K for the Registrant, filed December 17, 2018.)</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10.17*</w:t>
            </w:r>
          </w:p>
        </w:tc>
        <w:tc>
          <w:tcPr>
            <w:tcW w:w="8200" w:type="dxa"/>
            <w:vAlign w:val="bottom"/>
            <w:tcBorders>
              <w:bottom w:val="single" w:sz="8" w:color="0000FF"/>
              <w:right w:val="single" w:sz="8" w:color="CCEEFF"/>
            </w:tcBorders>
            <w:gridSpan w:val="14"/>
            <w:shd w:val="clear" w:color="auto" w:fill="CCEEFF"/>
          </w:tcPr>
          <w:p>
            <w:pPr>
              <w:spacing w:after="0" w:line="202" w:lineRule="exact"/>
              <w:rPr>
                <w:rFonts w:ascii="Arial" w:cs="Arial" w:eastAsia="Arial" w:hAnsi="Arial"/>
                <w:sz w:val="18"/>
                <w:szCs w:val="18"/>
                <w:color w:val="0000FF"/>
                <w:w w:val="90"/>
              </w:rPr>
            </w:pPr>
            <w:hyperlink w:anchor="page156">
              <w:r>
                <w:rPr>
                  <w:rFonts w:ascii="Arial" w:cs="Arial" w:eastAsia="Arial" w:hAnsi="Arial"/>
                  <w:sz w:val="18"/>
                  <w:szCs w:val="18"/>
                  <w:color w:val="0000FF"/>
                  <w:w w:val="90"/>
                </w:rPr>
                <w:t>Amended and Restated Immuno-oncology Discovery and Development Agreement, executed on January 2, 2019</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w:anchor="page156">
              <w:r>
                <w:rPr>
                  <w:rFonts w:ascii="Arial" w:cs="Arial" w:eastAsia="Arial" w:hAnsi="Arial"/>
                  <w:sz w:val="18"/>
                  <w:szCs w:val="18"/>
                  <w:color w:val="0000FF"/>
                  <w:w w:val="90"/>
                </w:rPr>
                <w:t>and effective as of December 31, 2018, by and between the Registrant and Sanofi Biotechnology SAS.</w:t>
              </w:r>
            </w:hyperlink>
          </w:p>
        </w:tc>
        <w:tc>
          <w:tcPr>
            <w:tcW w:w="8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218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10.18*</w:t>
            </w:r>
          </w:p>
        </w:tc>
        <w:tc>
          <w:tcPr>
            <w:tcW w:w="8240" w:type="dxa"/>
            <w:vAlign w:val="bottom"/>
            <w:gridSpan w:val="15"/>
          </w:tcPr>
          <w:p>
            <w:pPr>
              <w:spacing w:after="0" w:line="202"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Immuno-oncology License and Collaboration Agreement, dated July 27, 2015 and entered into effective as of</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July 1, 2015, by and between the Registrant and Sanofi Biotechnology SAS. (Incorporated by reference from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Form 10-Q for the Registrant, for the quarter ended September 30, 2015, filed November 4, 2015.)</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10.19*</w:t>
            </w:r>
          </w:p>
        </w:tc>
        <w:tc>
          <w:tcPr>
            <w:tcW w:w="8240" w:type="dxa"/>
            <w:vAlign w:val="bottom"/>
            <w:gridSpan w:val="15"/>
            <w:shd w:val="clear" w:color="auto" w:fill="CCEEFF"/>
          </w:tcPr>
          <w:p>
            <w:pPr>
              <w:spacing w:after="0" w:line="202"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Collaboration Agreement, dated as of September 29, 2015, by and between Regeneron Ireland and Mitsubishi</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200" w:type="dxa"/>
            <w:vAlign w:val="bottom"/>
            <w:tcBorders>
              <w:top w:val="single" w:sz="8" w:color="0000FF"/>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Tanabe Pharma Corporation. (Incorporated by reference from the Form 10-Q for the Registrant, for the quarter</w:t>
              </w:r>
            </w:hyperlink>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ended September 30, 2015, filed November 4, 2015.)</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10.20*</w:t>
            </w:r>
          </w:p>
        </w:tc>
        <w:tc>
          <w:tcPr>
            <w:tcW w:w="8200" w:type="dxa"/>
            <w:vAlign w:val="bottom"/>
            <w:tcBorders>
              <w:bottom w:val="single" w:sz="8" w:color="0000FF"/>
            </w:tcBorders>
            <w:gridSpan w:val="14"/>
          </w:tcPr>
          <w:p>
            <w:pPr>
              <w:spacing w:after="0" w:line="202"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ANG2 License and Collaboration Agreement, dated as of March 23, 2016, by and between Bayer HealthCare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LLC and the Registrant. (Incorporated by reference from the Form 10-Q for the Registrant, for the quarter ended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March 31, 2016, filed May 5, 2016.)</w:t>
              </w:r>
            </w:hyperlink>
          </w:p>
        </w:tc>
        <w:tc>
          <w:tcPr>
            <w:tcW w:w="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10.21*</w:t>
            </w:r>
          </w:p>
        </w:tc>
        <w:tc>
          <w:tcPr>
            <w:tcW w:w="8240" w:type="dxa"/>
            <w:vAlign w:val="bottom"/>
            <w:gridSpan w:val="15"/>
            <w:shd w:val="clear" w:color="auto" w:fill="CCEEFF"/>
          </w:tcPr>
          <w:p>
            <w:pPr>
              <w:spacing w:after="0" w:line="202"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Collaboration Agreement, dated as of September 17, 2016, by and between Teva Pharmaceuticals International</w:t>
              </w:r>
            </w:hyperlink>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760" w:type="dxa"/>
            <w:vAlign w:val="bottom"/>
            <w:gridSpan w:val="6"/>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GmbH and Regeneron Ireland. (Incorporated by reference from the Form 10-Q for the Registrant, for the quarter</w:t>
              </w:r>
            </w:hyperlink>
          </w:p>
        </w:tc>
      </w:tr>
      <w:tr>
        <w:trPr>
          <w:trHeight w:val="196"/>
        </w:trPr>
        <w:tc>
          <w:tcPr>
            <w:tcW w:w="1020" w:type="dxa"/>
            <w:vAlign w:val="bottom"/>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ended September 30, 2016, filed November 4, 2016.)</w:t>
              </w:r>
            </w:hyperlink>
          </w:p>
        </w:tc>
        <w:tc>
          <w:tcPr>
            <w:tcW w:w="40" w:type="dxa"/>
            <w:vAlign w:val="bottom"/>
            <w:tcBorders>
              <w:top w:val="single" w:sz="8" w:color="CCEEFF"/>
            </w:tcBorders>
            <w:shd w:val="clear" w:color="auto" w:fill="CCEEFF"/>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10.22*</w:t>
            </w:r>
          </w:p>
        </w:tc>
        <w:tc>
          <w:tcPr>
            <w:tcW w:w="8240" w:type="dxa"/>
            <w:vAlign w:val="bottom"/>
            <w:gridSpan w:val="15"/>
          </w:tcPr>
          <w:p>
            <w:pPr>
              <w:spacing w:after="0" w:line="202" w:lineRule="exact"/>
              <w:rPr>
                <w:rFonts w:ascii="Arial" w:cs="Arial" w:eastAsia="Arial" w:hAnsi="Arial"/>
                <w:sz w:val="18"/>
                <w:szCs w:val="18"/>
                <w:color w:val="0000FF"/>
                <w:w w:val="95"/>
              </w:rPr>
            </w:pPr>
            <w:hyperlink r:id="rId93">
              <w:r>
                <w:rPr>
                  <w:rFonts w:ascii="Arial" w:cs="Arial" w:eastAsia="Arial" w:hAnsi="Arial"/>
                  <w:sz w:val="18"/>
                  <w:szCs w:val="18"/>
                  <w:color w:val="0000FF"/>
                  <w:w w:val="95"/>
                </w:rPr>
                <w:t>Purchase Agreement, dated as of December 30, 2016, by and among BMR-Landmark at Eastview LLC and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BMR-Landmark at Eastview IV LLC and the Registrant. (Incorporated by reference from the Form 10-K for the</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Registrant, for the year ended December 31, 2016, filed February 9, 2017.)</w:t>
              </w:r>
            </w:hyperlink>
          </w:p>
        </w:tc>
      </w:tr>
      <w:tr>
        <w:trPr>
          <w:trHeight w:val="48"/>
        </w:trPr>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10.23</w:t>
            </w:r>
          </w:p>
        </w:tc>
        <w:tc>
          <w:tcPr>
            <w:tcW w:w="8200" w:type="dxa"/>
            <w:vAlign w:val="bottom"/>
            <w:tcBorders>
              <w:bottom w:val="single" w:sz="8" w:color="0000FF"/>
              <w:right w:val="single" w:sz="8" w:color="CCEEFF"/>
            </w:tcBorders>
            <w:gridSpan w:val="14"/>
            <w:shd w:val="clear" w:color="auto" w:fill="CCEEFF"/>
          </w:tcPr>
          <w:p>
            <w:pPr>
              <w:spacing w:after="0" w:line="202"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Participation Agreement, dated as of March 3, 2017, by and among Old Saw Mill Holdings LLC, as lessee; Bank</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right w:val="single" w:sz="8" w:color="CCEEFF"/>
            </w:tcBorders>
            <w:gridSpan w:val="14"/>
            <w:shd w:val="clear" w:color="auto" w:fill="CCEEFF"/>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of America, N.A., as administrative agent; BA Leasing BSC, LLC, as lessor; and the lenders party thereto from</w:t>
              </w:r>
            </w:hyperlink>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40" w:type="dxa"/>
            <w:vAlign w:val="bottom"/>
            <w:gridSpan w:val="15"/>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time to time. (Incorporated by reference from the Form 8-K for the Registrant, filed March 9, 2017.)</w:t>
              </w:r>
            </w:hyperlink>
          </w:p>
        </w:tc>
      </w:tr>
      <w:tr>
        <w:trPr>
          <w:trHeight w:val="48"/>
        </w:trPr>
        <w:tc>
          <w:tcPr>
            <w:tcW w:w="1020" w:type="dxa"/>
            <w:vAlign w:val="bottom"/>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10.24</w:t>
            </w:r>
          </w:p>
        </w:tc>
        <w:tc>
          <w:tcPr>
            <w:tcW w:w="8200" w:type="dxa"/>
            <w:vAlign w:val="bottom"/>
            <w:tcBorders>
              <w:bottom w:val="single" w:sz="8" w:color="0000FF"/>
            </w:tcBorders>
            <w:gridSpan w:val="14"/>
          </w:tcPr>
          <w:p>
            <w:pPr>
              <w:spacing w:after="0" w:line="202"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Lease and Remedies Agreement, dated as of March 3, 2017, between Old Saw Mill Holdings LLC, as lessee, and</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40" w:type="dxa"/>
            <w:vAlign w:val="bottom"/>
            <w:gridSpan w:val="15"/>
          </w:tcPr>
          <w:p>
            <w:pPr>
              <w:spacing w:after="0" w:line="19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BA Leasing BSC, LLC, as lessor. (Incorporated by reference from the Form 8-K for the Registrant, filed March</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9, 2017.)</w:t>
              </w:r>
            </w:hyperlink>
          </w:p>
        </w:tc>
        <w:tc>
          <w:tcPr>
            <w:tcW w:w="142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507"/>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180" w:type="dxa"/>
            <w:vAlign w:val="bottom"/>
            <w:gridSpan w:val="3"/>
          </w:tcPr>
          <w:p>
            <w:pPr>
              <w:jc w:val="right"/>
              <w:ind w:right="200"/>
              <w:spacing w:after="0"/>
              <w:rPr>
                <w:sz w:val="20"/>
                <w:szCs w:val="20"/>
                <w:color w:val="auto"/>
              </w:rPr>
            </w:pPr>
            <w:r>
              <w:rPr>
                <w:rFonts w:ascii="Arial" w:cs="Arial" w:eastAsia="Arial" w:hAnsi="Arial"/>
                <w:sz w:val="18"/>
                <w:szCs w:val="18"/>
                <w:color w:val="auto"/>
              </w:rPr>
              <w:t>82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420"/>
          </w:cols>
          <w:pgMar w:left="240" w:top="118" w:right="1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10.25</w:t>
            </w:r>
          </w:p>
        </w:tc>
        <w:tc>
          <w:tcPr>
            <w:tcW w:w="8220" w:type="dxa"/>
            <w:vAlign w:val="bottom"/>
            <w:tcBorders>
              <w:bottom w:val="single" w:sz="8" w:color="0000FF"/>
            </w:tcBorders>
            <w:gridSpan w:val="9"/>
            <w:shd w:val="clear" w:color="auto" w:fill="CCEEFF"/>
          </w:tcPr>
          <w:p>
            <w:pPr>
              <w:spacing w:after="0"/>
              <w:rPr>
                <w:rFonts w:ascii="Arial" w:cs="Arial" w:eastAsia="Arial" w:hAnsi="Arial"/>
                <w:sz w:val="18"/>
                <w:szCs w:val="18"/>
                <w:color w:val="0000FF"/>
                <w:w w:val="98"/>
              </w:rPr>
            </w:pPr>
            <w:hyperlink r:id="rId96">
              <w:r>
                <w:rPr>
                  <w:rFonts w:ascii="Arial" w:cs="Arial" w:eastAsia="Arial" w:hAnsi="Arial"/>
                  <w:sz w:val="18"/>
                  <w:szCs w:val="18"/>
                  <w:color w:val="0000FF"/>
                  <w:w w:val="98"/>
                </w:rPr>
                <w:t>Guaranty, dated as of March 3, 2017, made by the Registrant, Regeneron Healthcare Solutions, Inc.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Regeneron Genetics Center LLC, as the initial guarantors. (Incorporated by reference from the Form 8-K for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Registrant, filed March 9, 2017.)</w:t>
              </w:r>
            </w:hyperlink>
          </w:p>
        </w:tc>
        <w:tc>
          <w:tcPr>
            <w:tcW w:w="5880" w:type="dxa"/>
            <w:vAlign w:val="bottom"/>
            <w:tcBorders>
              <w:bottom w:val="single" w:sz="8" w:color="CCEEFF"/>
            </w:tcBorders>
            <w:gridSpan w:val="7"/>
            <w:shd w:val="clear" w:color="auto" w:fill="CCEEFF"/>
          </w:tcPr>
          <w:p>
            <w:pPr>
              <w:spacing w:after="0"/>
              <w:rPr>
                <w:sz w:val="21"/>
                <w:szCs w:val="21"/>
                <w:color w:val="auto"/>
              </w:rPr>
            </w:pPr>
          </w:p>
        </w:tc>
      </w:tr>
      <w:tr>
        <w:trPr>
          <w:trHeight w:val="203"/>
        </w:trPr>
        <w:tc>
          <w:tcPr>
            <w:tcW w:w="1160" w:type="dxa"/>
            <w:vAlign w:val="bottom"/>
          </w:tcPr>
          <w:p>
            <w:pPr>
              <w:ind w:left="20"/>
              <w:spacing w:after="0" w:line="202" w:lineRule="exact"/>
              <w:rPr>
                <w:sz w:val="20"/>
                <w:szCs w:val="20"/>
                <w:color w:val="auto"/>
              </w:rPr>
            </w:pPr>
            <w:r>
              <w:rPr>
                <w:rFonts w:ascii="Arial" w:cs="Arial" w:eastAsia="Arial" w:hAnsi="Arial"/>
                <w:sz w:val="18"/>
                <w:szCs w:val="18"/>
                <w:color w:val="auto"/>
              </w:rPr>
              <w:t>10.26 +</w:t>
            </w:r>
          </w:p>
        </w:tc>
        <w:tc>
          <w:tcPr>
            <w:tcW w:w="8220" w:type="dxa"/>
            <w:vAlign w:val="bottom"/>
            <w:tcBorders>
              <w:bottom w:val="single" w:sz="8" w:color="0000FF"/>
            </w:tcBorders>
            <w:gridSpan w:val="9"/>
          </w:tcPr>
          <w:p>
            <w:pPr>
              <w:spacing w:after="0" w:line="202"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Retirement Agreement, effective as of January 5, 2018, by and between Regeneron Pharmaceuticals, Inc. and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240" w:type="dxa"/>
            <w:vAlign w:val="bottom"/>
            <w:gridSpan w:val="1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Robert J. Terifay. (Incorporated by reference from the Form 10-Q for the Registrant, filed May 3, 2018.)</w:t>
              </w:r>
            </w:hyperlink>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8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10.27</w:t>
            </w:r>
          </w:p>
        </w:tc>
        <w:tc>
          <w:tcPr>
            <w:tcW w:w="822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4"/>
              </w:rPr>
            </w:pPr>
            <w:hyperlink r:id="rId98">
              <w:r>
                <w:rPr>
                  <w:rFonts w:ascii="Arial" w:cs="Arial" w:eastAsia="Arial" w:hAnsi="Arial"/>
                  <w:sz w:val="18"/>
                  <w:szCs w:val="18"/>
                  <w:color w:val="0000FF"/>
                  <w:w w:val="94"/>
                </w:rPr>
                <w:t>Letter Agreement, dated as of January 7, 2018, by and among the Registrant, Sanofi, sanofi-aventis US LLC,</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Aventis Pharmaceuticals Inc., sanofi-aventis Amérique du Nord, and Sanofi Biotechnology SAS. (Incorporated</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8240" w:type="dxa"/>
            <w:vAlign w:val="bottom"/>
            <w:gridSpan w:val="10"/>
            <w:shd w:val="clear" w:color="auto" w:fill="CCEEFF"/>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by reference from the Form 10-Q for the Registrant, filed May 3, 2018.)</w:t>
              </w:r>
            </w:hyperlink>
          </w:p>
        </w:tc>
      </w:tr>
      <w:tr>
        <w:trPr>
          <w:trHeight w:val="203"/>
        </w:trPr>
        <w:tc>
          <w:tcPr>
            <w:tcW w:w="116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21.1</w:t>
            </w:r>
          </w:p>
        </w:tc>
        <w:tc>
          <w:tcPr>
            <w:tcW w:w="5180" w:type="dxa"/>
            <w:vAlign w:val="bottom"/>
            <w:tcBorders>
              <w:top w:val="single" w:sz="8" w:color="0000FF"/>
            </w:tcBorders>
            <w:gridSpan w:val="4"/>
          </w:tcPr>
          <w:p>
            <w:pPr>
              <w:spacing w:after="0" w:line="202" w:lineRule="exact"/>
              <w:rPr>
                <w:rFonts w:ascii="Arial" w:cs="Arial" w:eastAsia="Arial" w:hAnsi="Arial"/>
                <w:sz w:val="18"/>
                <w:szCs w:val="18"/>
                <w:color w:val="0000FF"/>
              </w:rPr>
            </w:pPr>
            <w:hyperlink w:anchor="page247">
              <w:r>
                <w:rPr>
                  <w:rFonts w:ascii="Arial" w:cs="Arial" w:eastAsia="Arial" w:hAnsi="Arial"/>
                  <w:sz w:val="18"/>
                  <w:szCs w:val="18"/>
                  <w:color w:val="0000FF"/>
                </w:rPr>
                <w:t>Subsidiaries of the Registrant.</w:t>
              </w:r>
            </w:hyperlink>
          </w:p>
        </w:tc>
        <w:tc>
          <w:tcPr>
            <w:tcW w:w="3060" w:type="dxa"/>
            <w:vAlign w:val="bottom"/>
            <w:tcBorders>
              <w:top w:val="single" w:sz="8" w:color="CCEEFF"/>
            </w:tcBorders>
            <w:gridSpan w:val="6"/>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7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23.1</w:t>
            </w:r>
          </w:p>
        </w:tc>
        <w:tc>
          <w:tcPr>
            <w:tcW w:w="8240" w:type="dxa"/>
            <w:vAlign w:val="bottom"/>
            <w:gridSpan w:val="10"/>
            <w:shd w:val="clear" w:color="auto" w:fill="CCEEFF"/>
          </w:tcPr>
          <w:p>
            <w:pPr>
              <w:spacing w:after="0" w:line="202" w:lineRule="exact"/>
              <w:rPr>
                <w:rFonts w:ascii="Arial" w:cs="Arial" w:eastAsia="Arial" w:hAnsi="Arial"/>
                <w:sz w:val="18"/>
                <w:szCs w:val="18"/>
                <w:color w:val="0000FF"/>
              </w:rPr>
            </w:pPr>
            <w:hyperlink w:anchor="page248">
              <w:r>
                <w:rPr>
                  <w:rFonts w:ascii="Arial" w:cs="Arial" w:eastAsia="Arial" w:hAnsi="Arial"/>
                  <w:sz w:val="18"/>
                  <w:szCs w:val="18"/>
                  <w:color w:val="0000FF"/>
                </w:rPr>
                <w:t>Consent of PricewaterhouseCoopers LLP, Independent Registered Public Accounting Firm.</w:t>
              </w:r>
            </w:hyperlink>
          </w:p>
        </w:tc>
      </w:tr>
      <w:tr>
        <w:trPr>
          <w:trHeight w:val="203"/>
        </w:trPr>
        <w:tc>
          <w:tcPr>
            <w:tcW w:w="116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24.1</w:t>
            </w:r>
          </w:p>
        </w:tc>
        <w:tc>
          <w:tcPr>
            <w:tcW w:w="6580" w:type="dxa"/>
            <w:vAlign w:val="bottom"/>
            <w:tcBorders>
              <w:top w:val="single" w:sz="8" w:color="0000FF"/>
            </w:tcBorders>
            <w:gridSpan w:val="6"/>
          </w:tcPr>
          <w:p>
            <w:pPr>
              <w:spacing w:after="0" w:line="202"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Power of Attorney (included on the signature page of this Annual Report on Form 10-K).</w:t>
              </w:r>
            </w:hyperlink>
          </w:p>
        </w:tc>
        <w:tc>
          <w:tcPr>
            <w:tcW w:w="1660" w:type="dxa"/>
            <w:vAlign w:val="bottom"/>
            <w:tcBorders>
              <w:top w:val="single" w:sz="8" w:color="CCEEFF"/>
            </w:tcBorders>
            <w:gridSpan w:val="4"/>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31.1</w:t>
            </w:r>
          </w:p>
        </w:tc>
        <w:tc>
          <w:tcPr>
            <w:tcW w:w="8240" w:type="dxa"/>
            <w:vAlign w:val="bottom"/>
            <w:gridSpan w:val="10"/>
            <w:shd w:val="clear" w:color="auto" w:fill="CCEEFF"/>
          </w:tcPr>
          <w:p>
            <w:pPr>
              <w:spacing w:after="0" w:line="202" w:lineRule="exact"/>
              <w:rPr>
                <w:rFonts w:ascii="Arial" w:cs="Arial" w:eastAsia="Arial" w:hAnsi="Arial"/>
                <w:sz w:val="18"/>
                <w:szCs w:val="18"/>
                <w:color w:val="0000FF"/>
                <w:w w:val="96"/>
              </w:rPr>
            </w:pPr>
            <w:hyperlink w:anchor="page249">
              <w:r>
                <w:rPr>
                  <w:rFonts w:ascii="Arial" w:cs="Arial" w:eastAsia="Arial" w:hAnsi="Arial"/>
                  <w:sz w:val="18"/>
                  <w:szCs w:val="18"/>
                  <w:color w:val="0000FF"/>
                  <w:w w:val="96"/>
                </w:rPr>
                <w:t>Certification of Principal Executive Officer pursuant to Rule 13a-14(a) under the Securities Exchange Act of</w:t>
              </w:r>
            </w:hyperlink>
          </w:p>
        </w:tc>
      </w:tr>
      <w:tr>
        <w:trPr>
          <w:trHeight w:val="249"/>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w:anchor="page249">
              <w:r>
                <w:rPr>
                  <w:rFonts w:ascii="Arial" w:cs="Arial" w:eastAsia="Arial" w:hAnsi="Arial"/>
                  <w:sz w:val="18"/>
                  <w:szCs w:val="18"/>
                  <w:color w:val="0000FF"/>
                  <w:w w:val="84"/>
                </w:rPr>
                <w:t>1934.</w:t>
              </w:r>
            </w:hyperlink>
          </w:p>
        </w:tc>
        <w:tc>
          <w:tcPr>
            <w:tcW w:w="1760" w:type="dxa"/>
            <w:vAlign w:val="bottom"/>
            <w:tcBorders>
              <w:top w:val="single" w:sz="8" w:color="0000FF"/>
              <w:bottom w:val="single" w:sz="8" w:color="CCEEFF"/>
            </w:tcBorders>
            <w:shd w:val="clear" w:color="auto" w:fill="CCEEFF"/>
          </w:tcPr>
          <w:p>
            <w:pPr>
              <w:spacing w:after="0"/>
              <w:rPr>
                <w:sz w:val="21"/>
                <w:szCs w:val="21"/>
                <w:color w:val="auto"/>
              </w:rPr>
            </w:pPr>
          </w:p>
        </w:tc>
        <w:tc>
          <w:tcPr>
            <w:tcW w:w="200" w:type="dxa"/>
            <w:vAlign w:val="bottom"/>
            <w:tcBorders>
              <w:top w:val="single" w:sz="8" w:color="0000FF"/>
              <w:bottom w:val="single" w:sz="8" w:color="CCEEFF"/>
            </w:tcBorders>
            <w:shd w:val="clear" w:color="auto" w:fill="CCEEFF"/>
          </w:tcPr>
          <w:p>
            <w:pPr>
              <w:spacing w:after="0"/>
              <w:rPr>
                <w:sz w:val="21"/>
                <w:szCs w:val="21"/>
                <w:color w:val="auto"/>
              </w:rPr>
            </w:pPr>
          </w:p>
        </w:tc>
        <w:tc>
          <w:tcPr>
            <w:tcW w:w="2820" w:type="dxa"/>
            <w:vAlign w:val="bottom"/>
            <w:tcBorders>
              <w:top w:val="single" w:sz="8" w:color="0000FF"/>
              <w:bottom w:val="single" w:sz="8" w:color="CCEEFF"/>
            </w:tcBorders>
            <w:shd w:val="clear" w:color="auto" w:fill="CCEEFF"/>
          </w:tcPr>
          <w:p>
            <w:pPr>
              <w:spacing w:after="0"/>
              <w:rPr>
                <w:sz w:val="21"/>
                <w:szCs w:val="21"/>
                <w:color w:val="auto"/>
              </w:rPr>
            </w:pPr>
          </w:p>
        </w:tc>
        <w:tc>
          <w:tcPr>
            <w:tcW w:w="124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92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6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31.2</w:t>
            </w:r>
          </w:p>
        </w:tc>
        <w:tc>
          <w:tcPr>
            <w:tcW w:w="8240" w:type="dxa"/>
            <w:vAlign w:val="bottom"/>
            <w:tcBorders>
              <w:top w:val="single" w:sz="8" w:color="CCEEFF"/>
            </w:tcBorders>
            <w:gridSpan w:val="10"/>
          </w:tcPr>
          <w:p>
            <w:pPr>
              <w:spacing w:after="0" w:line="202" w:lineRule="exact"/>
              <w:rPr>
                <w:rFonts w:ascii="Arial" w:cs="Arial" w:eastAsia="Arial" w:hAnsi="Arial"/>
                <w:sz w:val="18"/>
                <w:szCs w:val="18"/>
                <w:color w:val="0000FF"/>
                <w:w w:val="97"/>
              </w:rPr>
            </w:pPr>
            <w:hyperlink w:anchor="page250">
              <w:r>
                <w:rPr>
                  <w:rFonts w:ascii="Arial" w:cs="Arial" w:eastAsia="Arial" w:hAnsi="Arial"/>
                  <w:sz w:val="18"/>
                  <w:szCs w:val="18"/>
                  <w:color w:val="0000FF"/>
                  <w:w w:val="97"/>
                </w:rPr>
                <w:t>Certification of Principal Financial Officer pursuant to Rule 13a-14(a) under the Securities Exchange Act of</w:t>
              </w:r>
            </w:hyperlink>
          </w:p>
        </w:tc>
      </w:tr>
      <w:tr>
        <w:trPr>
          <w:trHeight w:val="196"/>
        </w:trPr>
        <w:tc>
          <w:tcPr>
            <w:tcW w:w="11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50">
              <w:r>
                <w:rPr>
                  <w:rFonts w:ascii="Arial" w:cs="Arial" w:eastAsia="Arial" w:hAnsi="Arial"/>
                  <w:sz w:val="18"/>
                  <w:szCs w:val="18"/>
                  <w:color w:val="0000FF"/>
                  <w:w w:val="84"/>
                </w:rPr>
                <w:t>1934.</w:t>
              </w:r>
            </w:hyperlink>
          </w:p>
        </w:tc>
        <w:tc>
          <w:tcPr>
            <w:tcW w:w="17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2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34290</wp:posOffset>
            </wp:positionV>
            <wp:extent cx="59690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9">
                      <a:extLst>
                        <a:ext uri="{28A0092B-C50C-407E-A947-70E740481C1C}"/>
                      </a:extLst>
                    </a:blip>
                    <a:srcRect/>
                    <a:stretch>
                      <a:fillRect/>
                    </a:stretch>
                  </pic:blipFill>
                  <pic:spPr bwMode="auto">
                    <a:xfrm>
                      <a:off x="0" y="0"/>
                      <a:ext cx="5969000" cy="171450"/>
                    </a:xfrm>
                    <a:prstGeom prst="rect">
                      <a:avLst/>
                    </a:prstGeom>
                    <a:noFill/>
                  </pic:spPr>
                </pic:pic>
              </a:graphicData>
            </a:graphic>
          </wp:anchor>
        </w:drawing>
      </w:r>
    </w:p>
    <w:p>
      <w:pPr>
        <w:spacing w:after="0" w:line="47" w:lineRule="exact"/>
        <w:rPr>
          <w:sz w:val="20"/>
          <w:szCs w:val="20"/>
          <w:color w:val="auto"/>
        </w:rPr>
      </w:pPr>
    </w:p>
    <w:p>
      <w:pPr>
        <w:ind w:left="2180" w:hanging="1139"/>
        <w:spacing w:after="0"/>
        <w:tabs>
          <w:tab w:leader="none" w:pos="2180" w:val="left"/>
        </w:tabs>
        <w:numPr>
          <w:ilvl w:val="0"/>
          <w:numId w:val="32"/>
        </w:numPr>
        <w:rPr>
          <w:rFonts w:ascii="Arial" w:cs="Arial" w:eastAsia="Arial" w:hAnsi="Arial"/>
          <w:sz w:val="18"/>
          <w:szCs w:val="18"/>
          <w:u w:val="single" w:color="auto"/>
          <w:color w:val="0000FF"/>
        </w:rPr>
      </w:pPr>
      <w:hyperlink w:anchor="page251">
        <w:r>
          <w:rPr>
            <w:rFonts w:ascii="Arial" w:cs="Arial" w:eastAsia="Arial" w:hAnsi="Arial"/>
            <w:sz w:val="18"/>
            <w:szCs w:val="18"/>
            <w:u w:val="single" w:color="auto"/>
            <w:color w:val="0000FF"/>
          </w:rPr>
          <w:t>Certification of Principal Executive Officer and Principal Financial Officer pursuant to 18 U.S.C. Section 1350.</w:t>
        </w:r>
      </w:hyperlink>
    </w:p>
    <w:p>
      <w:pPr>
        <w:spacing w:after="0" w:line="6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8400" w:type="dxa"/>
            <w:vAlign w:val="bottom"/>
          </w:tcPr>
          <w:p>
            <w:pPr>
              <w:ind w:left="160"/>
              <w:spacing w:after="0"/>
              <w:rPr>
                <w:sz w:val="20"/>
                <w:szCs w:val="20"/>
                <w:color w:val="auto"/>
              </w:rPr>
            </w:pPr>
            <w:r>
              <w:rPr>
                <w:rFonts w:ascii="Arial" w:cs="Arial" w:eastAsia="Arial" w:hAnsi="Arial"/>
                <w:sz w:val="18"/>
                <w:szCs w:val="18"/>
                <w:color w:val="auto"/>
              </w:rPr>
              <w:t>Interactive Data File</w:t>
            </w:r>
          </w:p>
        </w:tc>
      </w:tr>
      <w:tr>
        <w:trPr>
          <w:trHeight w:val="27"/>
        </w:trPr>
        <w:tc>
          <w:tcPr>
            <w:tcW w:w="100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101.INS</w:t>
            </w: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Instance Document</w:t>
            </w: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101.SCH</w:t>
            </w:r>
          </w:p>
        </w:tc>
        <w:tc>
          <w:tcPr>
            <w:tcW w:w="8400" w:type="dxa"/>
            <w:vAlign w:val="bottom"/>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100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101.CAL</w:t>
            </w: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101.DEF</w:t>
            </w:r>
          </w:p>
        </w:tc>
        <w:tc>
          <w:tcPr>
            <w:tcW w:w="8400" w:type="dxa"/>
            <w:vAlign w:val="bottom"/>
          </w:tcPr>
          <w:p>
            <w:pPr>
              <w:ind w:left="16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100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101.LAB</w:t>
            </w: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101.PRE</w:t>
            </w:r>
          </w:p>
        </w:tc>
        <w:tc>
          <w:tcPr>
            <w:tcW w:w="84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1000" w:type="dxa"/>
            <w:vAlign w:val="bottom"/>
          </w:tcPr>
          <w:p>
            <w:pPr>
              <w:ind w:left="20"/>
              <w:spacing w:after="0"/>
              <w:rPr>
                <w:sz w:val="20"/>
                <w:szCs w:val="20"/>
                <w:color w:val="auto"/>
              </w:rPr>
            </w:pPr>
            <w:r>
              <w:rPr>
                <w:rFonts w:ascii="Arial" w:cs="Arial" w:eastAsia="Arial" w:hAnsi="Arial"/>
                <w:sz w:val="18"/>
                <w:szCs w:val="18"/>
                <w:color w:val="auto"/>
              </w:rPr>
              <w:t>_______</w:t>
            </w:r>
          </w:p>
        </w:tc>
        <w:tc>
          <w:tcPr>
            <w:tcW w:w="840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p>
      <w:pPr>
        <w:ind w:left="1480" w:hanging="55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240" w:top="130" w:right="6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30" w:right="25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Executive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160" w:type="dxa"/>
            <w:vAlign w:val="bottom"/>
            <w:gridSpan w:val="3"/>
          </w:tcPr>
          <w:p>
            <w:pPr>
              <w:ind w:left="2040"/>
              <w:spacing w:after="0"/>
              <w:rPr>
                <w:sz w:val="20"/>
                <w:szCs w:val="20"/>
                <w:color w:val="auto"/>
              </w:rPr>
            </w:pPr>
            <w:r>
              <w:rPr>
                <w:rFonts w:ascii="Arial" w:cs="Arial" w:eastAsia="Arial" w:hAnsi="Arial"/>
                <w:sz w:val="18"/>
                <w:szCs w:val="18"/>
                <w:b w:val="1"/>
                <w:bCs w:val="1"/>
                <w:color w:val="auto"/>
              </w:rPr>
              <w:t>Title</w:t>
            </w:r>
          </w:p>
        </w:tc>
        <w:tc>
          <w:tcPr>
            <w:tcW w:w="1540" w:type="dxa"/>
            <w:vAlign w:val="bottom"/>
            <w:gridSpan w:val="3"/>
          </w:tcPr>
          <w:p>
            <w:pPr>
              <w:ind w:left="1000"/>
              <w:spacing w:after="0"/>
              <w:rPr>
                <w:sz w:val="20"/>
                <w:szCs w:val="20"/>
                <w:color w:val="auto"/>
              </w:rPr>
            </w:pPr>
            <w:r>
              <w:rPr>
                <w:rFonts w:ascii="Arial" w:cs="Arial" w:eastAsia="Arial" w:hAnsi="Arial"/>
                <w:sz w:val="18"/>
                <w:szCs w:val="18"/>
                <w:b w:val="1"/>
                <w:bCs w:val="1"/>
                <w:color w:val="auto"/>
              </w:rPr>
              <w:t>Date</w:t>
            </w:r>
          </w:p>
        </w:tc>
      </w:tr>
      <w:tr>
        <w:trPr>
          <w:trHeight w:val="20"/>
        </w:trPr>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6"/>
        </w:trPr>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6"/>
        </w:trPr>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Executive Vice President, Finance and Chief</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Financial Officer (Principal Financial Officer)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6"/>
        </w:trPr>
        <w:tc>
          <w:tcPr>
            <w:tcW w:w="1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Vice President, Controller (Principal Accounting</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CHRISTOPHER R. FENIMORE</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Officer)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Christopher R. Fenimore</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President, Chief Scientific Officer, and 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Chairman of the Board</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BONNIE L. BASSLER</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Bonnie L. Bassler,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N. ANTHONY COLES</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N. Anthony Coles,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/s/ HUDA Y. ZOGHBI</w:t>
            </w:r>
          </w:p>
        </w:tc>
        <w:tc>
          <w:tcPr>
            <w:tcW w:w="4160" w:type="dxa"/>
            <w:vAlign w:val="bottom"/>
            <w:gridSpan w:val="3"/>
          </w:tcPr>
          <w:p>
            <w:pPr>
              <w:ind w:left="32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320"/>
              <w:spacing w:after="0"/>
              <w:rPr>
                <w:sz w:val="20"/>
                <w:szCs w:val="20"/>
                <w:color w:val="auto"/>
              </w:rPr>
            </w:pPr>
            <w:r>
              <w:rPr>
                <w:rFonts w:ascii="Arial" w:cs="Arial" w:eastAsia="Arial" w:hAnsi="Arial"/>
                <w:sz w:val="18"/>
                <w:szCs w:val="18"/>
                <w:color w:val="auto"/>
                <w:w w:val="87"/>
              </w:rPr>
              <w:t>February 7, 2019</w:t>
            </w:r>
          </w:p>
        </w:tc>
      </w:tr>
      <w:tr>
        <w:trPr>
          <w:trHeight w:val="27"/>
        </w:trPr>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680" w:type="dxa"/>
            <w:vAlign w:val="bottom"/>
            <w:gridSpan w:val="3"/>
          </w:tcPr>
          <w:p>
            <w:pPr>
              <w:ind w:left="260"/>
              <w:spacing w:after="0"/>
              <w:rPr>
                <w:sz w:val="20"/>
                <w:szCs w:val="20"/>
                <w:color w:val="auto"/>
              </w:rPr>
            </w:pPr>
            <w:r>
              <w:rPr>
                <w:rFonts w:ascii="Arial" w:cs="Arial" w:eastAsia="Arial" w:hAnsi="Arial"/>
                <w:sz w:val="18"/>
                <w:szCs w:val="18"/>
                <w:color w:val="auto"/>
              </w:rPr>
              <w:t>Huda Y. Zoghbi, M.D.</w:t>
            </w: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02"/>
        </w:trPr>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ind w:left="118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8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2"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Report of Independent Registered Public Accounting Firm</w:t>
              </w:r>
            </w:hyperlink>
          </w:p>
        </w:tc>
        <w:tc>
          <w:tcPr>
            <w:tcW w:w="434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60"/>
              <w:spacing w:after="0" w:line="202" w:lineRule="exact"/>
              <w:rPr>
                <w:rFonts w:ascii="Arial" w:cs="Arial" w:eastAsia="Arial" w:hAnsi="Arial"/>
                <w:sz w:val="18"/>
                <w:szCs w:val="18"/>
                <w:color w:val="0000FF"/>
                <w:w w:val="93"/>
              </w:rPr>
            </w:pPr>
            <w:hyperlink w:anchor="page88">
              <w:r>
                <w:rPr>
                  <w:rFonts w:ascii="Arial" w:cs="Arial" w:eastAsia="Arial" w:hAnsi="Arial"/>
                  <w:sz w:val="18"/>
                  <w:szCs w:val="18"/>
                  <w:color w:val="0000FF"/>
                  <w:w w:val="93"/>
                </w:rPr>
                <w:t>F- 2</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8560" w:type="dxa"/>
            <w:vAlign w:val="bottom"/>
            <w:gridSpan w:val="8"/>
          </w:tcPr>
          <w:p>
            <w:pPr>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Balance Sheets at December 31, 2018 and 2017</w:t>
              </w:r>
            </w:hyperlink>
          </w:p>
        </w:tc>
        <w:tc>
          <w:tcPr>
            <w:tcW w:w="100" w:type="dxa"/>
            <w:vAlign w:val="bottom"/>
          </w:tcPr>
          <w:p>
            <w:pPr>
              <w:spacing w:after="0"/>
              <w:rPr>
                <w:sz w:val="17"/>
                <w:szCs w:val="17"/>
                <w:color w:val="auto"/>
              </w:rPr>
            </w:pPr>
          </w:p>
        </w:tc>
        <w:tc>
          <w:tcPr>
            <w:tcW w:w="1160" w:type="dxa"/>
            <w:vAlign w:val="bottom"/>
            <w:gridSpan w:val="5"/>
          </w:tcPr>
          <w:p>
            <w:pPr>
              <w:jc w:val="center"/>
              <w:ind w:right="260"/>
              <w:spacing w:after="0" w:line="202" w:lineRule="exact"/>
              <w:rPr>
                <w:rFonts w:ascii="Arial" w:cs="Arial" w:eastAsia="Arial" w:hAnsi="Arial"/>
                <w:sz w:val="18"/>
                <w:szCs w:val="18"/>
                <w:color w:val="0000FF"/>
                <w:w w:val="93"/>
              </w:rPr>
            </w:pPr>
            <w:hyperlink w:anchor="page90">
              <w:r>
                <w:rPr>
                  <w:rFonts w:ascii="Arial" w:cs="Arial" w:eastAsia="Arial" w:hAnsi="Arial"/>
                  <w:sz w:val="18"/>
                  <w:szCs w:val="18"/>
                  <w:color w:val="0000FF"/>
                  <w:w w:val="93"/>
                </w:rPr>
                <w:t>F- 4</w:t>
              </w:r>
            </w:hyperlink>
          </w:p>
        </w:tc>
      </w:tr>
      <w:tr>
        <w:trPr>
          <w:trHeight w:val="48"/>
        </w:trPr>
        <w:tc>
          <w:tcPr>
            <w:tcW w:w="28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80" w:type="dxa"/>
            <w:vAlign w:val="bottom"/>
            <w:shd w:val="clear" w:color="auto" w:fill="CCEEFF"/>
          </w:tcPr>
          <w:p>
            <w:pPr>
              <w:spacing w:after="0"/>
              <w:rPr>
                <w:sz w:val="17"/>
                <w:szCs w:val="17"/>
                <w:color w:val="auto"/>
              </w:rPr>
            </w:pPr>
          </w:p>
        </w:tc>
        <w:tc>
          <w:tcPr>
            <w:tcW w:w="786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Operations and Comprehensive Income for the Years Ended December 31, 2018,</w:t>
              </w:r>
            </w:hyperlink>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60"/>
              <w:spacing w:after="0" w:line="202" w:lineRule="exact"/>
              <w:rPr>
                <w:rFonts w:ascii="Arial" w:cs="Arial" w:eastAsia="Arial" w:hAnsi="Arial"/>
                <w:sz w:val="18"/>
                <w:szCs w:val="18"/>
                <w:color w:val="0000FF"/>
                <w:w w:val="93"/>
              </w:rPr>
            </w:pPr>
            <w:hyperlink w:anchor="page91">
              <w:r>
                <w:rPr>
                  <w:rFonts w:ascii="Arial" w:cs="Arial" w:eastAsia="Arial" w:hAnsi="Arial"/>
                  <w:sz w:val="18"/>
                  <w:szCs w:val="18"/>
                  <w:color w:val="0000FF"/>
                  <w:w w:val="93"/>
                </w:rPr>
                <w:t>F- 5</w:t>
              </w:r>
            </w:hyperlink>
          </w:p>
        </w:tc>
      </w:tr>
      <w:tr>
        <w:trPr>
          <w:trHeight w:val="244"/>
        </w:trPr>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2017, and 2016</w:t>
              </w:r>
            </w:hyperlink>
          </w:p>
        </w:tc>
        <w:tc>
          <w:tcPr>
            <w:tcW w:w="6740" w:type="dxa"/>
            <w:vAlign w:val="bottom"/>
            <w:tcBorders>
              <w:top w:val="single" w:sz="8" w:color="0000EE"/>
              <w:bottom w:val="single" w:sz="8" w:color="CCEEFF"/>
            </w:tcBorders>
            <w:gridSpan w:val="6"/>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80" w:type="dxa"/>
            <w:vAlign w:val="bottom"/>
          </w:tcPr>
          <w:p>
            <w:pPr>
              <w:spacing w:after="0"/>
              <w:rPr>
                <w:sz w:val="17"/>
                <w:szCs w:val="17"/>
                <w:color w:val="auto"/>
              </w:rPr>
            </w:pPr>
          </w:p>
        </w:tc>
        <w:tc>
          <w:tcPr>
            <w:tcW w:w="8560" w:type="dxa"/>
            <w:vAlign w:val="bottom"/>
            <w:gridSpan w:val="8"/>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Stockholders' Equity for the Years Ended December 31, 2018, 2017, and 2016</w:t>
              </w:r>
            </w:hyperlink>
          </w:p>
        </w:tc>
        <w:tc>
          <w:tcPr>
            <w:tcW w:w="100" w:type="dxa"/>
            <w:vAlign w:val="bottom"/>
          </w:tcPr>
          <w:p>
            <w:pPr>
              <w:spacing w:after="0"/>
              <w:rPr>
                <w:sz w:val="17"/>
                <w:szCs w:val="17"/>
                <w:color w:val="auto"/>
              </w:rPr>
            </w:pPr>
          </w:p>
        </w:tc>
        <w:tc>
          <w:tcPr>
            <w:tcW w:w="1160" w:type="dxa"/>
            <w:vAlign w:val="bottom"/>
            <w:gridSpan w:val="5"/>
          </w:tcPr>
          <w:p>
            <w:pPr>
              <w:jc w:val="center"/>
              <w:ind w:right="260"/>
              <w:spacing w:after="0" w:line="202" w:lineRule="exact"/>
              <w:rPr>
                <w:rFonts w:ascii="Arial" w:cs="Arial" w:eastAsia="Arial" w:hAnsi="Arial"/>
                <w:sz w:val="18"/>
                <w:szCs w:val="18"/>
                <w:color w:val="0000FF"/>
                <w:w w:val="93"/>
              </w:rPr>
            </w:pPr>
            <w:hyperlink w:anchor="page92">
              <w:r>
                <w:rPr>
                  <w:rFonts w:ascii="Arial" w:cs="Arial" w:eastAsia="Arial" w:hAnsi="Arial"/>
                  <w:sz w:val="18"/>
                  <w:szCs w:val="18"/>
                  <w:color w:val="0000FF"/>
                  <w:w w:val="93"/>
                </w:rPr>
                <w:t>F- 6</w:t>
              </w:r>
            </w:hyperlink>
          </w:p>
        </w:tc>
      </w:tr>
      <w:tr>
        <w:trPr>
          <w:trHeight w:val="48"/>
        </w:trPr>
        <w:tc>
          <w:tcPr>
            <w:tcW w:w="280" w:type="dxa"/>
            <w:vAlign w:val="bottom"/>
          </w:tcPr>
          <w:p>
            <w:pPr>
              <w:spacing w:after="0"/>
              <w:rPr>
                <w:sz w:val="4"/>
                <w:szCs w:val="4"/>
                <w:color w:val="auto"/>
              </w:rPr>
            </w:pPr>
          </w:p>
        </w:tc>
        <w:tc>
          <w:tcPr>
            <w:tcW w:w="112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80" w:type="dxa"/>
            <w:vAlign w:val="bottom"/>
            <w:shd w:val="clear" w:color="auto" w:fill="CCEEFF"/>
          </w:tcPr>
          <w:p>
            <w:pPr>
              <w:spacing w:after="0"/>
              <w:rPr>
                <w:sz w:val="17"/>
                <w:szCs w:val="17"/>
                <w:color w:val="auto"/>
              </w:rPr>
            </w:pPr>
          </w:p>
        </w:tc>
        <w:tc>
          <w:tcPr>
            <w:tcW w:w="8560" w:type="dxa"/>
            <w:vAlign w:val="bottom"/>
            <w:gridSpan w:val="8"/>
            <w:shd w:val="clear" w:color="auto" w:fill="CCEEFF"/>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 for the Years Ended December 31, 2018, 2017, and 2016</w:t>
              </w:r>
            </w:hyperlink>
          </w:p>
        </w:tc>
        <w:tc>
          <w:tcPr>
            <w:tcW w:w="10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center"/>
              <w:ind w:right="260"/>
              <w:spacing w:after="0" w:line="202" w:lineRule="exact"/>
              <w:rPr>
                <w:rFonts w:ascii="Arial" w:cs="Arial" w:eastAsia="Arial" w:hAnsi="Arial"/>
                <w:sz w:val="18"/>
                <w:szCs w:val="18"/>
                <w:color w:val="0000FF"/>
                <w:w w:val="93"/>
              </w:rPr>
            </w:pPr>
            <w:hyperlink w:anchor="page94">
              <w:r>
                <w:rPr>
                  <w:rFonts w:ascii="Arial" w:cs="Arial" w:eastAsia="Arial" w:hAnsi="Arial"/>
                  <w:sz w:val="18"/>
                  <w:szCs w:val="18"/>
                  <w:color w:val="0000FF"/>
                  <w:w w:val="93"/>
                </w:rPr>
                <w:t>F- 8</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7000" w:type="dxa"/>
            <w:vAlign w:val="bottom"/>
            <w:gridSpan w:val="5"/>
          </w:tcPr>
          <w:p>
            <w:pPr>
              <w:spacing w:after="0" w:line="202" w:lineRule="exact"/>
              <w:rPr>
                <w:rFonts w:ascii="Arial" w:cs="Arial" w:eastAsia="Arial" w:hAnsi="Arial"/>
                <w:sz w:val="18"/>
                <w:szCs w:val="18"/>
                <w:color w:val="0000FF"/>
              </w:rPr>
            </w:pPr>
            <w:hyperlink w:anchor="page95">
              <w:r>
                <w:rPr>
                  <w:rFonts w:ascii="Arial" w:cs="Arial" w:eastAsia="Arial" w:hAnsi="Arial"/>
                  <w:sz w:val="18"/>
                  <w:szCs w:val="18"/>
                  <w:color w:val="0000FF"/>
                </w:rPr>
                <w:t>Notes to Consolidated Financial Statements</w:t>
              </w:r>
            </w:hyperlink>
          </w:p>
        </w:tc>
        <w:tc>
          <w:tcPr>
            <w:tcW w:w="15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5"/>
          </w:tcPr>
          <w:p>
            <w:pPr>
              <w:jc w:val="center"/>
              <w:ind w:right="240"/>
              <w:spacing w:after="0" w:line="202" w:lineRule="exact"/>
              <w:rPr>
                <w:rFonts w:ascii="Arial" w:cs="Arial" w:eastAsia="Arial" w:hAnsi="Arial"/>
                <w:sz w:val="18"/>
                <w:szCs w:val="18"/>
                <w:color w:val="0000FF"/>
                <w:w w:val="92"/>
              </w:rPr>
            </w:pPr>
            <w:hyperlink w:anchor="page95">
              <w:r>
                <w:rPr>
                  <w:rFonts w:ascii="Arial" w:cs="Arial" w:eastAsia="Arial" w:hAnsi="Arial"/>
                  <w:sz w:val="18"/>
                  <w:szCs w:val="18"/>
                  <w:color w:val="0000FF"/>
                  <w:w w:val="92"/>
                </w:rPr>
                <w:t xml:space="preserve">F- 9 </w:t>
              </w:r>
            </w:hyperlink>
            <w:r>
              <w:rPr>
                <w:rFonts w:ascii="Arial" w:cs="Arial" w:eastAsia="Arial" w:hAnsi="Arial"/>
                <w:sz w:val="18"/>
                <w:szCs w:val="18"/>
                <w:color w:val="0000FF"/>
                <w:w w:val="92"/>
              </w:rPr>
              <w:t xml:space="preserve">to </w:t>
            </w:r>
            <w:hyperlink w:anchor="page133">
              <w:r>
                <w:rPr>
                  <w:rFonts w:ascii="Arial" w:cs="Arial" w:eastAsia="Arial" w:hAnsi="Arial"/>
                  <w:sz w:val="18"/>
                  <w:szCs w:val="18"/>
                  <w:color w:val="0000FF"/>
                  <w:w w:val="92"/>
                </w:rPr>
                <w:t>F- 47</w:t>
              </w:r>
            </w:hyperlink>
          </w:p>
        </w:tc>
      </w:tr>
      <w:tr>
        <w:trPr>
          <w:trHeight w:val="20"/>
        </w:trPr>
        <w:tc>
          <w:tcPr>
            <w:tcW w:w="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0760"/>
          </w:cols>
          <w:pgMar w:left="240" w:top="130" w:right="89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Regeneron Pharmaceuticals, Inc. and its subsidiaries (the "Company") as of December 31, 2018 and 2017, and the related consolidated statements of operations and comprehensive income;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2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8"/>
              </w:rPr>
              <w:t>(In millions,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596.8</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1,538.6</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193.7</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726.1</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6,447.6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4,335.0</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1,486.5</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2,358.6</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506.3</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11,734.5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8,764.3</w:t>
            </w:r>
          </w:p>
        </w:tc>
      </w:tr>
      <w:tr>
        <w:trPr>
          <w:trHeight w:val="67"/>
        </w:trPr>
        <w:tc>
          <w:tcPr>
            <w:tcW w:w="1160" w:type="dxa"/>
            <w:vAlign w:val="bottom"/>
            <w:tcBorders>
              <w:bottom w:val="single" w:sz="8" w:color="CCEEFF"/>
            </w:tcBorders>
          </w:tcPr>
          <w:p>
            <w:pPr>
              <w:spacing w:after="0"/>
              <w:rPr>
                <w:sz w:val="5"/>
                <w:szCs w:val="5"/>
                <w:color w:val="auto"/>
              </w:rPr>
            </w:pPr>
          </w:p>
        </w:tc>
        <w:tc>
          <w:tcPr>
            <w:tcW w:w="69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1160" w:type="dxa"/>
            <w:vAlign w:val="bottom"/>
            <w:shd w:val="clear" w:color="auto" w:fill="CCEEFF"/>
          </w:tcPr>
          <w:p>
            <w:pPr>
              <w:spacing w:after="0"/>
              <w:rPr>
                <w:sz w:val="22"/>
                <w:szCs w:val="22"/>
                <w:color w:val="auto"/>
              </w:rPr>
            </w:pPr>
          </w:p>
        </w:tc>
        <w:tc>
          <w:tcPr>
            <w:tcW w:w="6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6940" w:type="dxa"/>
            <w:vAlign w:val="bottom"/>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178.2</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637.2</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 from Sanofi</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177.7</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1,135.5</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Capital and facility lease obligations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703.5</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249.3</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2,620.2</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30,0000,000 shares authorized; issued and outstanding - none</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1,911,354 in 2018 and 2017</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- 111,084,951 in 2018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109,477,222 in 2017</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3,911.6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3,512.9</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2,946.7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3,990,021 shares in 2018 and 3,763,868 shares in 2017</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8,757.3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6,144.1</w:t>
            </w: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8,764.3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90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00"/>
          </w:cols>
          <w:pgMar w:left="240" w:top="118" w:right="259" w:bottom="906"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3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41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80" w:type="dxa"/>
            <w:vAlign w:val="bottom"/>
            <w:gridSpan w:val="8"/>
          </w:tcPr>
          <w:p>
            <w:pPr>
              <w:jc w:val="center"/>
              <w:ind w:left="43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140" w:type="dxa"/>
            <w:vAlign w:val="bottom"/>
            <w:gridSpan w:val="4"/>
          </w:tcPr>
          <w:p>
            <w:pPr>
              <w:jc w:val="center"/>
              <w:ind w:right="5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2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3,338.4</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658.7</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744.3</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119.0</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4,860.4</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2,052.3</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1,177.7</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194.6</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0"/>
              </w:rPr>
              <w:t>Cost of collaboration and contract manufacturing</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r>
      <w:tr>
        <w:trPr>
          <w:trHeight w:val="237"/>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3,529.7</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1,330.7</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1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1,329.8</w:t>
            </w:r>
          </w:p>
        </w:tc>
      </w:tr>
      <w:tr>
        <w:trPr>
          <w:trHeight w:val="284"/>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r>
      <w:tr>
        <w:trPr>
          <w:trHeight w:val="277"/>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895.5</w:t>
            </w:r>
          </w:p>
        </w:tc>
      </w:tr>
      <w:tr>
        <w:trPr>
          <w:trHeight w:val="20"/>
        </w:trPr>
        <w:tc>
          <w:tcPr>
            <w:tcW w:w="1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8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7.70</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0" w:type="dxa"/>
            <w:vAlign w:val="bottom"/>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104.7</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w:t>
            </w:r>
          </w:p>
        </w:tc>
      </w:tr>
      <w:tr>
        <w:trPr>
          <w:trHeight w:val="284"/>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2,444.4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895.5</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820" w:type="dxa"/>
            <w:vAlign w:val="bottom"/>
            <w:gridSpan w:val="2"/>
          </w:tcPr>
          <w:p>
            <w:pPr>
              <w:ind w:left="280"/>
              <w:spacing w:after="0"/>
              <w:rPr>
                <w:sz w:val="20"/>
                <w:szCs w:val="20"/>
                <w:color w:val="auto"/>
              </w:rPr>
            </w:pPr>
            <w:r>
              <w:rPr>
                <w:rFonts w:ascii="Arial" w:cs="Arial" w:eastAsia="Arial" w:hAnsi="Arial"/>
                <w:sz w:val="18"/>
                <w:szCs w:val="18"/>
                <w:color w:val="auto"/>
                <w:w w:val="94"/>
              </w:rPr>
              <w:t>Unrealized (loss) gain on marketable securities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3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2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120" w:type="dxa"/>
            <w:vAlign w:val="bottom"/>
          </w:tcPr>
          <w:p>
            <w:pPr>
              <w:spacing w:after="0"/>
              <w:rPr>
                <w:sz w:val="22"/>
                <w:szCs w:val="22"/>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4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874.1</w:t>
            </w: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172085</wp:posOffset>
            </wp:positionV>
            <wp:extent cx="7100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2">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189230</wp:posOffset>
            </wp:positionV>
            <wp:extent cx="71005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3">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F- 5</w:t>
      </w:r>
    </w:p>
    <w:p>
      <w:pPr>
        <w:sectPr>
          <w:pgSz w:w="11900" w:h="16838" w:orient="portrait"/>
          <w:cols w:equalWidth="0" w:num="1">
            <w:col w:w="11320"/>
          </w:cols>
          <w:pgMar w:left="240" w:top="117"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23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9"/>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13"/>
          </w:tcPr>
          <w:p>
            <w:pPr>
              <w:jc w:val="center"/>
              <w:ind w:right="22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13"/>
          </w:tcPr>
          <w:p>
            <w:pPr>
              <w:jc w:val="center"/>
              <w:ind w:right="200"/>
              <w:spacing w:after="0"/>
              <w:rPr>
                <w:sz w:val="20"/>
                <w:szCs w:val="20"/>
                <w:color w:val="auto"/>
              </w:rPr>
            </w:pPr>
            <w:r>
              <w:rPr>
                <w:rFonts w:ascii="Arial" w:cs="Arial" w:eastAsia="Arial" w:hAnsi="Arial"/>
                <w:sz w:val="18"/>
                <w:szCs w:val="18"/>
                <w:b w:val="1"/>
                <w:bCs w:val="1"/>
                <w:color w:val="auto"/>
                <w:w w:val="90"/>
              </w:rPr>
              <w:t>For the Years Ended December 31, 2018, 2017, and 2016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i w:val="1"/>
                <w:iCs w:val="1"/>
                <w:color w:val="auto"/>
                <w:w w:val="93"/>
              </w:rPr>
              <w:t>(In millions)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460" w:type="dxa"/>
            <w:vAlign w:val="bottom"/>
            <w:gridSpan w:val="3"/>
            <w:vMerge w:val="restart"/>
          </w:tcPr>
          <w:p>
            <w:pPr>
              <w:jc w:val="right"/>
              <w:ind w:right="30"/>
              <w:spacing w:after="0"/>
              <w:rPr>
                <w:sz w:val="20"/>
                <w:szCs w:val="20"/>
                <w:color w:val="auto"/>
              </w:rPr>
            </w:pPr>
            <w:r>
              <w:rPr>
                <w:rFonts w:ascii="Arial" w:cs="Arial" w:eastAsia="Arial" w:hAnsi="Arial"/>
                <w:sz w:val="18"/>
                <w:szCs w:val="18"/>
                <w:b w:val="1"/>
                <w:bCs w:val="1"/>
                <w:color w:val="auto"/>
                <w:w w:val="99"/>
              </w:rPr>
              <w:t>Common Stock</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Treasury Stock</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580" w:type="dxa"/>
            <w:vAlign w:val="bottom"/>
            <w:gridSpan w:val="4"/>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0.1</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3,099.5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852.7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(306.1)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3,654.8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tendered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and vesting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 in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employee tax obligations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w w:val="99"/>
              </w:rPr>
              <w:t>conversion of convertible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Company 401(k) Savings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9"/>
              </w:rPr>
              <w:t>Stock-based compensation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charges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Common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 of convertible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 hedges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Reduction of warrants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of equity</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component of convertible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20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Common Stock tendered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upon exercise of stock</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options and vesting of</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stock in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w w:val="99"/>
              </w:rPr>
              <w:t>employee tax obligations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Issuance of restricted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under Long-Term</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w w:val="97"/>
              </w:rPr>
              <w:t>Company 401(k) Savings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Plan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Stock-based compensation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18" w:right="339" w:bottom="4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F- 6</w:t>
      </w:r>
    </w:p>
    <w:p>
      <w:pPr>
        <w:sectPr>
          <w:pgSz w:w="11900" w:h="16838" w:orient="portrait"/>
          <w:cols w:equalWidth="0" w:num="1">
            <w:col w:w="11320"/>
          </w:cols>
          <w:pgMar w:left="240" w:top="118" w:right="339" w:bottom="433"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23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7040" w:type="dxa"/>
            <w:vAlign w:val="bottom"/>
            <w:gridSpan w:val="17"/>
          </w:tcPr>
          <w:p>
            <w:pPr>
              <w:ind w:left="280"/>
              <w:spacing w:after="0"/>
              <w:rPr>
                <w:sz w:val="20"/>
                <w:szCs w:val="20"/>
                <w:color w:val="auto"/>
              </w:rPr>
            </w:pPr>
            <w:r>
              <w:rPr>
                <w:rFonts w:ascii="Arial" w:cs="Arial" w:eastAsia="Arial" w:hAnsi="Arial"/>
                <w:sz w:val="18"/>
                <w:szCs w:val="18"/>
                <w:b w:val="1"/>
                <w:bCs w:val="1"/>
                <w:color w:val="auto"/>
              </w:rPr>
              <w:t xml:space="preserve">CONSOLIDATED STATEMENTS OF STOCKHOLDERS' EQUITY </w:t>
            </w:r>
            <w:r>
              <w:rPr>
                <w:rFonts w:ascii="Arial" w:cs="Arial" w:eastAsia="Arial" w:hAnsi="Arial"/>
                <w:sz w:val="18"/>
                <w:szCs w:val="18"/>
                <w:b w:val="1"/>
                <w:bCs w:val="1"/>
                <w:i w:val="1"/>
                <w:iCs w:val="1"/>
                <w:color w:val="auto"/>
              </w:rPr>
              <w:t>(continued)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Treasury Stock</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560" w:type="dxa"/>
            <w:vAlign w:val="bottom"/>
            <w:gridSpan w:val="4"/>
            <w:vMerge w:val="continue"/>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580" w:type="dxa"/>
            <w:vAlign w:val="bottom"/>
            <w:gridSpan w:val="4"/>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Other comprehensive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income, net of tax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6,144.1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tendered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and vesting of</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 in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employee tax obligations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9"/>
              </w:rPr>
              <w:t>Issuance of restricted stock</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under Long-Term</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Incentive Plan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Company 401(k) Savings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Repurchases of Common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Stock from Sanofi</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Stock-based compensation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Cumulative-effect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w w:val="95"/>
              </w:rPr>
              <w:t>adjustment upon adoption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of new accounting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standards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net of tax</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2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w:t>
            </w:r>
          </w:p>
        </w:tc>
        <w:tc>
          <w:tcPr>
            <w:tcW w:w="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   0.1</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  3,911.6</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$ 5,254.3</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(396.4)</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    8,757.3</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14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22860</wp:posOffset>
            </wp:positionV>
            <wp:extent cx="71266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4">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40005</wp:posOffset>
            </wp:positionV>
            <wp:extent cx="71266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320"/>
          </w:cols>
          <w:pgMar w:left="240" w:top="118"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00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00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440" w:type="dxa"/>
            <w:vAlign w:val="bottom"/>
          </w:tcPr>
          <w:p>
            <w:pPr>
              <w:jc w:val="center"/>
              <w:ind w:left="357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2,444.4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895.5</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104.7</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559.9</w:t>
            </w:r>
          </w:p>
        </w:tc>
      </w:tr>
      <w:tr>
        <w:trPr>
          <w:trHeight w:val="243"/>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45.1</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43"/>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4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r>
      <w:tr>
        <w:trPr>
          <w:trHeight w:val="243"/>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244.3</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5"/>
              </w:rPr>
              <w:t>Increase (decrease)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w:t>
            </w:r>
          </w:p>
        </w:tc>
      </w:tr>
      <w:tr>
        <w:trPr>
          <w:trHeight w:val="237"/>
        </w:trPr>
        <w:tc>
          <w:tcPr>
            <w:tcW w:w="660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590.4</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1,485.9</w:t>
            </w:r>
          </w:p>
        </w:tc>
      </w:tr>
      <w:tr>
        <w:trPr>
          <w:trHeight w:val="277"/>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(809.4)</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(511.9)</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(1,046.8)</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w w:val="95"/>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gridSpan w:val="2"/>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(700.5)</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809.1</w:t>
            </w:r>
          </w:p>
        </w:tc>
      </w:tr>
      <w:tr>
        <w:trPr>
          <w:trHeight w:val="27"/>
        </w:trPr>
        <w:tc>
          <w:tcPr>
            <w:tcW w:w="11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6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547.7</w:t>
            </w:r>
          </w:p>
        </w:tc>
      </w:tr>
      <w:tr>
        <w:trPr>
          <w:trHeight w:val="271"/>
        </w:trPr>
        <w:tc>
          <w:tcPr>
            <w:tcW w:w="1160" w:type="dxa"/>
            <w:vAlign w:val="bottom"/>
            <w:shd w:val="clear" w:color="auto" w:fill="CCEEFF"/>
          </w:tcPr>
          <w:p>
            <w:pPr>
              <w:spacing w:after="0"/>
              <w:rPr>
                <w:sz w:val="23"/>
                <w:szCs w:val="23"/>
                <w:color w:val="auto"/>
              </w:rPr>
            </w:pPr>
          </w:p>
        </w:tc>
        <w:tc>
          <w:tcPr>
            <w:tcW w:w="5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43"/>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754.8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481.4</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0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6">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005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7">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200"/>
          </w:cols>
          <w:pgMar w:left="240" w:top="118" w:right="459" w:bottom="1440" w:gutter="0" w:footer="0" w:header="0"/>
          <w:type w:val="continuous"/>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79"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Regeneron Pharmaceuticals, Inc. and its subsidiaries ("Regeneron," "Company," "we," "us," and "our")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 The Company's products that have received marketing approval consist of EYLEA</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(aflibercept), Dupixent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(dupilumab), Praluent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(alirocumab), Kevzara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(sarilumab), Libtayo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(cemiplimab),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and 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a party to collaboration agreements to develop and commercialize, as applicable, certain products and product candidates (see Note 3).</w:t>
      </w:r>
    </w:p>
    <w:p>
      <w:pPr>
        <w:spacing w:after="0" w:line="26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operates in one business segment, which includes all activities related to the discovery, development, and commercialization of medicines for the treatment of serious diseases.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consolidated financial statements include the accounts of Regeneron and its wholly-owned subsidiaries. Intercompany balances and transactions are eliminated in consolidation. Certain reclassifications have been made to prior period amounts to conform with the current period's presentation.</w:t>
      </w:r>
    </w:p>
    <w:p>
      <w:pPr>
        <w:spacing w:after="0" w:line="1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We adopted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of January 1, 2018. The Company adopted the standard using the modified retrospective method, and thus recognized a cumulative-effect adjustment to reduce Retained earnings and increase Deferred revenue on January 1, 2018 by $143.4 million, net of tax. Prior period amounts have not been adjusted in connection with the adoption of this standard.</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new standard did not have an impact on the recognition of revenue from product sales (see Note 2). However, the new standard has resulted in certain changes to the timing of revenue recognition related to our collaboration agreements (see Note 3). As a result of adopting ASC 606, non-refundable upfront payments, which were previously recognized ratably over the performance period, and substantive development milestones, which were previously recognized in the period when the milestone was achieved, will be recognized over the remaining performance period based on the Company's progress towards satisfying its identified performance obligation.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tables summarize the impacts of adopting ASC 606 on the Company's consolidated financial statements as of and for the year ended December 31, 2018 compared with the guidance that was in effect before the change.</w:t>
      </w:r>
    </w:p>
    <w:p>
      <w:pPr>
        <w:spacing w:after="0" w:line="24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 2018</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Balance Sheet Data</w:t>
            </w:r>
          </w:p>
        </w:tc>
        <w:tc>
          <w:tcPr>
            <w:tcW w:w="160" w:type="dxa"/>
            <w:vAlign w:val="bottom"/>
          </w:tcPr>
          <w:p>
            <w:pPr>
              <w:spacing w:after="0"/>
              <w:rPr>
                <w:sz w:val="16"/>
                <w:szCs w:val="16"/>
                <w:color w:val="auto"/>
              </w:rPr>
            </w:pPr>
          </w:p>
        </w:tc>
        <w:tc>
          <w:tcPr>
            <w:tcW w:w="13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16"/>
                <w:szCs w:val="16"/>
                <w:color w:val="auto"/>
              </w:rPr>
            </w:pPr>
          </w:p>
        </w:tc>
        <w:tc>
          <w:tcPr>
            <w:tcW w:w="11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828.7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846.2</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11,769.5</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770.8</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Deferred revenue from Sanofi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Deferred revenue - other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1,290.2</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Deferred revenue from Sanofi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Deferred revenue - other (noncurrent)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3,009.6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5,256.9</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8,757.3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8,759.9</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11,769.5</w:t>
            </w:r>
          </w:p>
        </w:tc>
      </w:tr>
      <w:tr>
        <w:trPr>
          <w:trHeight w:val="57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2018</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Balance Without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194"/>
        </w:trPr>
        <w:tc>
          <w:tcPr>
            <w:tcW w:w="20" w:type="dxa"/>
            <w:vAlign w:val="bottom"/>
          </w:tcPr>
          <w:p>
            <w:pPr>
              <w:spacing w:after="0"/>
              <w:rPr>
                <w:sz w:val="16"/>
                <w:szCs w:val="16"/>
                <w:color w:val="auto"/>
              </w:rPr>
            </w:pPr>
          </w:p>
        </w:tc>
        <w:tc>
          <w:tcPr>
            <w:tcW w:w="43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Consolidated Statement of Operations Data</w:t>
            </w:r>
          </w:p>
        </w:tc>
        <w:tc>
          <w:tcPr>
            <w:tcW w:w="160" w:type="dxa"/>
            <w:vAlign w:val="bottom"/>
          </w:tcPr>
          <w:p>
            <w:pPr>
              <w:spacing w:after="0"/>
              <w:rPr>
                <w:sz w:val="16"/>
                <w:szCs w:val="16"/>
                <w:color w:val="auto"/>
              </w:rPr>
            </w:pPr>
          </w:p>
        </w:tc>
        <w:tc>
          <w:tcPr>
            <w:tcW w:w="13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16"/>
                <w:szCs w:val="16"/>
                <w:color w:val="auto"/>
              </w:rPr>
            </w:pPr>
          </w:p>
        </w:tc>
        <w:tc>
          <w:tcPr>
            <w:tcW w:w="11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93"/>
              </w:rPr>
              <w:t>606</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1860" w:type="dxa"/>
            <w:vAlign w:val="bottom"/>
            <w:tcBorders>
              <w:top w:val="single" w:sz="8" w:color="auto"/>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Sanofi collaboration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947.3</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Other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385.1</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6,515.3</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Cost of collaboration and contract manufacturing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236.6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2,356.4</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2,553.5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2,375.5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2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2,444.4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2,303.6</w:t>
            </w:r>
          </w:p>
        </w:tc>
      </w:tr>
    </w:tbl>
    <w:p>
      <w:pPr>
        <w:spacing w:after="0" w:line="283"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 xml:space="preserve">The Company also adopted Accounting Standards Update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The amendments require companies to measure equity investments at fair value with changes in fair value recognized in net income. Upon adoption, the Company recognized a cumulative-effect adjustment, related to unrealized gains on equity securities, to reduce Accumulated other comprehensive income and increase Retained earnings on January 1, 2018 by $6.6 million. See Note 4 and Note 5.</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concentration and diversification. We invest our cash primarily in debt securities of investment grade institutions. We consider our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available-sale-sale debt securities are included in Other income (expense), net. We also have investments in equity securities that are carried at fair value with changes in fair value recognized within Other income (expense), net. We have elected to measure certain equity investments we hold that do not have readily determinable fair values at cost less impairment, if any, and adjust for observable price changes in orderly transactions for identical or similar investments of the same issuer.</w:t>
      </w:r>
    </w:p>
    <w:p>
      <w:pPr>
        <w:spacing w:after="0" w:line="24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reviews its portfolio of available-for-sale debt securities, using both quantitative and qualitative factors, to determine if declines in fair value below cost are other-than-temporary. If a decline in the fair value of an available-for-sale debt security in the Company's investment portfolio is deemed to be other-than-temporary, the Company writes down the cost basis of the security to its current fair value and recognizes a loss as a charge against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trade accounts receivable arise from product sales and represent amounts due from its distributors and specialty pharmacies (collectively, the Company's trade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if any, that may result from a customer's inability to pay. Amounts determined to be uncollectible are written-off against the reserve.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w:t>
      </w:r>
    </w:p>
    <w:p>
      <w:pPr>
        <w:spacing w:after="0" w:line="22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unmarketable inventory to its estimated realizable value.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Property, plant, and equipment are stated at cost, net of accumulated depreciation. Depreciation is provided on a straight-line basis over the estimated useful lives of the assets. Leasehold improvements are amortized over the shorter of the estimated useful lives of the assets or the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96"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10–50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20" w:type="dxa"/>
            <w:vAlign w:val="bottom"/>
          </w:tcPr>
          <w:p>
            <w:pPr>
              <w:ind w:left="400"/>
              <w:spacing w:after="0"/>
              <w:rPr>
                <w:sz w:val="20"/>
                <w:szCs w:val="20"/>
                <w:color w:val="auto"/>
              </w:rPr>
            </w:pPr>
            <w:r>
              <w:rPr>
                <w:rFonts w:ascii="Arial" w:cs="Arial" w:eastAsia="Arial" w:hAnsi="Arial"/>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Product revenue consists of U.S. sales of EYLEA, Libtayo, and ARCALYST. Revenue from product sales is recognized at a point in time when our customer is deemed to have obtained control of the product, which generally occurs upon receipt by our distributors and specialty pharmacies. The Company's written contracts with its customers stipulate product is shipped freight on board destination (FOB destination).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sells its marketed products in the United States to several distributors and specialty pharmacies. Under these distribution models, the distributors and specialty pharmacies generally take physical delivery of product. For EYLEA and Libatyo, the distributors and specialty pharmacies generally sell the product directly to healthcare providers.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amount of revenue we recognize from product sales varies due to rebates, chargebacks, and discounts provided under governmental and other programs, distribution-related fees, and other sales-related deductions. In order to determine the transaction price, we estimate, utilizing the expected value method, the amount of variable consideration that we will be entitled to. This estimate is based upon contracts with customers and government agencies, statutorily-defined discounts applicable to government-funded programs, historical experience, estimated payer mix, and other relevant factors. The Company reviews its estimates of rebates, chargebacks, and other applicable provisions each period and records any necessary adjustments in the current period's net product sales.</w:t>
      </w:r>
    </w:p>
    <w:p>
      <w:pPr>
        <w:spacing w:after="0" w:line="2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 xml:space="preserve">Government Rebates and Chargebacks: </w:t>
      </w:r>
      <w:r>
        <w:rPr>
          <w:rFonts w:ascii="Arial" w:cs="Arial" w:eastAsia="Arial" w:hAnsi="Arial"/>
          <w:sz w:val="16"/>
          <w:szCs w:val="16"/>
          <w:color w:val="auto"/>
        </w:rPr>
        <w:t>The Company estimates reductions to product sales for Medicaid and Veterans' Administration ("VA")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and for certain other qualifying federal and state government programs. Based upon the 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generally based on gross sales.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its customers a limited right to return product purchased directly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of EYLEA and Libtayo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Other Sales-Related Deductions</w:t>
      </w:r>
      <w:r>
        <w:rPr>
          <w:rFonts w:ascii="Arial" w:cs="Arial" w:eastAsia="Arial" w:hAnsi="Arial"/>
          <w:sz w:val="18"/>
          <w:szCs w:val="18"/>
          <w:color w:val="auto"/>
        </w:rPr>
        <w:t>: The Company estimates discounts and other sales-related deductions offered to customers, group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and end-user customers, based on written contracts. The Company estimates and records other sales-related deductions generally based on gross sales.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entered into various agreements related to our activities to research, develop, manufacture, and commercialize product candidates and utilize our technology platforms. The Company earns collaboration revenue in connection with collaboration agreements to utilize our technology platforms and develop and/or commercialize product candidates where we deem the collaborator to be our customer. As described above, during the first quarter of 2018, we adopted ASC 606. Under the terms of the new standard, revenue is measured as the amount of consideration we expect to be entitled to in exchange for transferring promised goods or providing services to a customer, and is recognized when (or as) we satisfy performance obligations under the terms of a contract. Depending on the terms of the arrangement, we may defer the recognition of all or a portion of the consideration received because the performance obligations are satisfied over time.</w:t>
      </w:r>
    </w:p>
    <w:p>
      <w:pPr>
        <w:spacing w:after="0" w:line="243"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Our collaboration agreements may require us to deliver various rights, services, and/or goods across the entire life cycle of a product or product candidate. In agreements involving multiple goods or services promised to be transferred to a customer, we must assess, at the inception of the contract, whether each promise represents a separate performance obligation (i.e., is "distinct"), or whether such promises should be combined as a single performance obligation.</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terms of these agreements typically include consideration to be provided to the Company in the form of non-refundable up-front payments, development milestones, payments for development activities, as well as payments for commercialization activities, sales milestones, and sharing of profits or losses arising from the commercialization of products.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the inception of the contract, the transaction price reflects the amount of consideration we expect to be entitled to in exchange for transferring promised goods or services to our customer. In arrangements where we satisfy performance obligation(s) during the development phase over time, we recognize collaboration revenue over time typically using an input method on the basis of our research and development costs incurred relative to the total expected cost which determines the extent of our progress toward completion. We review our estimate of the transaction price and the total expected cost each period, and make revisions to such estimates as necessary.</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research and development expense in the period when our collaborator incurs development expenses, the portion of the collaborator's development expenses that we are obligated to reimburse. Our collaborators provide us with estimated development expenses for the most recent fiscal quarter.</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The Company shares in any profits or losses arising from the commercialization of such products, and records its share of the variable consideration, representing net product sales less cost of goods sold and shared commercialization and other expenses, as collaboration revenue in the period in which such underlying sales occur and costs are incurred by the collaborator. Our collaborators provide us with estimates of our share of the profits or losses for such quarter; these estimates are reconciled to actual results in the subsequent fiscal quarter, and our share of the profit or loss is adjusted accordingly, as necessary</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arrangements where the collaborator records product sales, the Company may be obligated to use commercially reasonable efforts to supply commercial product to its collaborators, and may be reimbursed for its manufacturing costs as commercial product is shipped to its collaborators; however, recognition of such cost reimbursements as collaboration revenue is deferred until the</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F- 13</w:t>
      </w:r>
    </w:p>
    <w:p>
      <w:pPr>
        <w:sectPr>
          <w:pgSz w:w="11900" w:h="16838" w:orient="portrait"/>
          <w:cols w:equalWidth="0" w:num="1">
            <w:col w:w="11420"/>
          </w:cols>
          <w:pgMar w:left="240" w:top="130" w:right="239" w:bottom="1440" w:gutter="0" w:footer="0" w:header="0"/>
          <w:type w:val="continuous"/>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is sold by the Company's collaborators to third-party customers. In addition, we may also be reimbursed for a portion of costs incurred for other commercial-related activities, which are recorded as collaboration revenue in the period in which such costs are incurred.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21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2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These start-up costs usually occur within a few months after the contract has been executed and are event-driven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3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recognizes stock-based compensation expense for grants of stock option, restricted stock awards, and restricted stock units under the Company's Long-Term Incentive Plans to employees and non-employee members of the Company's board of directors (as applicable) based on the grant-date fair value of those awards. The grant-date fair value of an award is generally recognized as compensation expense over the award's requisite service period.</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financial statements or tax returns, including deferred tax assets and liabilities for expected amounts of global intangible low-taxed income ("GILTI") inclusions.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The Company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 surrounding the uncertain positions. The Company recognizes interest and penalties related to income tax matters in income tax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under the Company's Long-Term Incentive Plans, which are included under the "treasury stock method" when dilutive, (ii) if applicable, Common Stock to be issued upon the assumed conversion of the Company's convertible senior notes, which are included under the "if-converted method" when dilutive, and (iii) if applicable, Common Stock to be issued upon the exercise of outstanding warrants, which are included under the "treasury stock method" when dilutive.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financial instruments, and accounts receivable. In accordance with the Company's policies, the Company mandates asset diversification and monitors exposure with its counterparties.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Concentrations of credit risk with respect to accounts receivable are significant. The Company has a concentration of credit risk associated with the receivables due from its collaborators Bayer, Sanofi, and Teva. The Company is also subject to credit risk with accounts receivable from its product sales, which are due from several distributors and specialty pharmacies (the Company's customers). As of December 31, 2018 and 2017, three individual customers accounted for 99% of the Company's net trade accounts receivable balances. The Company has contractual payment terms with each of its customers, and the Company monitors its customers' financial performance and credit worthiness so that it can properly assess and respond to any changes in their credit profile. As of December 31, 2018 and 2017, there were no reserves against trade accounts receivable. In addition, during the years ended December 31, 2018, 2017, and 2016, the Company did not recognize any charges for write-offs of trade accounts receivable.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requires a lessee to recognize on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We will adopt this new standard on January 1, 2019 (the "effective date") and use the effective date as our date of initial application. As such, we will not adjust prior period amounts. Furthermore, we expect to elect the practical expedients upon transition, which permit companies to not reassess lease identification, classification, and initial direct costs under the new standard for leases that commenced prior to the effective date. We have substantially completed the process of analyzing and extracting relevant data from the Company’s lease contracts. We are finalizing our evaluation of the impact that this guidance will have on our financial statements, including related disclosures, and expect to recognize additional right-of-use assets and corresponding lease liabilities related to operating leases of approximately $30 million as of January 1, 2019. We have also evaluated our facilities for which the Company has historically applied build-to-suit accounting, and do not expect a material impact on our</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F- 15</w:t>
      </w:r>
    </w:p>
    <w:p>
      <w:pPr>
        <w:sectPr>
          <w:pgSz w:w="11900" w:h="16838" w:orient="portrait"/>
          <w:cols w:equalWidth="0" w:num="1">
            <w:col w:w="11420"/>
          </w:cols>
          <w:pgMar w:left="240" w:top="130" w:right="239" w:bottom="1440" w:gutter="0" w:footer="0" w:header="0"/>
          <w:type w:val="continuous"/>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statements upon adoption of the new standard. The ultimate impact that the new standard will have will depend on the total amount of the Company's lease commitments as of our first reporting period subsequent to the adoption date. We are also finalizing our implementation of a new lease accounting software system and updating our internal controls and processes.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2. Product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5620" w:type="dxa"/>
            <w:vAlign w:val="bottom"/>
            <w:gridSpan w:val="3"/>
          </w:tcPr>
          <w:p>
            <w:pPr>
              <w:ind w:left="260"/>
              <w:spacing w:after="0"/>
              <w:rPr>
                <w:sz w:val="20"/>
                <w:szCs w:val="20"/>
                <w:color w:val="auto"/>
              </w:rPr>
            </w:pPr>
            <w:r>
              <w:rPr>
                <w:rFonts w:ascii="Arial" w:cs="Arial" w:eastAsia="Arial" w:hAnsi="Arial"/>
                <w:sz w:val="18"/>
                <w:szCs w:val="18"/>
                <w:color w:val="auto"/>
              </w:rPr>
              <w:t>Net product sales consist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48"/>
        </w:trPr>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4"/>
                <w:szCs w:val="24"/>
                <w:color w:val="auto"/>
              </w:rPr>
            </w:pP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164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164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64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3,323.1</w:t>
            </w:r>
          </w:p>
        </w:tc>
      </w:tr>
      <w:tr>
        <w:trPr>
          <w:trHeight w:val="243"/>
        </w:trPr>
        <w:tc>
          <w:tcPr>
            <w:tcW w:w="16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Libtayo</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640" w:type="dxa"/>
            <w:vAlign w:val="bottom"/>
            <w:tcBorders>
              <w:right w:val="single" w:sz="8" w:color="CCEEFF"/>
            </w:tcBorders>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ARCALYST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37"/>
        </w:trPr>
        <w:tc>
          <w:tcPr>
            <w:tcW w:w="1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3,338.4</w:t>
            </w:r>
          </w:p>
        </w:tc>
      </w:tr>
      <w:tr>
        <w:trPr>
          <w:trHeight w:val="27"/>
        </w:trPr>
        <w:tc>
          <w:tcPr>
            <w:tcW w:w="1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each of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2017, and 2016. Sales to each of these customers as a percentage of the Company's total gross product revenue are as follows:</w:t>
      </w:r>
    </w:p>
    <w:p>
      <w:pPr>
        <w:spacing w:after="0" w:line="200" w:lineRule="exact"/>
        <w:rPr>
          <w:sz w:val="20"/>
          <w:szCs w:val="20"/>
          <w:color w:val="auto"/>
        </w:rPr>
      </w:pPr>
    </w:p>
    <w:p>
      <w:pPr>
        <w:spacing w:after="0" w:line="234"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3095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Besse Medical, a subsidiary of AmerisourceBergen Corporation</w:t>
            </w: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80" w:type="dxa"/>
            <w:vAlign w:val="bottom"/>
          </w:tcPr>
          <w:p>
            <w:pPr>
              <w:ind w:left="120"/>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Curascript SD Specialty Distribution, a subsidiary of Express Scripts</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Sales to Curascript SD Specialty Distribution represented less than 10% of total gross product revenue during the period.</w:t>
      </w:r>
    </w:p>
    <w:p>
      <w:pPr>
        <w:spacing w:after="0" w:line="30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these sales-related deductions for the years ended December 31, 2018, 2017, and 2016.</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Rebates,</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Other Sales-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Chargebacks, and</w:t>
            </w: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Related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Discounts</w:t>
            </w:r>
          </w:p>
        </w:tc>
        <w:tc>
          <w:tcPr>
            <w:tcW w:w="18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278.2</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(368.8)</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478.9</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130" w:right="239" w:bottom="1440" w:gutter="0" w:footer="0" w:header="0"/>
          <w:type w:val="continuous"/>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and License Agreements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entered into various agreements related to our activities to research, develop, manufacture, and commercialize product candidates and utilize our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Sanofi owned a total of 23,654,384 shares of our Common Stock as of December 31, 2018, a portion of which was purchased in connection with the companies' antibody collaboration described below. See Note 13 for a description of the investor agreement between us and Sanofi.</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The collaboration revenue we earned from Sanofi is detailed below:</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13"/>
        </w:trPr>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4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0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13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1300" w:type="dxa"/>
            <w:vAlign w:val="bottom"/>
            <w:tcBorders>
              <w:right w:val="single" w:sz="8" w:color="CCEEFF"/>
            </w:tcBorders>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564.9</w:t>
            </w:r>
          </w:p>
        </w:tc>
      </w:tr>
      <w:tr>
        <w:trPr>
          <w:trHeight w:val="27"/>
        </w:trPr>
        <w:tc>
          <w:tcPr>
            <w:tcW w:w="1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commercialization-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30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w:t>
            </w:r>
          </w:p>
        </w:tc>
      </w:tr>
      <w:tr>
        <w:trPr>
          <w:trHeight w:val="229"/>
        </w:trPr>
        <w:tc>
          <w:tcPr>
            <w:tcW w:w="130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(459.0)</w:t>
            </w:r>
          </w:p>
        </w:tc>
      </w:tr>
      <w:tr>
        <w:trPr>
          <w:trHeight w:val="27"/>
        </w:trPr>
        <w:tc>
          <w:tcPr>
            <w:tcW w:w="1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300" w:type="dxa"/>
            <w:vAlign w:val="bottom"/>
            <w:tcBorders>
              <w:right w:val="single" w:sz="8" w:color="CCEEFF"/>
            </w:tcBorders>
          </w:tcPr>
          <w:p>
            <w:pPr>
              <w:spacing w:after="0"/>
              <w:rPr>
                <w:sz w:val="23"/>
                <w:szCs w:val="23"/>
                <w:color w:val="auto"/>
              </w:rPr>
            </w:pPr>
          </w:p>
        </w:tc>
        <w:tc>
          <w:tcPr>
            <w:tcW w:w="4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1300" w:type="dxa"/>
            <w:vAlign w:val="bottom"/>
          </w:tcPr>
          <w:p>
            <w:pPr>
              <w:spacing w:after="0"/>
              <w:rPr>
                <w:sz w:val="20"/>
                <w:szCs w:val="20"/>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Total Antibody</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440.2</w:t>
            </w:r>
          </w:p>
        </w:tc>
      </w:tr>
      <w:tr>
        <w:trPr>
          <w:trHeight w:val="27"/>
        </w:trPr>
        <w:tc>
          <w:tcPr>
            <w:tcW w:w="13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300" w:type="dxa"/>
            <w:vAlign w:val="bottom"/>
            <w:tcBorders>
              <w:right w:val="single" w:sz="8" w:color="CCEEFF"/>
            </w:tcBorders>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130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1300" w:type="dxa"/>
            <w:vAlign w:val="bottom"/>
          </w:tcPr>
          <w:p>
            <w:pPr>
              <w:spacing w:after="0"/>
              <w:rPr>
                <w:sz w:val="20"/>
                <w:szCs w:val="20"/>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3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1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1300" w:type="dxa"/>
            <w:vAlign w:val="bottom"/>
            <w:tcBorders>
              <w:right w:val="single" w:sz="8" w:color="CCEEFF"/>
            </w:tcBorders>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commercialization-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300" w:type="dxa"/>
            <w:vAlign w:val="bottom"/>
            <w:tcBorders>
              <w:right w:val="single" w:sz="8" w:color="CCEEFF"/>
            </w:tcBorders>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spacing w:after="0"/>
              <w:rPr>
                <w:sz w:val="21"/>
                <w:szCs w:val="21"/>
                <w:color w:val="auto"/>
              </w:rPr>
            </w:pPr>
          </w:p>
        </w:tc>
        <w:tc>
          <w:tcPr>
            <w:tcW w:w="43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13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1300" w:type="dxa"/>
            <w:vAlign w:val="bottom"/>
            <w:tcBorders>
              <w:right w:val="single" w:sz="8" w:color="CCEEFF"/>
            </w:tcBorders>
          </w:tcPr>
          <w:p>
            <w:pPr>
              <w:spacing w:after="0"/>
              <w:rPr>
                <w:sz w:val="22"/>
                <w:szCs w:val="22"/>
                <w:color w:val="auto"/>
              </w:rPr>
            </w:pPr>
          </w:p>
        </w:tc>
        <w:tc>
          <w:tcPr>
            <w:tcW w:w="4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Immuno-oncology</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37"/>
        </w:trPr>
        <w:tc>
          <w:tcPr>
            <w:tcW w:w="1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658.7</w:t>
            </w:r>
          </w:p>
        </w:tc>
      </w:tr>
      <w:tr>
        <w:trPr>
          <w:trHeight w:val="27"/>
        </w:trPr>
        <w:tc>
          <w:tcPr>
            <w:tcW w:w="1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was governed by the companies' Discovery and Preclinical Development Agreement ("Antibody Discovery Agreement") and a License and Collaboration Agreement (each as amended). In connection with the execution of the Antibody Discovery Agreement in 2007, the Company received a non-refundable up-front payment of $85.0 million from Sanofi. In addition, under the Antibody Discovery Agreement, Sanofi funded the Company's research to identify and validate potential drug discovery targets and develop fully human monoclonal antibodies against these targets. Pursuant to the Antibody Discovery Agreement, as amended, Sanofi agreed to fund the Company's research activities up to $130.0 million in both 2016 and 2017. The Company's Antibody Discovery Agreement with Sanofi ended on December 31, 2017 without any extension and, therefore, funding from Sanofi under the Antibody Discovery Agreement ceased after 2017. The Company accelerated the recognition of deferred revenue from the $85.0 million up-front payment and other payments in connection with Sanofi's decision to end the Antibody Discovery Agreement between the Company and Sanofi on December 31, 2017. The Company has the right to develop or continue to develop product candidates discovered under the Antibody Discovery Agreement, with the exception of those that are being developed (and commercialized, as applicable) under the Antibody License and Collaboration Agreement (Dupixent, Praluent, Kevzara, and REGN3500), independently, or with other collaborators.</w:t>
      </w:r>
    </w:p>
    <w:p>
      <w:pPr>
        <w:spacing w:after="0" w:line="22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License and Collaboration Agreement, following receipt of the first positive Phase 3 trial results for a co-developed drug candidate, subsequent Phase 3 trial-related costs for that drug candidate ("Shared Phase 3 Trial Costs") are shared 80% by Sanofi and 20% by Regeneron. The Company recognized as research and development expense $47.7 million, $91.8 million, and</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F- 17</w:t>
      </w:r>
    </w:p>
    <w:p>
      <w:pPr>
        <w:sectPr>
          <w:pgSz w:w="11900" w:h="16838" w:orient="portrait"/>
          <w:cols w:equalWidth="0" w:num="1">
            <w:col w:w="11420"/>
          </w:cols>
          <w:pgMar w:left="240" w:top="130" w:right="23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$108.6 million in 2018, 2017, and 2016, respectively, its share of antibody development expenses that Sanofi incurred related to Praluent, Kevzara, and Dupixent. All other agreed-upon worldwide development expenses incurred by both companies are funded by Sanofi. If the Antibody Collaboration becomes profitable, we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only required to apply 10% of its share of the profits from the Antibody Collaboration in any calendar quarter to reimburse Sanofi for these development costs. The Company's contingent reimbursement obligation to Sanofi under the Antibody Collaboration was approximately $2.786 billion as of December 31, 2018.</w:t>
      </w:r>
    </w:p>
    <w:p>
      <w:pPr>
        <w:spacing w:after="0" w:line="23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6"/>
          <w:szCs w:val="16"/>
          <w:i w:val="1"/>
          <w:iCs w:val="1"/>
          <w:color w:val="auto"/>
        </w:rPr>
        <w:t>Immuno-Oncology</w:t>
      </w:r>
      <w:r>
        <w:rPr>
          <w:rFonts w:ascii="Arial" w:cs="Arial" w:eastAsia="Arial" w:hAnsi="Arial"/>
          <w:sz w:val="16"/>
          <w:szCs w:val="16"/>
          <w:color w:val="auto"/>
        </w:rPr>
        <w:t>" section below for further details regarding the Letter Agreement. During 2018, Sanofi elected to sell, and we elected to purchase (in cash), 10,766 shares of the Company's Common Stock in connection with Sanofi's funding obligation for Dupilumab/REGN3500 Eligible Investments. Consequently, we recorded the cost of the shares received, or $4.4 million, as Treasury Stock during 2018.</w:t>
      </w:r>
    </w:p>
    <w:p>
      <w:pPr>
        <w:spacing w:after="0" w:line="21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Regeneron is obligated to use commercially reasonable efforts to supply clinical requirements of each drug candidate under the Antibody Collaboration until commercial supplies of that drug candidate are being manufactured. Sanofi leads commercialization activities for products developed under the License and Collaboration Agreement, subject to the Company's right to co-promote such products. The Company has exercised its option to co-promote Praluent, Kevzara, and Dupixent in the United States and thus far has not exercised any of its options to co-promote Praluent, Kevzara, and Dupixent outside the United States. The parties equally share profits and losses from sales within the United States. The parties share profits outside the United States on a sliding scale based on sales starting at 65% (Sanofi)/35% (Regeneron) and ending at 55% (Sanofi)/45% (Regeneron), and losses outside the United States at 55% (Sanofi)/45% (Regeneron). In addition to profit and loss sharing, the Company is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5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"Reimbursement of Regeneron commercialization-related expenses" in the table above represents reimbursement of internal and external costs in connection with commercializing Praluent, Kevzara, and Dupixent. During the same periods that the Company recorded reimbursements from Sanofi related to the Company's commercialization expenses, the Company also recorded its share of losses in connection with the companies commercializing Praluent, Kevzara, and Dupixent within Sanofi collaboration revenue. In March and September 2017, the U.S. Food and Drug Administration ("FDA") and the European Commission, respectively, approved Dupixent for the treatment of adult patients with moderate-to-severe atopic dermatitis. In October 2018, the FDA also approved Dupixent as an add-on maintenance therapy in patients with moderate-to-severe asthma aged 12 years and older with an eosinophilic phenotype or with oral corticosteroid-dependent asthma. In May and June 2017, the FDA and the European Commission, respectively, approved Kevzara for the treatment of adult patients with rheumatoid arthritis.</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 respect to each antibody product in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The License and Collaboration Agreement contains other termination provisions, including for material breach by the other party. Upon termination of the collaboration in its entirety, the Company's obligation to reimburse Sanofi for development costs out of any future profits from collaboration products will terminate.</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significant promised goods and services consist of providing research and development services, including the manufacturing of clinical supplies, and providing commercial-related services, including the manufacturing of commercial supplies. As we recognize Sanofi antibody collaboration revenue in an amount equal to the amount we have the right to invoice and such amount corresponds directly with the value to Sanofi of our performance to date, we do not disclose the value of the transaction price allocated to our remaining unsatisfied performance obligations. The amount of variable consideration related to our share of profits and losses, as well as sales milestones, is deemed to be constrained as of December 31, 2018, and therefore has not been included in the transaction price.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accounts receivable and deferred revenue information in connection with the Company's Antibody Collaboration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8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117.7</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December 31, 2018</w:t>
            </w:r>
          </w:p>
        </w:tc>
      </w:tr>
      <w:tr>
        <w:trPr>
          <w:trHeight w:val="27"/>
        </w:trPr>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Increase due to shipments of commercial supplies to Sanofi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3"/>
              </w:rPr>
              <w:t>Revenue recognized that was included in deferred revenue at</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the beginning of the period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(133.2)</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the Company. Pursuant to the 2015 IO Discovery Agreement, the Company was to spend up to $1,090.0 million ("IO Discovery Budget") to identify and validate potential immuno-oncology targets and develop therapeutic antibodies against such targets through clinical proof-of-concept, and Sanofi was to reimburse the Company for up to $825.0 million ("IO Discovery Funding")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3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 of 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 of 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Pursuant to the Amended IO Discovery Agreement, we are primarily responsible for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However, the Company is only required to apply 10% of its share of the profits from IO Collaboration products in any calendar quarter towards</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F- 19</w:t>
      </w:r>
    </w:p>
    <w:p>
      <w:pPr>
        <w:sectPr>
          <w:pgSz w:w="11900" w:h="16838" w:orient="portrait"/>
          <w:cols w:equalWidth="0" w:num="1">
            <w:col w:w="11420"/>
          </w:cols>
          <w:pgMar w:left="240" w:top="130" w:right="239" w:bottom="1440" w:gutter="0" w:footer="0" w:header="0"/>
          <w:type w:val="continuous"/>
        </w:sectPr>
      </w:pPr>
    </w:p>
    <w:bookmarkStart w:id="105" w:name="page106"/>
    <w:bookmarkEnd w:id="10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reimbursing Sanofi for these development costs. The Company's contingent reimbursement obligation to Sanofi under the IO Collaboration was approximately $58 million as of December 31, 2018.</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With regard to the BCMAxCD3 Program and the MUC16xCD3 Program, when clinical proof-of-concept is established, the applicable Program Costs Cap is reached, or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the Company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commercialization of such BCMAxCD3 Program antibody; and (ii) if Sanofi exercises its option with respect to a MUC16xCD3 Program antibody, (x) the Company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Amended IO Discovery Agreement provides that Regeneron retains exclusive rights to all other immuno-oncology programs that were part of the 2015 IO Discovery Agreement, provided that Sanofi will receive a royalty on global sales of two product candidates currently in clinical development, REGN3767 and REGN4659.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IO License and Collaboration Agreement, Sanofi made a $375.0 million non-refundable up-front payment to the Company. 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subject to the same 10% reimbursement provision described above. In addition, we and Sanofi will share equally, on an ongoing basis, the development costs for a MUC16xCD3 Program antibody.</w:t>
      </w:r>
    </w:p>
    <w:p>
      <w:pPr>
        <w:spacing w:after="0" w:line="24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Under the terms of the IO License and Collaboration Agreement, the parties are co-developing Libtayo (cemiplimab), an antibody targeting the receptor known as programmed cell death protein 1 (PD-1). The parties share equally, on an ongoing basis, agreed-upon development expenses for Libtayo. Pursuant to the Letter Agreement, the Libtayo development budget was increased and the Company has agreed to allow Sanofi to satisfy in whole or in part its funding obligations with respect to Libtayo development and Dupilumab/REGN3500 Eligible Investments by selling up to an aggregate of 1,400,000 shares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2018, Sanofi elected to sell, and we elected to purchase (by issuing a credit towards the amount owed by Sanofi), 215,387 shares of the Company's Common Stock to satisfy Sanofi's funding obligation related to Libtayo development costs. Consequently, we recorded the cost of the shares received, or $75.8 million, as Treasury Stock during 2018.</w:t>
      </w:r>
    </w:p>
    <w:p>
      <w:pPr>
        <w:spacing w:after="0" w:line="2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while Sanofi will lead commercialization activities outside of the United States and the parties will equally share profits from worldwide sales. On September 28, 2018, the FDA approved Libtayo for the treatment of patients with metastatic or locally advanced cutaneous squamous cell carcinoma (CSCC), and Sanofi has exercised its option to co-promote Libtayo in the United States. The Company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 The amount of variable consideration related to such milestone is deemed to be constrained as of December 31, 2018, and therefore has not been included in the transaction price.</w:t>
      </w:r>
    </w:p>
    <w:p>
      <w:pPr>
        <w:spacing w:after="0" w:line="2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2018, we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we and Sanofi made an up-front payment of $20.0 million and are obligated to pay royalties of 8.0% on worldwide sales of Libtayo through December 31, 2023,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royalties of 2.5% from January 1, 2024 through December 31, 2026. The up-front payment was shared, and the royalties are shared, equally by us and Sanofi.</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Each party will have the right to co-promote licensed products in countries where it is not the lead commercialization party. The parties will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 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2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At the inception of the IO Collaboration,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Sanofi being unable to benefit on its own or together with other resources that are readily available as the license provides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$640.0 million in aggregate up-front payments made by Sanofi during 2015 in connection with the execution of the IO Collaboration has been recorded as deferred revenue and has been included in the transaction price at the inception of the contract. "Other" Sanofi immuno-oncology revenue in the Sanofi Collaboration Revenue table above primarily includes recognition of deferred revenue from the $640.0 million of up-front payments.</w:t>
      </w:r>
    </w:p>
    <w:p>
      <w:pPr>
        <w:spacing w:after="0" w:line="1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the IO Collaboration, "Reimbursement of Regeneron commercialization-related expenses" in the table above represents reimbursement of costs by Sanofi in connection with the commercialization of Libtayo outside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accounts receivable and deferred revenue information in connection with the Company's IO Collaboration with Sanofi:</w:t>
      </w:r>
    </w:p>
    <w:p>
      <w:pPr>
        <w:spacing w:after="0" w:line="31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w w:val="99"/>
              </w:rPr>
              <w:t>As of December 31,</w:t>
            </w: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170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r>
      <w:tr>
        <w:trPr>
          <w:trHeight w:val="243"/>
        </w:trPr>
        <w:tc>
          <w:tcPr>
            <w:tcW w:w="1700" w:type="dxa"/>
            <w:vAlign w:val="bottom"/>
          </w:tcPr>
          <w:p>
            <w:pPr>
              <w:spacing w:after="0"/>
              <w:rPr>
                <w:sz w:val="21"/>
                <w:szCs w:val="21"/>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r>
      <w:tr>
        <w:trPr>
          <w:trHeight w:val="378"/>
        </w:trPr>
        <w:tc>
          <w:tcPr>
            <w:tcW w:w="5920" w:type="dxa"/>
            <w:vAlign w:val="bottom"/>
            <w:gridSpan w:val="3"/>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630"/>
        </w:trPr>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Increase as a result of cumulative-effect adjustment arising</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1040" w:type="dxa"/>
            <w:vAlign w:val="bottom"/>
            <w:tcBorders>
              <w:bottom w:val="single" w:sz="8" w:color="CCEEFF"/>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34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gridSpan w:val="3"/>
          </w:tcPr>
          <w:p>
            <w:pPr>
              <w:ind w:left="20"/>
              <w:spacing w:after="0"/>
              <w:rPr>
                <w:sz w:val="20"/>
                <w:szCs w:val="20"/>
                <w:color w:val="auto"/>
              </w:rPr>
            </w:pPr>
            <w:r>
              <w:rPr>
                <w:rFonts w:ascii="Arial" w:cs="Arial" w:eastAsia="Arial" w:hAnsi="Arial"/>
                <w:sz w:val="18"/>
                <w:szCs w:val="18"/>
                <w:color w:val="auto"/>
              </w:rPr>
              <w:t>Net decrease as a result of cumulative catch-up adjustments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w w:val="90"/>
              </w:rPr>
              <w:t>arising from changes in the estimate of the stage of</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completion</w:t>
            </w:r>
          </w:p>
        </w:tc>
        <w:tc>
          <w:tcPr>
            <w:tcW w:w="10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29"/>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Revenue recognized that was included in deferred revenue at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10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2018, we reduced our estimate of the total research and development costs expected to complete the contract, including in connection with entering into the Amended IO Discovery Agreement (as described above). The $135.0 million cumulative catch-up adjustments in the table above includes a $192.7 million adjustment related to the modification of the IO Discovery Agreement.</w:t>
      </w:r>
    </w:p>
    <w:p>
      <w:pPr>
        <w:spacing w:after="0" w:line="10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aggregate amount of the transaction price under the IO Collaboration allocated to the Company's performance obligation that was unsatisfied (or partially unsatisfied) as of December 31, 2018 was $1,398.4 million. This amount is expected to be recognized as revenue over the remaining period the Company is obligated to satisfy its performance obligation in connection with performing development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earned in connection with our Bayer EYLEA collaboration is as follows (note that the table excludes amounts in connection with our Bayer Ang2 antibody and PDGFR-beta antibody collaboration agreements, which are described below):</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EYLEA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649.2</w:t>
            </w: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EYLEA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710.8</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October 2006, the Company entered into a license and collaboration agreement with Bayer for the global development and commercialization outside the United States of EYLEA. All agreed-upon EYLEA development expenses incurred by the Company and Bayer, under a global development plan, are shared equally. The Company is also obligated to use commercially reasonable efforts to supply clinical and commercial bulk product of EYLEA. Bayer has the right to terminate the license and collaboration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Bayer markets EYLEA outside the United States, where, for countries other than Japan, the companies share equally in profits and losses from sales of EYLEA. In Japan, the Company is entitled to receive a tiered percentage of between 33.5% and 40.0% of EYLEA net sales. Within the United States, the Company is responsible for commercialization of EYLEA and retains exclusive rights to all profits from such commercialization in the United States. The Company is obligated to reimburse Bayer out of its share of the collaboration profits (including the Company's percentage of sales of EYLEA in Japan)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$265 million as of December 31, 2018.</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and PDGFR-beta antibody outside the United States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2016, the Company entered into an agreement with Bayer governing the joint development and commercialization outside the United States of an antibody product candidate to angiopoietin-2 (Ang2), REGN910-3, for the treatment of ocular diseases or disorders. In connection with the agreement, Bayer made a $50.0 million non-refundable up-front payment and paid a portion of our global development costs and development costs exclusively for the territory outside the United States. In the fourth quarter of 2017, the Company reported that results from two Phase 2 studies of REGN910-3 did not provide sufficient differentiation to warrant Phase 3 development. Therefore, during the fourth quarter of 2017, the Company recognized $37.4 million of revenue related to the acceleration of the recognition of the remaining amount of deferred revenue from the up-front payment (which was initially recorded as deferred revenue) received from Bayer as the Company deemed its performance obligation to be satisfied. On November 1, 2018, the Company and Bayer agreed to terminate this collaboration agreement.</w:t>
      </w:r>
    </w:p>
    <w:p>
      <w:pPr>
        <w:spacing w:after="0" w:line="19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2014, the Company entered into a license and collaboration agreement with Bayer governing the joint development and commercialization outside the United States of an antibody product candidate to Platelet Derived Growth Factor Receptor Beta (PDGFR-beta), REGN2176-3. Effective in the first quarter of 2017, the Company discontinued clinical development of REGN2176-3, and on July 31, 2017, the Company and Bayer agreed to terminate this collaboration agreement.</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2017 and 2016, the Company recognized a total of $63.8 million and $33.5 million, respectively, of revenue in connection with its Ang2 and PDGFR-beta collaboration agreements with Bayer. Revenue recognized thereunder was not material in 2018.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execution of the Teva Collaboration Agreement, Teva made a $250.0 million non-refundable up-front payment. The Company leads global development activities, and the parties share development costs equally, on an ongoing basis, under a global development plan.</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 Unless terminated earlier in accordance with its provisions, the Teva Collaboration Agreement will continue to be in effect until such time as neither party is developing or commercializing fasinumab.</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2017, the Company earned, and recognized as substantive milestones, development milestones of $25.0 million and $35.0 million, respectively, from Teva upon initiation of two Phase 3 trials. During 2018, the Company achieved a development milestone of $60.0 million. The Company is entitled to receive up to an aggregate of $340.0 million in additional development milestones and up to an aggregate of $1,890.0 million in contingent payments upon achievement of specified annual net sales amounts; the amount of variable consideration related to such milestones is deemed to be constrained as of December 31, 2018, and therefore has not been included in the transaction price.</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At the inception of the Teva Collaboration Agreement, the Company's significant promised goods and services consisted of a license to certain rights and intellectual property and providing research and development services, including the manufacturing of clinical supplies. The Company concluded that the license was not distinct, primarily as a result of (i) Teva being unable to benefit from the license on its own or together with other resources that are readily available as the license providing access to Regeneron's complex and specialized know-how and (ii) the research and development services, including manufacturing in support of such services, were expected to significantly modify the initial license. Therefore, the promised goods and services were considered a single performance obligation. Consequently, the $250.0 million up-front payment and development milestones received or receivable from Teva, as described above, have been recorded as deferred revenue and have been included in the transaction price.</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recognized $244.6 million, $221.5 million, and $37.9 million of revenue in 2018, 2017, and 2016, respectively, in connection with the Teva Collaboration Agreement.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summarize accounts receivable and deferred revenue information in connection with the Teva Collaboration Agreement:</w:t>
      </w:r>
    </w:p>
    <w:p>
      <w:pPr>
        <w:spacing w:after="0" w:line="31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Accounts receivable (recorded within Prepaid expenses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other current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486"/>
        </w:trPr>
        <w:tc>
          <w:tcPr>
            <w:tcW w:w="4220" w:type="dxa"/>
            <w:vAlign w:val="bottom"/>
          </w:tcPr>
          <w:p>
            <w:pPr>
              <w:ind w:left="3560"/>
              <w:spacing w:after="0"/>
              <w:rPr>
                <w:sz w:val="20"/>
                <w:szCs w:val="20"/>
                <w:color w:val="auto"/>
              </w:rPr>
            </w:pPr>
            <w:r>
              <w:rPr>
                <w:rFonts w:ascii="Arial" w:cs="Arial" w:eastAsia="Arial" w:hAnsi="Arial"/>
                <w:sz w:val="18"/>
                <w:szCs w:val="18"/>
                <w:color w:val="auto"/>
              </w:rPr>
              <w:t>F- 23</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Significant changes in deferred revenue balances are as follows: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57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20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2018</w:t>
            </w:r>
          </w:p>
        </w:tc>
      </w:tr>
      <w:tr>
        <w:trPr>
          <w:trHeight w:val="27"/>
        </w:trPr>
        <w:tc>
          <w:tcPr>
            <w:tcW w:w="204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Increase as a result of cumulative-effect adjustment arising</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7"/>
        </w:trPr>
        <w:tc>
          <w:tcPr>
            <w:tcW w:w="204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the adoption of ASC 606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29"/>
        </w:trPr>
        <w:tc>
          <w:tcPr>
            <w:tcW w:w="2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Increase due to amounts invoiced, excluding amounts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recognized as revenue during the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20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9"/>
        </w:trPr>
        <w:tc>
          <w:tcPr>
            <w:tcW w:w="2040" w:type="dxa"/>
            <w:vAlign w:val="bottom"/>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Revenue recognized that was included in deferred revenue at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2040" w:type="dxa"/>
            <w:vAlign w:val="bottom"/>
          </w:tcPr>
          <w:p>
            <w:pPr>
              <w:spacing w:after="0"/>
              <w:rPr>
                <w:sz w:val="20"/>
                <w:szCs w:val="20"/>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7"/>
        </w:trPr>
        <w:tc>
          <w:tcPr>
            <w:tcW w:w="204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aggregate amount of the transaction price under the Teva Collaboration Agreement allocated to the Company's performance obligation that was unsatisfied (or partially unsatisfied) as of December 31, 2018 was $472.2 million. This amount is expected to be recognized as revenue over the remaining period the Company is obligated to satisfy its performance obligation in connection with performing development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Other</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Marketable securities as of December 31, 2018 and 2017 consist of both available-for-sale debt securities of investment grade issuers (see below and Note 5) as well as equity securities of publicly traded companies (see Note 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of December 31, 2018</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2,718.4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Sovereign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03"/>
        </w:trPr>
        <w:tc>
          <w:tcPr>
            <w:tcW w:w="20" w:type="dxa"/>
            <w:vAlign w:val="bottom"/>
            <w:shd w:val="clear" w:color="auto" w:fill="CCEEFF"/>
          </w:tcPr>
          <w:p>
            <w:pPr>
              <w:spacing w:after="0"/>
              <w:rPr>
                <w:sz w:val="17"/>
                <w:szCs w:val="17"/>
                <w:color w:val="auto"/>
              </w:rPr>
            </w:pPr>
          </w:p>
        </w:tc>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auto"/>
            </w:tcBorders>
            <w:shd w:val="clear" w:color="auto" w:fill="CCEEFF"/>
          </w:tcPr>
          <w:p>
            <w:pPr>
              <w:spacing w:after="0"/>
              <w:rPr>
                <w:sz w:val="4"/>
                <w:szCs w:val="4"/>
                <w:color w:val="auto"/>
              </w:rPr>
            </w:pPr>
          </w:p>
        </w:tc>
        <w:tc>
          <w:tcPr>
            <w:tcW w:w="4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1,712.5</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Municipal and 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2,027.3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2,020.6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December 31, 2018 mature at various dates through November 2023. The fair values of available-for-sale debt security investments by contractual maturity consist of the following:</w:t>
      </w:r>
    </w:p>
    <w:p>
      <w:pPr>
        <w:spacing w:after="0" w:line="393"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3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1,426.8</w:t>
            </w:r>
          </w:p>
        </w:tc>
      </w:tr>
      <w:tr>
        <w:trPr>
          <w:trHeight w:val="27"/>
        </w:trPr>
        <w:tc>
          <w:tcPr>
            <w:tcW w:w="34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2,020.6</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400" w:type="dxa"/>
            <w:vAlign w:val="bottom"/>
          </w:tcPr>
          <w:p>
            <w:pPr>
              <w:spacing w:after="0"/>
              <w:rPr>
                <w:sz w:val="24"/>
                <w:szCs w:val="24"/>
                <w:color w:val="auto"/>
              </w:rPr>
            </w:pPr>
          </w:p>
        </w:tc>
        <w:tc>
          <w:tcPr>
            <w:tcW w:w="1980" w:type="dxa"/>
            <w:vAlign w:val="bottom"/>
            <w:gridSpan w:val="2"/>
          </w:tcPr>
          <w:p>
            <w:pPr>
              <w:jc w:val="right"/>
              <w:ind w:right="1340"/>
              <w:spacing w:after="0"/>
              <w:rPr>
                <w:sz w:val="20"/>
                <w:szCs w:val="20"/>
                <w:color w:val="auto"/>
              </w:rPr>
            </w:pPr>
            <w:r>
              <w:rPr>
                <w:rFonts w:ascii="Arial" w:cs="Arial" w:eastAsia="Arial" w:hAnsi="Arial"/>
                <w:sz w:val="18"/>
                <w:szCs w:val="18"/>
                <w:color w:val="auto"/>
              </w:rPr>
              <w:t>F- 25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2018</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2017</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931.0</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256.8</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1,187.8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There were no other-than-temporary impairment charges recorded with respect to the Company's investments during 2018 and 2017. During the year ended December 31, 2016, the Company recorded an other-than-temporary impairment charge of $9.8 million related to its investment in an equity security.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Realized gains and losses on sales of marketable securities were not material for the years ended December 31, 2018, 2017, and 2016.</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With respect to marketable securities, for the years ended December 31, 2018, 2017, and 2016, amounts reclassified from Accumulated other comprehensive (loss) income into Other income (expense), net were related to realized gains and losses on sales and the 2016 impairment charge on the equity security described above. The Company adopted ASU 2016-01 (see Note 1) during the first quarter of 2018; as a result, there were $41.9 million of net unrealized losses on equity securities recognized in Other income (expense), net for the year ended December 31, 2018. During the years ended December 31, 2017 and 2016, we recorded net unrealized gains of $14.7 million and net unrealized losses of $22.6 million, respectively, on equity securities in Other comprehensive (loss) income.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4"/>
          </w:tcPr>
          <w:p>
            <w:pPr>
              <w:jc w:val="right"/>
              <w:ind w:right="1490"/>
              <w:spacing w:after="0"/>
              <w:rPr>
                <w:sz w:val="20"/>
                <w:szCs w:val="20"/>
                <w:color w:val="auto"/>
              </w:rPr>
            </w:pPr>
            <w:r>
              <w:rPr>
                <w:rFonts w:ascii="Arial" w:cs="Arial" w:eastAsia="Arial" w:hAnsi="Arial"/>
                <w:sz w:val="18"/>
                <w:szCs w:val="18"/>
                <w:b w:val="1"/>
                <w:bCs w:val="1"/>
                <w:color w:val="auto"/>
              </w:rPr>
              <w:t>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40" w:type="dxa"/>
            <w:vAlign w:val="bottom"/>
          </w:tcPr>
          <w:p>
            <w:pPr>
              <w:spacing w:after="0"/>
              <w:rPr>
                <w:sz w:val="18"/>
                <w:szCs w:val="18"/>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Significant 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Observable Inputs</w:t>
            </w:r>
          </w:p>
        </w:tc>
      </w:tr>
      <w:tr>
        <w:trPr>
          <w:trHeight w:val="194"/>
        </w:trPr>
        <w:tc>
          <w:tcPr>
            <w:tcW w:w="54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As of December 31, 2018</w:t>
            </w:r>
          </w:p>
        </w:tc>
        <w:tc>
          <w:tcPr>
            <w:tcW w:w="280" w:type="dxa"/>
            <w:vAlign w:val="bottom"/>
          </w:tcPr>
          <w:p>
            <w:pPr>
              <w:spacing w:after="0"/>
              <w:rPr>
                <w:sz w:val="16"/>
                <w:szCs w:val="16"/>
                <w:color w:val="auto"/>
              </w:rPr>
            </w:pPr>
          </w:p>
        </w:tc>
        <w:tc>
          <w:tcPr>
            <w:tcW w:w="15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17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16"/>
                <w:szCs w:val="16"/>
                <w:color w:val="auto"/>
              </w:rPr>
            </w:pPr>
          </w:p>
        </w:tc>
        <w:tc>
          <w:tcPr>
            <w:tcW w:w="162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0"/>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3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44"/>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2,718.4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2,718.4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Sovereign bonds</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Equity securities (restricted)</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2017</w:t>
            </w:r>
          </w:p>
        </w:tc>
        <w:tc>
          <w:tcPr>
            <w:tcW w:w="3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Available-for-sale debt securities: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1,712.5</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185.5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and sovereign bonds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107.0</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r>
      <w:tr>
        <w:trPr>
          <w:trHeight w:val="243"/>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Equity securities (unrestricted)</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in 2018, 2017, and 2016.</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held certain restricted equity securities as of December 31, 2018, which are subject to transfer restrictions until 2020.</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fair value of interest rate swap and interest rate cap contracts, which were recorded within Other noncurrent assets, was not material as of December 31, 2018 and 2017, respectively (see Note 6). The fair value of these contracts was determined based on Level 2 inputs, using significant inputs that are observable either directly or indirectly, including London Interbank Offered Rate ("LIBOR") and interest rate swap rates.</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2018 and 2017, the Company had $45.5 million and $37.5 million, respectively, in equity investments that do not have a readily determinable fair value. These investments are recorded at cost within Other noncurrent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is exposed to market fluctuations in interest rates, including those in connection with its March 2017 lease of laboratory and office facilities in Tarrytown, New York (see Note 12). Commencing in the second quarter of 2017, the Company</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F- 27</w:t>
      </w:r>
    </w:p>
    <w:p>
      <w:pPr>
        <w:sectPr>
          <w:pgSz w:w="11900" w:h="16838" w:orient="portrait"/>
          <w:cols w:equalWidth="0" w:num="1">
            <w:col w:w="11420"/>
          </w:cols>
          <w:pgMar w:left="240" w:top="130" w:right="23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entered into interest rate swap and interest rate cap agreements to manage a portion of such interest rate risk; no new agreements of this nature were entered into during the year ended December 31, 2018. All of the Company's derivative instruments are utilized for risk management purposes, and are not used for trading or speculative purposes.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would be discontinued.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notional amounts of the Company's outstanding interest rate swap and cap agreements:</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As of December 31,</w:t>
            </w:r>
          </w:p>
        </w:tc>
        <w:tc>
          <w:tcPr>
            <w:tcW w:w="52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it relates to cash flow hedges, for the years ended December 31, 2018 and 2017, amounts of gains and losses recognized in Other comprehensive income (loss), and amounts reclassified from Accumulated other comprehensive (loss) income into Interest expense were not material. As of December 31, 2018, the amounts expected to be reclassified out of Accumulated other comprehensive (loss) income into Interest expense over the next 12 months are not expected to be material. There was no ineffective portion of the derivative instruments for the years ended December 31, 2018 and 2017,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23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w:t>
            </w:r>
          </w:p>
        </w:tc>
      </w:tr>
      <w:tr>
        <w:trPr>
          <w:trHeight w:val="27"/>
        </w:trPr>
        <w:tc>
          <w:tcPr>
            <w:tcW w:w="2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23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w:t>
            </w:r>
          </w:p>
        </w:tc>
      </w:tr>
      <w:tr>
        <w:trPr>
          <w:trHeight w:val="27"/>
        </w:trPr>
        <w:tc>
          <w:tcPr>
            <w:tcW w:w="23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w:t>
            </w:r>
          </w:p>
        </w:tc>
      </w:tr>
      <w:tr>
        <w:trPr>
          <w:trHeight w:val="20"/>
        </w:trPr>
        <w:tc>
          <w:tcPr>
            <w:tcW w:w="234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8. 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consists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1,507.2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1,441.6</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and other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and other</w:t>
            </w:r>
          </w:p>
        </w:tc>
        <w:tc>
          <w:tcPr>
            <w:tcW w:w="4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2,924.9</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(566.3)</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2018 and 2017, $1,813.8 million and $1,692.9 million, respectively, of the Company's net property, plant, and equipment was located in the United States and $762.0 million and $665.7 million, respectively, was located in Europe (primarily in Ireland).</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and amortization expense (including as it relates to capital and facility leases) on property, plant, and equipment amounted to $144.1 million, $142.2 million, and $104.7 million for the years ended December 31, 2018, 2017, and 2016, respectively.</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Property, plant, and equipment, at cost, as of December 31, 2018 and 2017 included $723.9 million and $724.1 million, respectively, of leased property under the Company's capital and facility leases at its Tarrytown, New York facility. See Note 12. Accumulated amortization related to these assets amounted to $61.7 million and $47.9 million as of December 31, 2018 and 2017,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86"/>
        </w:trPr>
        <w:tc>
          <w:tcPr>
            <w:tcW w:w="5500" w:type="dxa"/>
            <w:vAlign w:val="bottom"/>
            <w:gridSpan w:val="2"/>
          </w:tcPr>
          <w:p>
            <w:pPr>
              <w:ind w:left="260"/>
              <w:spacing w:after="0"/>
              <w:rPr>
                <w:sz w:val="20"/>
                <w:szCs w:val="20"/>
                <w:color w:val="auto"/>
              </w:rPr>
            </w:pPr>
            <w:r>
              <w:rPr>
                <w:rFonts w:ascii="Arial" w:cs="Arial" w:eastAsia="Arial" w:hAnsi="Arial"/>
                <w:sz w:val="18"/>
                <w:szCs w:val="18"/>
                <w:color w:val="auto"/>
                <w:w w:val="94"/>
              </w:rPr>
              <w:t>Accrued expenses and other current liabilities consist of the following:</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48"/>
        </w:trPr>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Pr>
          <w:p>
            <w:pPr>
              <w:spacing w:after="0"/>
              <w:rPr>
                <w:sz w:val="24"/>
                <w:szCs w:val="24"/>
                <w:color w:val="auto"/>
              </w:rPr>
            </w:pP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related costs</w:t>
            </w:r>
          </w:p>
        </w:tc>
        <w:tc>
          <w:tcPr>
            <w:tcW w:w="12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43"/>
        </w:trPr>
        <w:tc>
          <w:tcPr>
            <w:tcW w:w="24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Accrued clinical trial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420" w:type="dxa"/>
            <w:vAlign w:val="bottom"/>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Accrued sales-related charges, deductions,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7"/>
        </w:trPr>
        <w:tc>
          <w:tcPr>
            <w:tcW w:w="242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royalties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43"/>
        </w:trPr>
        <w:tc>
          <w:tcPr>
            <w:tcW w:w="242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420" w:type="dxa"/>
            <w:vAlign w:val="bottom"/>
          </w:tcPr>
          <w:p>
            <w:pPr>
              <w:spacing w:after="0"/>
              <w:rPr>
                <w:sz w:val="23"/>
                <w:szCs w:val="23"/>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Other accrued expenses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37"/>
        </w:trPr>
        <w:tc>
          <w:tcPr>
            <w:tcW w:w="2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637.2</w:t>
            </w:r>
          </w:p>
        </w:tc>
      </w:tr>
      <w:tr>
        <w:trPr>
          <w:trHeight w:val="27"/>
        </w:trPr>
        <w:tc>
          <w:tcPr>
            <w:tcW w:w="2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575"/>
        </w:trPr>
        <w:tc>
          <w:tcPr>
            <w:tcW w:w="2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60" w:type="dxa"/>
            <w:vAlign w:val="bottom"/>
            <w:gridSpan w:val="2"/>
          </w:tcPr>
          <w:p>
            <w:pPr>
              <w:jc w:val="right"/>
              <w:ind w:right="770"/>
              <w:spacing w:after="0"/>
              <w:rPr>
                <w:sz w:val="20"/>
                <w:szCs w:val="20"/>
                <w:color w:val="auto"/>
              </w:rPr>
            </w:pPr>
            <w:r>
              <w:rPr>
                <w:rFonts w:ascii="Arial" w:cs="Arial" w:eastAsia="Arial" w:hAnsi="Arial"/>
                <w:sz w:val="18"/>
                <w:szCs w:val="18"/>
                <w:color w:val="auto"/>
                <w:w w:val="90"/>
              </w:rPr>
              <w:t>F- 29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10. Deferred Revenue</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86"/>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Deferred revenue consists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24"/>
                <w:szCs w:val="24"/>
                <w:color w:val="auto"/>
              </w:rPr>
            </w:pP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(see Note 3b)</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Teva (see Note 3c)</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(see Note 3b)</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Teva (see Note 3c)</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 and the Notes matured on October 1, 2016. The Notes were convertible, subject to certain conditions, into cash, shares of the Company's Common Stock, or a combination of cash and shares of Common Stock, at the Company's option. The Notes initial conversion price was $84.02 per share. In connection with the offering of the Notes, the Company entered into convertible note hedge ("call option") and warrant transactions with multiple counterparties, including an affiliate of the initial purchaser of the Notes. The convertible note hedge covered, subject to customary anti-dilution adjustments, the number of shares of the Company's Common Stock that initially underlie the Notes, and were intended to reduce the potential dilutive impact of the conversion feature of the Notes.</w:t>
      </w:r>
    </w:p>
    <w:p>
      <w:pPr>
        <w:spacing w:after="0" w:line="21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2016, the Company settled conversion obligations for $12.9 million principal amount of the Company's Notes. Consequently, in 2016, the Company paid $12.9 million in cash and issued 121,058 shares of Common Stock. In addition, the Company allocated $47.8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2016 was not material. As a result of these Note conversions, the Company also exercised a proportionate amount of its convertible note hedges during 2016, for which the Company received 121,048 shares of Common Stock, which was approximately equal to the number of shares the Company was required to issue to settle the non-cash portion of the related Note conversions. The Company recorded the cost of the shares received, or $10.2 million, as Treasury Stock during 2016.</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interest expense associated with the Notes, net of capitalized interest as applicable, was not material in 2016.</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2015 and 2016, the Company entered into amendment agreements with warrant holders whereby the parties agreed to reduce a portion of the number of warrants held by the warrant holders. The Company was able to settle, at its option, any payments due under the amendment agreement in cash or by delivering shares of Common Stock. As a result of the warrant holders closing out a portion of their hedge positions, the Company paid a total of $242.2 million in 2016 to reduce the number of warrants held by such warrant holders.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F- 30</w:t>
      </w:r>
    </w:p>
    <w:p>
      <w:pPr>
        <w:sectPr>
          <w:pgSz w:w="11900" w:h="16838" w:orient="portrait"/>
          <w:cols w:equalWidth="0" w:num="1">
            <w:col w:w="11420"/>
          </w:cols>
          <w:pgMar w:left="240" w:top="130" w:right="239" w:bottom="1440" w:gutter="0" w:footer="0" w:header="0"/>
          <w:type w:val="continuous"/>
        </w:sectPr>
      </w:pPr>
    </w:p>
    <w:bookmarkStart w:id="116" w:name="page117"/>
    <w:bookmarkEnd w:id="1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3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during 2016, the Company and warrant holders entered into warrant termination agreements whereby the parties agreed to cancel the remaining warrants held by the warrant holders and to terminate the respective warrant agreements in consideration for payments by the Company of $401.2 million in the aggregate. The Company made the termination payments in 2016, and, as a result, no warrants remained outstanding as of December 31,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December 2018, we entered into an agreement with a syndicate of lenders (the "Credit Agreement") which provides for a $750.0 million senior unsecured five-year revolving credit facility (the "Credit Facility"), and contemporaneously terminated our then-existing credit agreement (the "Prior Credit Agreement"). The Credit Agreement was entered into on terms substantially similar to those of the Prior Credit Agreement. No borrowings were outstanding under the Prior Credit Agreement at the time of its termination.</w:t>
      </w:r>
    </w:p>
    <w:p>
      <w:pPr>
        <w:spacing w:after="0" w:line="2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$50.0 million sublimit for letters of credit. The Credit Agreement includes an option for us to elect to extend the maturity date of the Credit Facility beyond December 2023,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2018.</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The Company was in compliance with all covenants of the Credit Facility as of December 31,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17 for disclosures related to legal contingencies.</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 Leases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Company leases laboratory and office facilities in Tarrytown, New York (the "Tarrytown Leases"). Prior to December 30, 2016, certain of the premises under the Tarrytown Leases had been accounted for as operating leases, while for certain other buildings the Company leased, the Company was deemed, in substance, to be the owner of the landlord's buildings (collectively, the "Build-to-Suit Buildings") in accordance with the application of FASB authoritative guidance. In 2016, the Company entered into a Purchase Agreement with BMR-Landmark at Eastview LLC and BMR-Landmark at Eastview IV LLC (collectively, "BMR"), pursuant to which the Company agreed to purchase BMR's Tarrytown, New York facilities (the "Facility") for a purchase price of $720.0 million. The Company occupied a significant portion of the Facility, with the remaining rentable area under leases to third-party tenants. In accordance with the terms of the Purchase Agreement, the Company paid $57.0 million toward the purchase price to BMR in December 2016. In March 2017, the Company also entered into a Participation Agreement with Banc of America Leasing &amp; Capital LLC ("BAL"), as lessor, and a syndicate of lenders (collectively, the "Participants"). The Participation Agreement provided for lease financing in connection with the acquisition by BAL of the Facility and the Company's lease of the Facility from BAL. On March 3, 2017, the right to take title to the Facility under the Purchase Agreement was assigned by the Company to BAL, and the Participants advanced $720.0 million, which was used by BAL to finance the purchase price for the Facility and to reimburse the Company for the $57.0 million payment made to BMR in December 2016. The $57.0 million reimbursement was recorded by the Company in March 2017 as an increase to capital and facility lease obligations in amounts equal to those initially recorded as reductions upon making such payment to BMR in December 2016.</w:t>
      </w:r>
    </w:p>
    <w:p>
      <w:pPr>
        <w:spacing w:after="0" w:line="23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March 2017, the Company entered into a lease agreement (the "Lease") with BAL, pursuant to which the Company has leased the Facility from BAL for a five-year term. As a result of entering into the Lease, certain parts of the Facility became subleased from the Company by existing third-party tenants. The Lease requires the Company to pay all maintenance, insurance, taxes, and other costs arising out of the use of the Facility. The Company is also required to make monthly payments of basic rent during the term of the Lease in an amount equal to a variable rate per annum based on the one-month LIBOR, plus an applicable margin that varies with the Company’s debt rating and total leverage ratio.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Participation Agreement and the Lease include an option for the Company to elect to extend the maturity date of the Participation Agreement and the term of the Lease for an additional five-year period, subject to the consent of all the Participants and certain other conditions. The Company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1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a result of entering into the Lease, the premises that were classified as a capital lease as of December 31, 2016 were reassessed. The Company has the option to purchase the Facility (under terms that made it reasonably assured to be exercised), and as a result, the Company is deemed to have continuing involvement in such premises. Accordingly, these premises continue to be classified as a capital lease, with the related property, plant, and equipment and capital lease liability remaining on the Company's Consolidated Balance Sheet. In addition, upon entering into the Lease, the Company began to lease space occupied by third-party tenants. The lease of such premises is also classified as a capital lease. The execution of the Lease did not impact the balance sheet classification for the Build-to-Suit Buildings. However, in 2017, the Company recorded a $30.1 million loss on extinguishment of debt associated with the Build-to-Suit Buildings. In the aggregate, the Company had $720.0 million of capital and facility lease obligations upon execution of the Lease for the Facility.</w:t>
      </w:r>
    </w:p>
    <w:p>
      <w:pPr>
        <w:spacing w:after="0" w:line="2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the Company's credit facility (see Note 11). The Company was in compliance with all covenants of the Participation Agreement and the Lease as of December 31, 2018.</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under Operating Leases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existing operating leases, as of December 31, 2018, are as follows: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120" w:type="dxa"/>
            <w:vAlign w:val="bottom"/>
            <w:gridSpan w:val="2"/>
          </w:tcPr>
          <w:p>
            <w:pPr>
              <w:ind w:left="180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3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Year Ended December 31,</w:t>
            </w: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3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and Facility Lease Obligations</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2018, 2017, and 2016, the Company recognized $21.5 million, $19.5 million, and $5.4 million, respectively, of interest expense in connection with the Company's capital and facility lease obligations.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2018, the estimated future minimum noncancelable commitments under the Company's capital and facility lease obligations, excluding the purchase price the Company would be obligated to pay if the Company were to exercise its option to purchase the Facility (as described above), are as follows:</w:t>
      </w:r>
    </w:p>
    <w:p>
      <w:pPr>
        <w:spacing w:after="0" w:line="258" w:lineRule="exact"/>
        <w:rPr>
          <w:sz w:val="20"/>
          <w:szCs w:val="20"/>
          <w:color w:val="auto"/>
        </w:rPr>
      </w:pPr>
    </w:p>
    <w:tbl>
      <w:tblPr>
        <w:tblLayout w:type="fixed"/>
        <w:tblInd w:w="348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Capital and Facility</w:t>
            </w:r>
          </w:p>
        </w:tc>
      </w:tr>
      <w:tr>
        <w:trPr>
          <w:trHeight w:val="234"/>
        </w:trPr>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Lease Obligations</w:t>
            </w:r>
          </w:p>
        </w:tc>
      </w:tr>
      <w:tr>
        <w:trPr>
          <w:trHeight w:val="27"/>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part of the Company's research and development efforts, the Company enters into research collaboration and licensing agreements with other companies, universities, and other organizations.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we have in-license patent and/or technology agreements which contain provisions which require the Company to pay royalties, as defined, at rates that range from 0.5% to 11.5%, in the event the Company sells or licenses any proprietary products developed under the respective agreements. The Company also has contingent reimbursement obligations to its collaborators Sanofi and Bayer once the applicable collaboration becomes profitable. See Note 3 for a more detailed description of collaboration agreements.</w:t>
      </w:r>
    </w:p>
    <w:p>
      <w:pPr>
        <w:spacing w:after="0" w:line="23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and Genentech, a member of the Roche Group, entered into a Non-Exclusive License and Partial Settlement Agreement, as amended (the "Genentech Agreement"), that covered making, using, and selling EYLEA for the prevention of human eye diseases and disorders, and ended the litigation relating to those matters. Pursuant to the Genentech Agreement, the Company received a non-exclusive license to certain patents relating to VEGF receptor proteins, known as the Davis-Smyth patents, and other technology patents. The Genentech Agreement obligated the Company to make payments to Genentech based on worldwide sales of EYLEA through May 7, 2016, when the licenses granted to the Company thereunder became fully paid up and royalty free for the duration of the remaining term of the underlying patents. All payments to Genentech under the Genentech Agreement were made by the Company, and Bayer shared in all such payments based on the proportion of EYLEA sales outside the United States to worldwide EYLEA sales.</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the years ended December 31, 2018, 2017, and 2016, the Company recorded royalty expense of $36.7 million, $30.8 million, and $125.3 million, respectively, based on product sales of commercial products under various licensing agreements (including, in 2016, the Genentech Agreement described above).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4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December 2007, Sanofi purchased 12 million newly issued, unregistered shares of the Company's Common Stock. As a condition to the closing of this transaction, Sanofi entered into an investor agreement, as amended and restated, with the Company. Under the terms of the amended and restated investor agreement, Sanofi has three demand rights to require the Company to use</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F- 33</w:t>
      </w:r>
    </w:p>
    <w:p>
      <w:pPr>
        <w:sectPr>
          <w:pgSz w:w="11900" w:h="16838" w:orient="portrait"/>
          <w:cols w:equalWidth="0" w:num="1">
            <w:col w:w="11420"/>
          </w:cols>
          <w:pgMar w:left="240" w:top="130" w:right="239" w:bottom="1440" w:gutter="0" w:footer="0" w:header="0"/>
          <w:type w:val="continuous"/>
        </w:sectPr>
      </w:pPr>
    </w:p>
    <w:bookmarkStart w:id="119" w:name="page120"/>
    <w:bookmarkEnd w:id="1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December 20, 2020 (subject to the limited waiver described below).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2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described in Note 3, effective January 7, 2018, the Company and Sanofi entered into a Letter Agreement, which, among other things, has amended certain provisions of the amended and restated investor agreement. Pursuant to the Letter Agreement, the Company has granted Sanofi a limited waiver of the lock-up obligations under the investor agreement to allow Sanofi to sell up to an aggregate of 1,400,000 shares (of which 1,173,847 shares remain available to be sold as of December 31, 2018) of the Company's Common Stock held by Sanofi for the quarterly periods through September 30, 2020.</w:t>
      </w:r>
    </w:p>
    <w:p>
      <w:pPr>
        <w:spacing w:after="0" w:line="2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4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upon Sanofi reaching 20% ownership of the Company's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 Subject to certain exceptions, the Company is required to use its reasonable efforts (including recommending that its shareholders vote in favor) to cause the election of this designee at the Company's annual shareholder meetings for so long as (other than during the term of the Letter Agreement) Sanofi maintains a specified equity interest in the Company.</w:t>
      </w:r>
    </w:p>
    <w:p>
      <w:pPr>
        <w:spacing w:after="0" w:line="2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the Company's license and collaboration agreements with Bayer for the joint development and commercialization outside the United States of antibody product candidates to PDGFR-beta and Ang2 (see Note 3b), Bayer is bound by certain "standstill" provisions, which contractually prohibit Bayer from seeking to influence the control of the Company or acquiring more than 20% of the Company's outstanding shares of Class A Stock and Common Stock (taken together). With respect to each of these agreements, this prohibition will remain in place until the earliest of (i) the fifth anniversary of the expiration or earlier termination of the agreement (which, in the case of the PDGFR-beta license and collaboration agreement, occurred on July 31, 2017, and, in the case of the Ang2 agreement, occurred on November 1, 2018) or (ii) other specified events.</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pursuant to the 2016 Teva Collaboration Agreement, Teva and its affiliates are bound by certain "standstill" provisions, which contractually prohibit them from seeking to directly or indirectly exert control of the Company or acquiring more than 5% of the Company's Class A Stock and Common Stock (taken together). This prohibition will remain in place until the earliest of (i) the fifth anniversary of the expiration or earlier termination of the agreement or (ii) other specified events.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Incentive Plans</w:t>
      </w:r>
    </w:p>
    <w:p>
      <w:pPr>
        <w:spacing w:after="0" w:line="2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 has used long-term incentive plans for the purpose of granting equity awards to employees of the Company, including officers, and nonemployees, including consultants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Amended and Restated Regeneron Pharmaceuticals, Inc. 2014 Long-Term Incentive Plan (the "Amended and Restated 2014 Incentive Plan"). It was adopted in 2017 and the Company registered an additional 12,000,000 shares of Common Stock for issuance thereunder. As of the shareholder approval date, the Amended and Restated 2014 Incentive Plan provided for the issuance of up to 18,559,431 shares of Common Stock in respect of awards. In addition, upon expiration, forfeiture, surrender, exchange, cancellation, or termination of any award previously granted under the Amended and Restated 2014 Incentive Plan, the Regeneron Pharmaceuticals, Inc. 2014 Long-Term Incentive Plan (the "Original 2014 Incentive Plan"), or the Second Amended and Restated 2000 Long-Term Incentive Plan (the predecessor to the Original 2014 Incentive Plan), any shares subject to such award are added to the pool of shares available for grant under the Amended and Restated 2014 Incentive Plan.</w:t>
      </w:r>
    </w:p>
    <w:p>
      <w:pPr>
        <w:spacing w:after="0" w:line="23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awards that may be made under the Amended and Restated 2014 Incentive Plan include: (a) incentive stock options and nonqualified stock options, (b) shares of restricted stock, (c) shares of phantom stock (also referred to as restricted stock units), and (d) other awards.</w:t>
      </w:r>
    </w:p>
    <w:p>
      <w:pPr>
        <w:spacing w:after="0" w:line="2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three- to four-year period. The Committee also determines the expiration date of each option. The maximum term of options that have been awarded under the 2000 Incentive Plan, the Original 2014 Incentive Plan, and the Amended and Restated 2014 Incentive Plan (collectively, the "Incentive Plans") is ten years.</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Incentive Plans.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2018, there were 12,115,845 shares available for future grants under the Amended and Restated 2014 Incentive Plan. No additional awards may be made under the 2000 Incentive Plan or the Original 2014 Incentive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2018 under the Company's Incentive Plans are summarized in the table below.</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Term (in years)</w:t>
            </w: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Intrinsic Value</w:t>
            </w:r>
          </w:p>
        </w:tc>
      </w:tr>
      <w:tr>
        <w:trPr>
          <w:trHeight w:val="27"/>
        </w:trPr>
        <w:tc>
          <w:tcPr>
            <w:tcW w:w="39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26,205,373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4,665,320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378.51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580"/>
              <w:spacing w:after="0"/>
              <w:rPr>
                <w:sz w:val="20"/>
                <w:szCs w:val="20"/>
                <w:color w:val="auto"/>
              </w:rPr>
            </w:pPr>
            <w:r>
              <w:rPr>
                <w:rFonts w:ascii="Arial" w:cs="Arial" w:eastAsia="Arial" w:hAnsi="Arial"/>
                <w:sz w:val="18"/>
                <w:szCs w:val="18"/>
                <w:color w:val="auto"/>
              </w:rPr>
              <w:t>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(205,030)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467.40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(1,717,417)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2018</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28,279,696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319.28</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2,290.5</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w w:val="99"/>
              </w:rPr>
              <w:t>Vested and expected to vest as of 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2018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27,192,461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316.51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2,289.1</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Exercisable as of December 31, 2018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17,893,976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275.10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2,276.2</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2018, 2017, and 2016 was $510.6 million, $735.6 million, and $550.4 million, respectively. The intrinsic value represents the amount by which the market price of the underlying stock exceeds the exercise price of an option.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table below summarizes the weighted-average exercise prices and weighted-average grant-date fair values of options issued during the years ended December 31, 2018, 2017, and 2016. The fair value of each option granted under the Company's Incentive Plans during these periods was estimated on the date of grant using the Black-Scholes option-pricing model.</w:t>
      </w:r>
    </w:p>
    <w:p>
      <w:pPr>
        <w:spacing w:after="0" w:line="25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2018:</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4,665,320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114.39</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2017:</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4,235,015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2016:</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4,201,978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126.68</w:t>
            </w: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years ended December 31, 2018, 2017, and 2016, the Company recognized $421.8 million, $492.8 million, and $546.0 million, respectively, of non-cash stock-based compensation expense related to stock option awards (net of amounts capitalized to inventory of $17.1 million, $16.8 million, and $14.6 million, respectively). As of December 31, 2018, there was $702.6 million of stock-based compensation cost related to outstanding stock options, net of estimated forfeitures, which had not yet been recognized. The Company expects to recognize this compensation cost over a weighted-average period of 1.9 years.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2018, 2017, and 2016.</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4.9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5.1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5.1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Restricted Stock Awards and Restricted Stock Units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summary of the Company's activity related to restricted stock awards and restricted stock units (collectively, "restricted stock") during 2018 is summarized below:</w:t>
      </w:r>
    </w:p>
    <w:p>
      <w:pPr>
        <w:spacing w:after="0" w:line="383"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374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Shares/Units</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Granted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380,980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381.21</w:t>
            </w:r>
          </w:p>
        </w:tc>
      </w:tr>
      <w:tr>
        <w:trPr>
          <w:trHeight w:val="27"/>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276.46</w:t>
            </w:r>
          </w:p>
        </w:tc>
      </w:tr>
      <w:tr>
        <w:trPr>
          <w:trHeight w:val="243"/>
        </w:trPr>
        <w:tc>
          <w:tcPr>
            <w:tcW w:w="3740" w:type="dxa"/>
            <w:vAlign w:val="bottom"/>
          </w:tcPr>
          <w:p>
            <w:pPr>
              <w:ind w:left="680"/>
              <w:spacing w:after="0"/>
              <w:rPr>
                <w:sz w:val="20"/>
                <w:szCs w:val="20"/>
                <w:color w:val="auto"/>
              </w:rPr>
            </w:pPr>
            <w:r>
              <w:rPr>
                <w:rFonts w:ascii="Arial" w:cs="Arial" w:eastAsia="Arial" w:hAnsi="Arial"/>
                <w:sz w:val="18"/>
                <w:szCs w:val="18"/>
                <w:color w:val="auto"/>
              </w:rPr>
              <w:t>Forfeited/Cancelled</w:t>
            </w:r>
          </w:p>
        </w:tc>
        <w:tc>
          <w:tcPr>
            <w:tcW w:w="1060" w:type="dxa"/>
            <w:vAlign w:val="bottom"/>
          </w:tcPr>
          <w:p>
            <w:pPr>
              <w:jc w:val="right"/>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478.19</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386.10</w:t>
            </w: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recognized non-cash stock-based compensation expense from restricted stock of $5.6 million, $14.5 million, and $13.9 million in 2018, 2017, and 2016, respectively (net of amounts capitalized to inventory, which were not material for each of the three years). As of December 31, 2018, there was $124.4 million of stock-based compensation cost related to unvested restricted stock which had not yet been recognized. The Company expects to recognize this compensation cost over a weighted-average period of 4.6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("Contribution"), as defined, to the accounts of participants under the Savings Plan. The Company recognized $27.0 million, $19.6 million, and $17.7 million of Contribution expense in 2018, 2017, and 2016, respectively.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maintains the Regeneron Ireland Pension Plan (the "Ireland Plan"), a defined contribution occupational pension plan which covers all eligible Ireland-based employees (as defined by the Ireland Plan). Contributions to the Ireland Plan are comprised of two components: (i) a minimum mandatory employee and employer contribution rate, and (ii) a matching feature, whereby the Company will match employee contributions up to a certain percentage. Employees can make additional voluntary contributions to the Ireland Plan. Expenses recognized by the Company related to contributions to the Ireland Plan were not material during 2018, 2017, and 2016.</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F- 37</w:t>
      </w:r>
    </w:p>
    <w:p>
      <w:pPr>
        <w:sectPr>
          <w:pgSz w:w="11900" w:h="16838" w:orient="portrait"/>
          <w:cols w:equalWidth="0" w:num="1">
            <w:col w:w="11420"/>
          </w:cols>
          <w:pgMar w:left="240" w:top="130" w:right="23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is subject to U.S. federal, state, and foreign income taxes. Components of income before income taxes consist of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Components of income tax expense consist of the following:</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223.7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787.0</w:t>
            </w:r>
          </w:p>
        </w:tc>
      </w:tr>
      <w:tr>
        <w:trPr>
          <w:trHeight w:val="27"/>
        </w:trPr>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tax expense</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Deferred:</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(825.7)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3900" w:type="dxa"/>
            <w:vAlign w:val="bottom"/>
          </w:tcPr>
          <w:p>
            <w:pPr>
              <w:ind w:left="600"/>
              <w:spacing w:after="0"/>
              <w:rPr>
                <w:sz w:val="20"/>
                <w:szCs w:val="20"/>
                <w:color w:val="auto"/>
              </w:rPr>
            </w:pPr>
            <w:r>
              <w:rPr>
                <w:rFonts w:ascii="Arial" w:cs="Arial" w:eastAsia="Arial" w:hAnsi="Arial"/>
                <w:sz w:val="18"/>
                <w:szCs w:val="18"/>
                <w:color w:val="auto"/>
              </w:rPr>
              <w:t>Total deferred tax (benefit) expense</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(360.1)</w:t>
            </w:r>
          </w:p>
        </w:tc>
      </w:tr>
      <w:tr>
        <w:trPr>
          <w:trHeight w:val="27"/>
        </w:trPr>
        <w:tc>
          <w:tcPr>
            <w:tcW w:w="3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900" w:type="dxa"/>
            <w:vAlign w:val="bottom"/>
          </w:tcPr>
          <w:p>
            <w:pPr>
              <w:spacing w:after="0"/>
              <w:rPr>
                <w:sz w:val="24"/>
                <w:szCs w:val="24"/>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F- 38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480"/>
          </w:cols>
          <w:pgMar w:left="240" w:top="130" w:right="117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On December 22, 2017, the bill known as the "Tax Cuts and Jobs Act" (the "Act") was signed into law. The Act, which became effective with respect to most of its provisions as of January 1, 2018, significantly revised U.S. corporate income tax laws by, among other things, reducing the U.S. federal corporate income tax rate from 35% to 21%, changing the taxation of foreign earnings (including taxation of certain global intangible low-taxed income ("GILTI")), allowing for a foreign-derived intangible income deduction and immediate expensing for qualified assets, repealing the deduction for domestic manufacturing, and imposing further limitations on the deductibility of executive compensation. As a result of the Act being signed into law, the Company recognized a provisional charge of $326.2 million in the fourth quarter of 2017 related to the re-measurement of its U.S. net deferred tax assets at the lower enacted corporate tax rate. The provisional charge recorded in the fourth quarter of 2017 was an estimate, and the measurement of deferred tax assets was subject to further analysis, such as developing interpretations and clarifications of the provisions of the Act. During 2018, we recorded an income tax benefit of $68.0 million as an adjustment to the provisional amount recorded as of December 31, 2017, which was partly attributable to our election to record deferred tax assets and liabilities for expected amounts of GILTI inclusions. Our assessment of the re-measurement of U.S. net deferred tax assets at the lower enacted corporate tax rate is now complete.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30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34290</wp:posOffset>
            </wp:positionV>
            <wp:extent cx="3044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6520" w:type="dxa"/>
            <w:vAlign w:val="bottom"/>
            <w:gridSpan w:val="2"/>
          </w:tcPr>
          <w:p>
            <w:pPr>
              <w:ind w:left="6140"/>
              <w:spacing w:after="0"/>
              <w:rPr>
                <w:sz w:val="20"/>
                <w:szCs w:val="20"/>
                <w:color w:val="auto"/>
              </w:rPr>
            </w:pPr>
            <w:r>
              <w:rPr>
                <w:rFonts w:ascii="Arial" w:cs="Arial" w:eastAsia="Arial" w:hAnsi="Arial"/>
                <w:sz w:val="18"/>
                <w:szCs w:val="18"/>
                <w:b w:val="1"/>
                <w:bCs w:val="1"/>
                <w:color w:val="auto"/>
                <w:w w:val="89"/>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5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Impact of change in U.S. corporate tax rate (the Act)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 of non-inventory related assets between foreign subsidiaries</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(10.9)</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Taxation of non-U.S. operations</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Income tax credits</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production activities deduction</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7"/>
        </w:trPr>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32.7 %</w:t>
            </w:r>
          </w:p>
        </w:tc>
      </w:tr>
      <w:tr>
        <w:trPr>
          <w:trHeight w:val="20"/>
        </w:trPr>
        <w:tc>
          <w:tcPr>
            <w:tcW w:w="5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2018, the difference between the U.S. federal statutory rate of 21% and the Company's effective tax rate of 4.3% was primarily attributable to the impact of the Company's sale of non-inventory related assets between foreign subsidiaries (including the associated impact of global intangible low-taxed income), as well as the federal tax credit for research activities, stock-based compensation, income earned in foreign jurisdictions with tax rates lower than the U.S. federal statutory rate, and the tax benefit associated with tax planning in connection with the Act. In 2017, the difference between the U.S. federal statutory rate of 35% and the Company's effective tax rate of 42.3% was primarily attributable to the negative impact of the charge related to the re-measurement of the Company's U.S. net deferred tax assets upon the enactment of the Act (see above), partly offset by the tax benefit associated with stock-based compensation. In 2016, the difference between the U.S. federal statutory rate of 35% and the Company's effective tax rate of 32.7% was primarily attributable to the tax benefit associated with stock-based compensation, partly offset by the negative impact of losses incurred in foreign jurisdictions with rates lower than the U.S. federal statutory rate.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1"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As of December 31,</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391.0</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554.0</w:t>
            </w:r>
          </w:p>
        </w:tc>
      </w:tr>
      <w:tr>
        <w:trPr>
          <w:trHeight w:val="318"/>
        </w:trPr>
        <w:tc>
          <w:tcPr>
            <w:tcW w:w="4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Fixed assets and intangible assets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484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2013 through 2017 federal income tax returns remain open to examination by the IRS. The Company's 2013 and 2015 federal income tax returns are currently under audit by the IRS. In general, the Company's state income tax returns from 2015 to 2017 remain open to examination. The United States and many states generally have statutes of limitation ranging from 3 to 5 years; however, those statutes could be extended due to the Company's net operating loss and tax credit carryforward positions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gross amounts of unrecognized tax benefits. The amount of unrecognized tax benefits that, if settled, would impact the effective tax rate is $189.5 million, $146.2 million, and $107.2 million as of December 31, 2018, 2017, and 2016, respectively.</w:t>
      </w:r>
    </w:p>
    <w:p>
      <w:pPr>
        <w:spacing w:after="0" w:line="247"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43"/>
        </w:trPr>
        <w:tc>
          <w:tcPr>
            <w:tcW w:w="4860" w:type="dxa"/>
            <w:vAlign w:val="bottom"/>
          </w:tcPr>
          <w:p>
            <w:pPr>
              <w:ind w:left="200"/>
              <w:spacing w:after="0"/>
              <w:rPr>
                <w:sz w:val="20"/>
                <w:szCs w:val="20"/>
                <w:color w:val="auto"/>
              </w:rPr>
            </w:pPr>
            <w:r>
              <w:rPr>
                <w:rFonts w:ascii="Arial" w:cs="Arial" w:eastAsia="Arial" w:hAnsi="Arial"/>
                <w:sz w:val="18"/>
                <w:szCs w:val="18"/>
                <w:color w:val="auto"/>
              </w:rPr>
              <w:t>Gross increases related to current year tax positions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Gross increases (decreases) related to prior year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4860" w:type="dxa"/>
            <w:vAlign w:val="bottom"/>
          </w:tcPr>
          <w:p>
            <w:pPr>
              <w:ind w:left="200"/>
              <w:spacing w:after="0"/>
              <w:rPr>
                <w:sz w:val="20"/>
                <w:szCs w:val="20"/>
                <w:color w:val="auto"/>
              </w:rPr>
            </w:pPr>
            <w:r>
              <w:rPr>
                <w:rFonts w:ascii="Arial" w:cs="Arial" w:eastAsia="Arial" w:hAnsi="Arial"/>
                <w:sz w:val="18"/>
                <w:szCs w:val="18"/>
                <w:color w:val="auto"/>
                <w:w w:val="91"/>
              </w:rPr>
              <w:t>Gross decrease due to settlements, recapture, filed returns, and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Arial" w:cs="Arial" w:eastAsia="Arial" w:hAnsi="Arial"/>
                <w:sz w:val="18"/>
                <w:szCs w:val="18"/>
                <w:color w:val="auto"/>
              </w:rPr>
              <w:t>lapse of statutes of limitation</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2018, 2017 and 2016, the increases in unrecognized tax benefits primarily related to the Company's calculation of certain tax credits and other items related to the Company's international operations. In 2018, there was a decrease in unrecognized tax benefits related to a settlement of the audit of the 2012 U.S. federal tax return and a lapse in the 2014 federal statute of limitations. In 2017 and 2016, there was a decrease in unrecognized tax benefits related to a settlement of a disputed state tax matter. In 2018, 2017, and 2016, accrued interest related to unrecognized tax benefits recorded by the Company was not material. The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does not believe that it is reasonably possible that the resolution of tax exposures within the next twelve months will have a material impact on its unrecognized tax benefits as of December 31,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Matters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Unless otherwise noted below, the Company is unable to predict the outcome, or estimate a range of possible loss or possible gain, of the respective proceedings. If the Company were unable to prevail in any such proceedings, its consolidated financial position, results of operations, and future cash flows may be materially impacted.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On September 25, 2013, the Company commenced patent infringement litigation against Kymab Ltd in the English High Court of Justice, Chancery Division, Patents Court, in London, asserting the '287 Patent and '163 Patent.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The hearing for the Company's appeal and Kymab's cross-appeal was held on October 17–20, 2017. On March 28, 2018, the Court of Appeal (Civil Division of England and Wales) reversed the English High Court's decision and held that the '287 Patent and '163 Patent are both valid and infringed by Kymab. On June 5, 2018, the Court of Appeal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On November 29, 2018, the Supreme Court of the United Kingdom granted Kymab's application for permission to appeal the order made by the Court of Appeal.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of Justice and the Court of Appeal described above.</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On March 11, 2014, the Company commenced '287 Patent infringement litigation and '018 Patent infringement litigation against Merus N.V., a company based in Utrecht, The Netherlands, in the District Court of The Hague and the United States District Court for the Southern District of New York, respectively.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(the "Federal Circuit") affirmed the District Court's decision regarding inequitable conduct without deciding the issues of validity and infringement; and, on December 26, 2017, the Federal Circuit denied the Company's petition for panel rehearing and rehearing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On October 1, 2018, the United States Supreme Court denied the Company's petition for a writ of certiorari. On December 20, 2018, the Company settled the '018 Patent infringement litigation as well as the '287 Patent infringement litigation in the Netherlands and all administrative proceedings between Merus and the Company pertaining to certain antibody generation platforms of each company (including the proceedings relating to Merus discussed in the paragraph below). </w:t>
      </w:r>
      <w:r>
        <w:rPr>
          <w:rFonts w:ascii="Arial" w:cs="Arial" w:eastAsia="Arial" w:hAnsi="Arial"/>
          <w:sz w:val="17"/>
          <w:szCs w:val="17"/>
          <w:color w:val="191919"/>
        </w:rPr>
        <w:t>As part of the settlement, both parties have signed a global patent cross-license agreement, Merus agreed to dismiss its action for legal fees, and the Company purchased 600,000 common shares of Merus for an aggregate purchase price of $15.0 million.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The Company's response to the oppositions was filed on December 30, 2016.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82" w:lineRule="auto"/>
        <w:rPr>
          <w:sz w:val="20"/>
          <w:szCs w:val="20"/>
          <w:color w:val="auto"/>
        </w:rPr>
      </w:pPr>
      <w:r>
        <w:rPr>
          <w:rFonts w:ascii="Arial" w:cs="Arial" w:eastAsia="Arial" w:hAnsi="Arial"/>
          <w:sz w:val="16"/>
          <w:szCs w:val="16"/>
          <w:color w:val="auto"/>
        </w:rPr>
        <w:t xml:space="preserve">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 On February 23, 2018, the Federal Circuit denied Amgen's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and on March 2, 2018 the Federal Circuit issued a mandate to transfer jurisdiction of the case back to the District Court. On July 23, 2018, Amgen filed a petition for a writ of certiorari with the United States Supreme Court. On January 7, 2019, the United States Supreme Court denied Amgen's petition for a writ of certiorari. On January 3, 2019, the District Court held oral argument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w:t>
      </w:r>
    </w:p>
    <w:p>
      <w:pPr>
        <w:spacing w:after="0" w:line="12" w:lineRule="exact"/>
        <w:rPr>
          <w:sz w:val="20"/>
          <w:szCs w:val="20"/>
          <w:color w:val="auto"/>
        </w:rPr>
      </w:pPr>
    </w:p>
    <w:p>
      <w:pPr>
        <w:ind w:right="20" w:firstLine="8"/>
        <w:spacing w:after="0" w:line="261" w:lineRule="auto"/>
        <w:tabs>
          <w:tab w:leader="none" w:pos="3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the Company and the Sanofi defendants' cross-motion for summary judgment on estoppel. A new jury trial is currently scheduled to begin on February 19, 2019.</w:t>
      </w:r>
    </w:p>
    <w:p>
      <w:pPr>
        <w:spacing w:after="0" w:line="23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with the next oral hearing in the Düsseldorf Regional Court scheduled for April 30, 2019.</w:t>
      </w:r>
    </w:p>
    <w:p>
      <w:pPr>
        <w:spacing w:after="0" w:line="9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in the provisional compulsory license proceedings and denied Sanofi's request for the provisional compulsory license. On January 16, 2019, the Sanofi parties appealed the FPC's decision in the provisional compulsory license proceedings. The compulsory license proceedings are continuing.</w:t>
      </w:r>
    </w:p>
    <w:p>
      <w:pPr>
        <w:spacing w:after="0" w:line="7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scheduled.</w:t>
      </w:r>
    </w:p>
    <w:p>
      <w:pPr>
        <w:spacing w:after="0" w:line="23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of the EPO on November 30, 2018.</w:t>
      </w:r>
    </w:p>
    <w:p>
      <w:pPr>
        <w:spacing w:after="0" w:line="9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recorded an accrual for loss contingencies associated with the '124 Patent proceedings discussed above. The ultimate resolution of these proceedings is not expected to have a material impact on the Company’s financial statements.</w:t>
      </w:r>
    </w:p>
    <w:p>
      <w:pPr>
        <w:spacing w:after="0" w:line="8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w:t>
      </w:r>
    </w:p>
    <w:p>
      <w:pPr>
        <w:spacing w:after="0" w:line="243"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A jury trial has been scheduled to start on November 5, 2019.</w:t>
      </w:r>
    </w:p>
    <w:p>
      <w:pPr>
        <w:spacing w:after="0" w:line="9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6"/>
          <w:szCs w:val="16"/>
          <w:i w:val="1"/>
          <w:iCs w:val="1"/>
          <w:color w:val="auto"/>
        </w:rPr>
        <w:t>i.e.</w:t>
      </w:r>
      <w:r>
        <w:rPr>
          <w:rFonts w:ascii="Arial" w:cs="Arial" w:eastAsia="Arial" w:hAnsi="Arial"/>
          <w:sz w:val="16"/>
          <w:szCs w:val="16"/>
          <w:color w:val="auto"/>
        </w:rPr>
        <w:t>, a patent that shares the same priority date, disclosure, and patent term of the parent '665 Patent but contains claims to a different invention). An oral hearing before the EPO on the '420 Patent opposition proceedings has been scheduled for February 14–15, 2019. The original patent term of the Immunex patents is set to expire in 2021.</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EYLEA (aflibercept) Injection and ZALTRAP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(ziv-aflibercept) Injection for Intravenous Infusion</w:t>
      </w:r>
    </w:p>
    <w:p>
      <w:pPr>
        <w:spacing w:after="0" w:line="19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 On November 8, 2017, another alleged shareholder filed a second shareholder derivative complaint in the New York Supreme Court, naming the then current and certain former non-employee members of the Company's board of directors, the Chairman of the board of directors, the Company's Chief Executive Officer, the Company's Chief Scientific Officer, and Regeneron as defendants. The complaint asserts that the individual defendants breached their fiduciary duties and were unjustly enriched when they approved and/or received allegedly excessive compensation in 2014, 2015, and 2016.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the imposition of meaningful limits on the amount of equity payable to the individual defendants; a shareholder vote regarding the individual defendants' equity compensation; equitable relief, including an equitable accounting with disgorgement; and award of the costs of the action, including attorneys' fees. On December 4, 2017, the plaintiff in the second action moved to consolidate both actions, to be appointed lead plaintiff, and to have its counsel be appointed lead counsel in the proposed consolidated action. The court heard oral argument on March 7, 2018 and denied the motion. The parties in both the first derivative action and the second derivative action agreed to a schedule for document discovery and the filing of defendants' appeal of the court's June 28, 2017 decision, as well as a stay of all non-document discovery pending a decision on defendants' appeal. On March 19, 2018, the defendants appealed the court's June 28, 2017 decision to the Appellate Division of the Supreme Court, First Department. On April 19, 2018, the Appellate Division granted the second plaintiff's motion to intervene in this appeal. On October 9, 2018, the parties to both derivative actions filed with the court a stipulation of compromise and settlement of both derivative actions. The stipulation requires Regeneron to, among other things, impose specified limitations on certain director compensation for the five years starting in December 2018, implement certain corporate governance measures, and pay the agreed-upon amount of attorneys' fees and expenses. Following a hearing on December 3, 2018, the court entered final judgments in both the first derivative action and the second derivative action, approving the settlement. Pursuant to the Company's By-Laws and the New York Business Corporation Law, expenses in connection with the foregoing were advanced by the Company for the individual defendants.</w:t>
      </w:r>
    </w:p>
    <w:p>
      <w:pPr>
        <w:spacing w:after="0" w:line="200" w:lineRule="exact"/>
        <w:rPr>
          <w:sz w:val="20"/>
          <w:szCs w:val="20"/>
          <w:color w:val="auto"/>
        </w:rPr>
      </w:pPr>
    </w:p>
    <w:p>
      <w:pPr>
        <w:spacing w:after="0" w:line="24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was substantially similar to the December 15, 2015 shareholder litigation demand. The demands asserted that the then current and certain former non-employee members of the board of directors and the Chairman of the board of directors excessively compensated themselves in 2013 and 2014. The demands requested that the board of directors investigate and bring legal action against these directors for breach of fiduciary duty, unjust enrichment, and corporate waste, and implement internal controls and systems designed to prohibit and prevent similar actions in the future. On December 20, 2017, the parties to the shareholder derivative action filed on December 30, 2015 entered into a stipulation with the second demanding shareholder. The stipulation provides that the purported shareholder will intervene as a plaintiff in the action, and that the purported shareholder's litigation demand will be withdrawn and deemed null and void. The stipulation was approved by the court on January 18, 2018. The first shareholder litigation demand has also since been withdrawn.</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420"/>
          </w:cols>
          <w:pgMar w:left="240" w:top="130" w:right="23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 - interest expense and amortization of</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discount and note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w:t>
            </w:r>
          </w:p>
        </w:tc>
      </w:tr>
      <w:tr>
        <w:trPr>
          <w:trHeight w:val="203"/>
        </w:trPr>
        <w:tc>
          <w:tcPr>
            <w:tcW w:w="5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7.70</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7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2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2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27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Statement of Cash Flows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Company adopted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during the first quarter of 2018, and the standard has been retrospectively applied to all periods presented. The following provides a reconciliation of cash, cash equivalents, and restricted cash to the total of the same such amounts shown in the Consolidated Statement of Cash Flows:</w:t>
      </w:r>
    </w:p>
    <w:p>
      <w:pPr>
        <w:spacing w:after="0" w:line="393"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cash, cash equivalents, and restricted cash shown in the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825.2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F- 46</w:t>
      </w:r>
    </w:p>
    <w:p>
      <w:pPr>
        <w:sectPr>
          <w:pgSz w:w="11900" w:h="16838" w:orient="portrait"/>
          <w:cols w:equalWidth="0" w:num="1">
            <w:col w:w="11420"/>
          </w:cols>
          <w:pgMar w:left="240" w:top="130" w:right="239" w:bottom="1440" w:gutter="0" w:footer="0" w:header="0"/>
          <w:type w:val="continuous"/>
        </w:sectPr>
      </w:pPr>
    </w:p>
    <w:bookmarkStart w:id="132" w:name="page133"/>
    <w:bookmarkEnd w:id="1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Included in accounts payable, accrued expenses, and other liabilities as of December 31, 2018, 2017, and 2016 were $54.5 million, $41.8 million, and $28.2 million, respectively, of accrued capital expenditures.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in Note 3, during 2018, we purchased (by issuing a credit towards the amount owed by Sanofi) 215,387 shares of our Common Stock from Sanofi to satisfy Sanofi's funding obligation related to Libtayo development costs, and recorded the cost of the shares received, or $75.8 million, as Treasury Stock.</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recognized additional capital and facility lease obligations of $201.2 million and $154.9 million during 2017 and 2016, respectively, in connection with the Company's Tarrytown Leases (see Note 12). No additional capital and facility lease obligations were recognized during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Unaudited Quarterly Results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(unaudited) for the years ended December 31, 2018 and 2017 are set forth in the following tables.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First Quarter Ended</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Second Quarter Ended</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Third Quarter Ended</w:t>
            </w:r>
          </w:p>
        </w:tc>
        <w:tc>
          <w:tcPr>
            <w:tcW w:w="180" w:type="dxa"/>
            <w:vAlign w:val="bottom"/>
          </w:tcPr>
          <w:p>
            <w:pPr>
              <w:spacing w:after="0"/>
              <w:rPr>
                <w:sz w:val="18"/>
                <w:szCs w:val="18"/>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90"/>
              </w:rPr>
              <w:t>March 31, 2018</w:t>
            </w:r>
            <w:r>
              <w:rPr>
                <w:rFonts w:ascii="Arial" w:cs="Arial" w:eastAsia="Arial" w:hAnsi="Arial"/>
                <w:sz w:val="25"/>
                <w:szCs w:val="25"/>
                <w:b w:val="1"/>
                <w:bCs w:val="1"/>
                <w:color w:val="auto"/>
                <w:w w:val="90"/>
                <w:vertAlign w:val="superscript"/>
              </w:rPr>
              <w:t>(1)</w:t>
            </w:r>
          </w:p>
        </w:tc>
        <w:tc>
          <w:tcPr>
            <w:tcW w:w="280" w:type="dxa"/>
            <w:vAlign w:val="bottom"/>
          </w:tcPr>
          <w:p>
            <w:pPr>
              <w:spacing w:after="0"/>
              <w:rPr>
                <w:sz w:val="22"/>
                <w:szCs w:val="22"/>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22"/>
                <w:szCs w:val="2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2018</w:t>
            </w:r>
          </w:p>
        </w:tc>
        <w:tc>
          <w:tcPr>
            <w:tcW w:w="180" w:type="dxa"/>
            <w:vAlign w:val="bottom"/>
          </w:tcPr>
          <w:p>
            <w:pPr>
              <w:spacing w:after="0"/>
              <w:rPr>
                <w:sz w:val="22"/>
                <w:szCs w:val="22"/>
                <w:color w:val="auto"/>
              </w:rPr>
            </w:pPr>
          </w:p>
        </w:tc>
        <w:tc>
          <w:tcPr>
            <w:tcW w:w="2100" w:type="dxa"/>
            <w:vAlign w:val="bottom"/>
          </w:tcPr>
          <w:p>
            <w:pPr>
              <w:jc w:val="center"/>
              <w:ind w:right="110"/>
              <w:spacing w:after="0" w:line="262" w:lineRule="exact"/>
              <w:rPr>
                <w:sz w:val="20"/>
                <w:szCs w:val="20"/>
                <w:color w:val="auto"/>
              </w:rPr>
            </w:pPr>
            <w:r>
              <w:rPr>
                <w:rFonts w:ascii="Arial" w:cs="Arial" w:eastAsia="Arial" w:hAnsi="Arial"/>
                <w:sz w:val="18"/>
                <w:szCs w:val="18"/>
                <w:b w:val="1"/>
                <w:bCs w:val="1"/>
                <w:color w:val="auto"/>
                <w:w w:val="85"/>
              </w:rPr>
              <w:t>December 31, 2018</w:t>
            </w:r>
            <w:r>
              <w:rPr>
                <w:rFonts w:ascii="Arial" w:cs="Arial" w:eastAsia="Arial" w:hAnsi="Arial"/>
                <w:sz w:val="25"/>
                <w:szCs w:val="25"/>
                <w:b w:val="1"/>
                <w:bCs w:val="1"/>
                <w:color w:val="auto"/>
                <w:w w:val="85"/>
                <w:vertAlign w:val="superscript"/>
              </w:rPr>
              <w:t>(2)(3)</w:t>
            </w:r>
          </w:p>
        </w:tc>
      </w:tr>
      <w:tr>
        <w:trPr>
          <w:trHeight w:val="24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1,927.8</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820.4</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7.15</w:t>
            </w:r>
          </w:p>
        </w:tc>
      </w:tr>
      <w:tr>
        <w:trPr>
          <w:trHeight w:val="387"/>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First Quarter Ended</w:t>
            </w:r>
          </w:p>
        </w:tc>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Second Quarter Ended</w:t>
            </w:r>
          </w:p>
        </w:tc>
        <w:tc>
          <w:tcPr>
            <w:tcW w:w="120" w:type="dxa"/>
            <w:vAlign w:val="bottom"/>
          </w:tcPr>
          <w:p>
            <w:pPr>
              <w:spacing w:after="0"/>
              <w:rPr>
                <w:sz w:val="24"/>
                <w:szCs w:val="2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Third Quarter Ended</w:t>
            </w:r>
          </w:p>
        </w:tc>
        <w:tc>
          <w:tcPr>
            <w:tcW w:w="180" w:type="dxa"/>
            <w:vAlign w:val="bottom"/>
          </w:tcPr>
          <w:p>
            <w:pPr>
              <w:spacing w:after="0"/>
              <w:rPr>
                <w:sz w:val="24"/>
                <w:szCs w:val="24"/>
                <w:color w:val="auto"/>
              </w:rPr>
            </w:pPr>
          </w:p>
        </w:tc>
        <w:tc>
          <w:tcPr>
            <w:tcW w:w="2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2017</w:t>
            </w:r>
          </w:p>
        </w:tc>
        <w:tc>
          <w:tcPr>
            <w:tcW w:w="280" w:type="dxa"/>
            <w:vAlign w:val="bottom"/>
          </w:tcPr>
          <w:p>
            <w:pPr>
              <w:spacing w:after="0"/>
              <w:rPr>
                <w:sz w:val="22"/>
                <w:szCs w:val="22"/>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22"/>
                <w:szCs w:val="22"/>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2017</w:t>
            </w:r>
          </w:p>
        </w:tc>
        <w:tc>
          <w:tcPr>
            <w:tcW w:w="180" w:type="dxa"/>
            <w:vAlign w:val="bottom"/>
          </w:tcPr>
          <w:p>
            <w:pPr>
              <w:spacing w:after="0"/>
              <w:rPr>
                <w:sz w:val="22"/>
                <w:szCs w:val="22"/>
                <w:color w:val="auto"/>
              </w:rPr>
            </w:pPr>
          </w:p>
        </w:tc>
        <w:tc>
          <w:tcPr>
            <w:tcW w:w="2100" w:type="dxa"/>
            <w:vAlign w:val="bottom"/>
          </w:tcPr>
          <w:p>
            <w:pPr>
              <w:jc w:val="center"/>
              <w:ind w:right="90"/>
              <w:spacing w:after="0" w:line="262" w:lineRule="exact"/>
              <w:rPr>
                <w:sz w:val="20"/>
                <w:szCs w:val="20"/>
                <w:color w:val="auto"/>
              </w:rPr>
            </w:pPr>
            <w:r>
              <w:rPr>
                <w:rFonts w:ascii="Arial" w:cs="Arial" w:eastAsia="Arial" w:hAnsi="Arial"/>
                <w:sz w:val="18"/>
                <w:szCs w:val="18"/>
                <w:b w:val="1"/>
                <w:bCs w:val="1"/>
                <w:color w:val="auto"/>
                <w:w w:val="87"/>
              </w:rPr>
              <w:t>December 31, 2017</w:t>
            </w:r>
            <w:r>
              <w:rPr>
                <w:rFonts w:ascii="Arial" w:cs="Arial" w:eastAsia="Arial" w:hAnsi="Arial"/>
                <w:sz w:val="25"/>
                <w:szCs w:val="25"/>
                <w:b w:val="1"/>
                <w:bCs w:val="1"/>
                <w:color w:val="auto"/>
                <w:w w:val="87"/>
                <w:vertAlign w:val="superscript"/>
              </w:rPr>
              <w:t>(4)</w:t>
            </w:r>
          </w:p>
        </w:tc>
      </w:tr>
      <w:tr>
        <w:trPr>
          <w:trHeight w:val="24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1,582.4</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173.5</w:t>
            </w: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1.50</w:t>
            </w:r>
          </w:p>
        </w:tc>
      </w:tr>
    </w:tbl>
    <w:p>
      <w:pPr>
        <w:spacing w:after="0" w:line="161" w:lineRule="exact"/>
        <w:rPr>
          <w:sz w:val="20"/>
          <w:szCs w:val="20"/>
          <w:color w:val="auto"/>
        </w:rPr>
      </w:pPr>
    </w:p>
    <w:p>
      <w:pPr>
        <w:ind w:left="320" w:right="340" w:hanging="8"/>
        <w:spacing w:after="0" w:line="252" w:lineRule="auto"/>
        <w:tabs>
          <w:tab w:leader="none" w:pos="498"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In the first quarter of 2018, the Company adopted ASC 606 and ASU 2016-01. Prior period amounts have not been adjusted in connection with the adoption of these accounting standards. See Note 1.</w:t>
      </w:r>
    </w:p>
    <w:p>
      <w:pPr>
        <w:spacing w:after="0" w:line="4" w:lineRule="exact"/>
        <w:rPr>
          <w:rFonts w:ascii="Arial" w:cs="Arial" w:eastAsia="Arial" w:hAnsi="Arial"/>
          <w:sz w:val="22"/>
          <w:szCs w:val="22"/>
          <w:color w:val="auto"/>
          <w:vertAlign w:val="superscript"/>
        </w:rPr>
      </w:pPr>
    </w:p>
    <w:p>
      <w:pPr>
        <w:ind w:left="500" w:hanging="188"/>
        <w:spacing w:after="0"/>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Includes impact of a cumulative catch-up adjustment recorded to revenue upon modification of the Amended IO Discovery Agreement. See Note 3.</w:t>
      </w:r>
    </w:p>
    <w:p>
      <w:pPr>
        <w:spacing w:after="0" w:line="55" w:lineRule="exact"/>
        <w:rPr>
          <w:rFonts w:ascii="Arial" w:cs="Arial" w:eastAsia="Arial" w:hAnsi="Arial"/>
          <w:sz w:val="22"/>
          <w:szCs w:val="22"/>
          <w:color w:val="auto"/>
          <w:vertAlign w:val="superscript"/>
        </w:rPr>
      </w:pPr>
    </w:p>
    <w:p>
      <w:pPr>
        <w:ind w:left="500" w:hanging="188"/>
        <w:spacing w:after="0" w:line="203" w:lineRule="auto"/>
        <w:tabs>
          <w:tab w:leader="none" w:pos="50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Includes tax impact of the sale of non-inventory related assets between foreign subsidiaries completed during the fourth quarter of 2018. See Note 16.</w:t>
      </w:r>
    </w:p>
    <w:p>
      <w:pPr>
        <w:spacing w:after="0" w:line="50" w:lineRule="exact"/>
        <w:rPr>
          <w:sz w:val="20"/>
          <w:szCs w:val="20"/>
          <w:color w:val="auto"/>
        </w:rPr>
      </w:pPr>
    </w:p>
    <w:p>
      <w:pPr>
        <w:ind w:left="320" w:right="220"/>
        <w:spacing w:after="0" w:line="211"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As a result of the Act being signed into law on December 22, 2017, the Company recognized a charge of $326.2 million in the fourth quarter of 2017 related to the re-measurement of its U.S. net deferred tax assets at the lower enacted corporate tax rate. See Note 16.</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F- 47</w:t>
      </w:r>
    </w:p>
    <w:p>
      <w:pPr>
        <w:sectPr>
          <w:pgSz w:w="11900" w:h="16838" w:orient="portrait"/>
          <w:cols w:equalWidth="0" w:num="1">
            <w:col w:w="11420"/>
          </w:cols>
          <w:pgMar w:left="240" w:top="13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10.2.17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294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00" w:type="dxa"/>
            <w:vAlign w:val="bottom"/>
            <w:gridSpan w:val="4"/>
          </w:tcPr>
          <w:p>
            <w:pPr>
              <w:ind w:left="76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Time-Based Vesting</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31"/>
        </w:trPr>
        <w:tc>
          <w:tcPr>
            <w:tcW w:w="4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Plan:</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ID:</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4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5"/>
              </w:rPr>
              <w:t>The total option price of the shares granted is $[   ].</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2"/>
        </w:trPr>
        <w:tc>
          <w:tcPr>
            <w:tcW w:w="6500" w:type="dxa"/>
            <w:vAlign w:val="bottom"/>
            <w:gridSpan w:val="7"/>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6"/>
              </w:rPr>
              <w:t>Vest Type</w:t>
            </w: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Full Vest</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71"/>
        </w:trPr>
        <w:tc>
          <w:tcPr>
            <w:tcW w:w="580" w:type="dxa"/>
            <w:vAlign w:val="bottom"/>
          </w:tcPr>
          <w:p>
            <w:pPr>
              <w:spacing w:after="0"/>
              <w:rPr>
                <w:sz w:val="23"/>
                <w:szCs w:val="23"/>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3"/>
                <w:szCs w:val="23"/>
                <w:color w:val="auto"/>
              </w:rPr>
            </w:pPr>
          </w:p>
        </w:tc>
        <w:tc>
          <w:tcPr>
            <w:tcW w:w="640" w:type="dxa"/>
            <w:vAlign w:val="bottom"/>
            <w:tcBorders>
              <w:bottom w:val="single" w:sz="8" w:color="C0C0C0"/>
            </w:tcBorders>
            <w:shd w:val="clear" w:color="auto" w:fill="C0C0C0"/>
          </w:tcPr>
          <w:p>
            <w:pPr>
              <w:spacing w:after="0"/>
              <w:rPr>
                <w:sz w:val="23"/>
                <w:szCs w:val="23"/>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3"/>
                <w:szCs w:val="23"/>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4"/>
                <w:szCs w:val="24"/>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w w:val="93"/>
              </w:rPr>
              <w:t>The Non-Qualified Stock Option expires on [</w:t>
            </w:r>
          </w:p>
        </w:tc>
        <w:tc>
          <w:tcPr>
            <w:tcW w:w="2580" w:type="dxa"/>
            <w:vAlign w:val="bottom"/>
            <w:gridSpan w:val="3"/>
          </w:tcPr>
          <w:p>
            <w:pPr>
              <w:ind w:left="460"/>
              <w:spacing w:after="0"/>
              <w:rPr>
                <w:sz w:val="20"/>
                <w:szCs w:val="20"/>
                <w:color w:val="auto"/>
              </w:rPr>
            </w:pPr>
            <w:r>
              <w:rPr>
                <w:rFonts w:ascii="Arial" w:cs="Arial" w:eastAsia="Arial" w:hAnsi="Arial"/>
                <w:sz w:val="18"/>
                <w:szCs w:val="18"/>
                <w:color w:val="auto"/>
                <w:w w:val="98"/>
              </w:rPr>
              <w:t>]*** (the “Expiration Date”).</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4"/>
        </w:trPr>
        <w:tc>
          <w:tcPr>
            <w:tcW w:w="3060" w:type="dxa"/>
            <w:vAlign w:val="bottom"/>
            <w:gridSpan w:val="2"/>
          </w:tcPr>
          <w:p>
            <w:pPr>
              <w:jc w:val="right"/>
              <w:ind w:right="750"/>
              <w:spacing w:after="0"/>
              <w:rPr>
                <w:sz w:val="20"/>
                <w:szCs w:val="20"/>
                <w:color w:val="auto"/>
              </w:rPr>
            </w:pPr>
            <w:r>
              <w:rPr>
                <w:rFonts w:ascii="Arial" w:cs="Arial" w:eastAsia="Arial" w:hAnsi="Arial"/>
                <w:sz w:val="22"/>
                <w:szCs w:val="22"/>
                <w:color w:val="auto"/>
                <w:w w:val="89"/>
              </w:rPr>
              <w:t>____________________</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294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00" w:right="480" w:hanging="465"/>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w:t>
      </w:r>
    </w:p>
    <w:p>
      <w:pPr>
        <w:spacing w:after="0" w:line="305" w:lineRule="exact"/>
        <w:rPr>
          <w:rFonts w:ascii="Arial" w:cs="Arial" w:eastAsia="Arial" w:hAnsi="Arial"/>
          <w:sz w:val="18"/>
          <w:szCs w:val="18"/>
          <w:color w:val="auto"/>
        </w:rPr>
      </w:pPr>
    </w:p>
    <w:p>
      <w:pPr>
        <w:ind w:left="500" w:hanging="465"/>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7"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84" w:lineRule="exact"/>
        <w:rPr>
          <w:sz w:val="20"/>
          <w:szCs w:val="20"/>
          <w:color w:val="auto"/>
        </w:rPr>
      </w:pPr>
    </w:p>
    <w:p>
      <w:pPr>
        <w:jc w:val="both"/>
        <w:ind w:left="80" w:firstLine="563"/>
        <w:spacing w:after="0" w:line="319" w:lineRule="auto"/>
        <w:tabs>
          <w:tab w:leader="none" w:pos="13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the Grantee has not incurred a termination of employment or service with the Company and all Subsidiaries (the Company and all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w:t>
      </w:r>
    </w:p>
    <w:p>
      <w:pPr>
        <w:spacing w:after="0" w:line="4" w:lineRule="exact"/>
        <w:rPr>
          <w:rFonts w:ascii="Arial" w:cs="Arial" w:eastAsia="Arial" w:hAnsi="Arial"/>
          <w:sz w:val="16"/>
          <w:szCs w:val="16"/>
          <w:color w:val="auto"/>
        </w:rPr>
      </w:pPr>
    </w:p>
    <w:p>
      <w:pPr>
        <w:jc w:val="both"/>
        <w:ind w:left="80"/>
        <w:spacing w:after="0" w:line="281" w:lineRule="auto"/>
        <w:rPr>
          <w:rFonts w:ascii="Arial" w:cs="Arial" w:eastAsia="Arial" w:hAnsi="Arial"/>
          <w:sz w:val="16"/>
          <w:szCs w:val="16"/>
          <w:color w:val="auto"/>
        </w:rPr>
      </w:pPr>
      <w:r>
        <w:rPr>
          <w:rFonts w:ascii="Arial" w:cs="Arial" w:eastAsia="Arial" w:hAnsi="Arial"/>
          <w:sz w:val="18"/>
          <w:szCs w:val="18"/>
          <w:color w:val="auto"/>
        </w:rPr>
        <w:t xml:space="preserve">in effect on the date hereof), the Option shall continue to vest in installments as provided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as if the Grantee had continued to be employed by or provide services to the Employer.]</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For the avoidance of doubt and notwithstanding anything herein or in the </w:t>
      </w:r>
      <w:r>
        <w:rPr>
          <w:rFonts w:ascii="Arial" w:cs="Arial" w:eastAsia="Arial" w:hAnsi="Arial"/>
          <w:sz w:val="18"/>
          <w:szCs w:val="18"/>
          <w:i w:val="1"/>
          <w:iCs w:val="1"/>
          <w:color w:val="auto"/>
        </w:rPr>
        <w:t>Notice of Grant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Stock Options </w:t>
      </w:r>
      <w:r>
        <w:rPr>
          <w:rFonts w:ascii="Arial" w:cs="Arial" w:eastAsia="Arial" w:hAnsi="Arial"/>
          <w:sz w:val="18"/>
          <w:szCs w:val="18"/>
          <w:color w:val="auto"/>
        </w:rPr>
        <w:t>to the contrary, any outstanding and unvested portion of the Option shall become fully vested on the date of the Grantee’s death.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this Section 2(b) are subject to (i) the provisions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or any employment agreement, consulting agreement, change in control agreement or plan, or similar agreement or plan in effect between the Employer and the Grantee (or otherwise applicable to the Grantee) on the date</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Only applicable to Option Agreements for George D. Yancopoulos, M.D., Ph.D.</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Only applicable to Option Agreements for George D. Yancopoulos, M.D., Ph.D.</w:t>
      </w:r>
    </w:p>
    <w:p>
      <w:pPr>
        <w:sectPr>
          <w:pgSz w:w="11900" w:h="16838" w:orient="portrait"/>
          <w:cols w:equalWidth="0" w:num="1">
            <w:col w:w="11420"/>
          </w:cols>
          <w:pgMar w:left="240" w:top="616"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117" w:lineRule="exact"/>
        <w:rPr>
          <w:sz w:val="20"/>
          <w:szCs w:val="20"/>
          <w:color w:val="auto"/>
        </w:rPr>
      </w:pPr>
    </w:p>
    <w:p>
      <w:pPr>
        <w:jc w:val="both"/>
        <w:ind w:left="80" w:firstLine="644"/>
        <w:spacing w:after="0" w:line="267" w:lineRule="auto"/>
        <w:tabs>
          <w:tab w:leader="none" w:pos="986"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Grantee being subject to the excise tax payable under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85" w:lineRule="exact"/>
        <w:rPr>
          <w:rFonts w:ascii="Arial" w:cs="Arial" w:eastAsia="Arial" w:hAnsi="Arial"/>
          <w:sz w:val="17"/>
          <w:szCs w:val="17"/>
          <w:color w:val="auto"/>
        </w:rPr>
      </w:pPr>
    </w:p>
    <w:p>
      <w:pPr>
        <w:jc w:val="both"/>
        <w:ind w:firstLine="656"/>
        <w:spacing w:after="0" w:line="217" w:lineRule="exact"/>
        <w:tabs>
          <w:tab w:leader="none" w:pos="97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w:t>
      </w:r>
      <w:r>
        <w:rPr>
          <w:rFonts w:ascii="Arial" w:cs="Arial" w:eastAsia="Arial" w:hAnsi="Arial"/>
          <w:sz w:val="22"/>
          <w:szCs w:val="22"/>
          <w:color w:val="auto"/>
          <w:vertAlign w:val="superscript"/>
        </w:rPr>
        <w:t>3</w:t>
      </w:r>
      <w:r>
        <w:rPr>
          <w:rFonts w:ascii="Arial" w:cs="Arial" w:eastAsia="Arial" w:hAnsi="Arial"/>
          <w:sz w:val="16"/>
          <w:szCs w:val="16"/>
          <w:color w:val="auto"/>
        </w:rPr>
        <w:t>, (C) one year after the termination if such termination is due to the Grantee’s [death or]</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42" w:lineRule="exact"/>
        <w:rPr>
          <w:sz w:val="20"/>
          <w:szCs w:val="20"/>
          <w:color w:val="auto"/>
        </w:rPr>
      </w:pPr>
    </w:p>
    <w:p>
      <w:pPr>
        <w:jc w:val="both"/>
        <w:ind w:firstLine="656"/>
        <w:spacing w:after="0" w:line="310" w:lineRule="auto"/>
        <w:tabs>
          <w:tab w:leader="none" w:pos="1549" w:val="left"/>
        </w:tabs>
        <w:numPr>
          <w:ilvl w:val="0"/>
          <w:numId w:val="44"/>
        </w:numPr>
        <w:rPr>
          <w:rFonts w:ascii="Arial" w:cs="Arial" w:eastAsia="Arial" w:hAnsi="Arial"/>
          <w:sz w:val="21"/>
          <w:szCs w:val="21"/>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Only applicable to Option Agreements for George D. Yancopoulos, M.D., Ph.D.</w:t>
      </w:r>
    </w:p>
    <w:p>
      <w:pPr>
        <w:spacing w:after="0"/>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Not applicable to Option Agreements for George D. Yancopoulos, M.D., Ph.D.</w:t>
      </w:r>
    </w:p>
    <w:p>
      <w:pPr>
        <w:sectPr>
          <w:pgSz w:w="11900" w:h="16838" w:orient="portrait"/>
          <w:cols w:equalWidth="0" w:num="1">
            <w:col w:w="11420"/>
          </w:cols>
          <w:pgMar w:left="240" w:top="476" w:right="239" w:bottom="1440" w:gutter="0" w:footer="0" w:header="0"/>
        </w:sectPr>
      </w:pPr>
    </w:p>
    <w:bookmarkStart w:id="136" w:name="page137"/>
    <w:bookmarkEnd w:id="136"/>
    <w:p>
      <w:pPr>
        <w:jc w:val="both"/>
        <w:ind w:firstLine="8"/>
        <w:spacing w:after="0" w:line="255" w:lineRule="auto"/>
        <w:tabs>
          <w:tab w:leader="none" w:pos="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8"/>
          <w:szCs w:val="18"/>
          <w:i w:val="1"/>
          <w:iCs w:val="1"/>
          <w:color w:val="auto"/>
        </w:rPr>
        <w:t>Notice of Grant of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that defines “cause” (or words of like import), as defined under such agreement or plan. For purposes of this Section 3(b), no act, or failure to act, on</w:t>
      </w:r>
      <w:r>
        <w:rPr>
          <w:rFonts w:ascii="Arial" w:cs="Arial" w:eastAsia="Arial" w:hAnsi="Arial"/>
          <w:sz w:val="18"/>
          <w:szCs w:val="18"/>
          <w:i w:val="1"/>
          <w:iCs w:val="1"/>
          <w:color w:val="auto"/>
        </w:rPr>
        <w:t xml:space="preserve"> </w:t>
      </w:r>
      <w:r>
        <w:rPr>
          <w:rFonts w:ascii="Arial" w:cs="Arial" w:eastAsia="Arial" w:hAnsi="Arial"/>
          <w:sz w:val="18"/>
          <w:szCs w:val="18"/>
          <w:color w:val="auto"/>
        </w:rPr>
        <w:t>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21" w:lineRule="exact"/>
        <w:rPr>
          <w:rFonts w:ascii="Arial" w:cs="Arial" w:eastAsia="Arial" w:hAnsi="Arial"/>
          <w:sz w:val="18"/>
          <w:szCs w:val="18"/>
          <w:color w:val="auto"/>
        </w:rPr>
      </w:pPr>
    </w:p>
    <w:p>
      <w:pPr>
        <w:jc w:val="both"/>
        <w:ind w:firstLine="656"/>
        <w:spacing w:after="0" w:line="331" w:lineRule="auto"/>
        <w:tabs>
          <w:tab w:leader="none" w:pos="1536" w:val="left"/>
        </w:tabs>
        <w:numPr>
          <w:ilvl w:val="1"/>
          <w:numId w:val="45"/>
        </w:numPr>
        <w:rPr>
          <w:rFonts w:ascii="Arial" w:cs="Arial" w:eastAsia="Arial" w:hAnsi="Arial"/>
          <w:sz w:val="19"/>
          <w:szCs w:val="19"/>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“good reason” (or words of like import)) a termination of employment by the Grantee within one hundred and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definition shall be deemed, solely for purposes of this Agreement, to include as one of the reasons that the employment of Leonard S. Schleifer, M.D., Ph.D. with the Company under the Amended and</w:t>
      </w:r>
    </w:p>
    <w:p>
      <w:pPr>
        <w:spacing w:after="0" w:line="286" w:lineRule="auto"/>
        <w:rPr>
          <w:rFonts w:ascii="Arial" w:cs="Arial" w:eastAsia="Arial" w:hAnsi="Arial"/>
          <w:sz w:val="19"/>
          <w:szCs w:val="19"/>
          <w:color w:val="auto"/>
        </w:rPr>
      </w:pPr>
      <w:r>
        <w:rPr>
          <w:rFonts w:ascii="Arial" w:cs="Arial" w:eastAsia="Arial" w:hAnsi="Arial"/>
          <w:sz w:val="18"/>
          <w:szCs w:val="18"/>
          <w:color w:val="auto"/>
        </w:rPr>
        <w:t>Restated Employment Agreement, dated as of November 14, 2008, by and between Dr. Schleifer and the Company, as in effect from time to 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has ended due to Dr. Schleifer’s Involuntary Termination (as defined in the Employment Agreement)]</w:t>
      </w:r>
      <w:r>
        <w:rPr>
          <w:rFonts w:ascii="Arial" w:cs="Arial" w:eastAsia="Arial" w:hAnsi="Arial"/>
          <w:sz w:val="25"/>
          <w:szCs w:val="25"/>
          <w:color w:val="auto"/>
          <w:vertAlign w:val="superscript"/>
        </w:rPr>
        <w:t>5</w:t>
      </w:r>
      <w:r>
        <w:rPr>
          <w:rFonts w:ascii="Arial" w:cs="Arial" w:eastAsia="Arial" w:hAnsi="Arial"/>
          <w:sz w:val="18"/>
          <w:szCs w:val="18"/>
          <w:color w:val="auto"/>
        </w:rPr>
        <w:t>.</w:t>
      </w:r>
    </w:p>
    <w:p>
      <w:pPr>
        <w:spacing w:after="0" w:line="1" w:lineRule="exact"/>
        <w:rPr>
          <w:sz w:val="20"/>
          <w:szCs w:val="20"/>
          <w:color w:val="auto"/>
        </w:rPr>
      </w:pPr>
    </w:p>
    <w:p>
      <w:pPr>
        <w:jc w:val="both"/>
        <w:ind w:firstLine="656"/>
        <w:spacing w:after="0" w:line="254" w:lineRule="auto"/>
        <w:tabs>
          <w:tab w:leader="none" w:pos="1038"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firstLine="656"/>
        <w:spacing w:after="0" w:line="281" w:lineRule="auto"/>
        <w:tabs>
          <w:tab w:leader="none" w:pos="979"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Only applicable to Option Agreements for George D. Yancopoulos, M.D., Ph.D.</w:t>
      </w:r>
    </w:p>
    <w:p>
      <w:pPr>
        <w:sectPr>
          <w:pgSz w:w="11900" w:h="16838" w:orient="portrait"/>
          <w:cols w:equalWidth="0" w:num="1">
            <w:col w:w="11420"/>
          </w:cols>
          <w:pgMar w:left="240" w:top="476" w:right="239" w:bottom="1440" w:gutter="0" w:footer="0" w:header="0"/>
        </w:sectPr>
      </w:pPr>
    </w:p>
    <w:bookmarkStart w:id="137" w:name="page138"/>
    <w:bookmarkEnd w:id="137"/>
    <w:p>
      <w:pPr>
        <w:jc w:val="both"/>
        <w:ind w:left="-656" w:firstLine="656"/>
        <w:spacing w:after="0" w:line="288" w:lineRule="auto"/>
        <w:tabs>
          <w:tab w:leader="none" w:pos="32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left="-656" w:firstLine="656"/>
        <w:spacing w:after="0" w:line="266" w:lineRule="auto"/>
        <w:tabs>
          <w:tab w:leader="none" w:pos="38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left="-656" w:firstLine="656"/>
        <w:spacing w:after="0" w:line="258" w:lineRule="auto"/>
        <w:tabs>
          <w:tab w:leader="none" w:pos="348"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left="-656" w:firstLine="656"/>
        <w:spacing w:after="0" w:line="282" w:lineRule="auto"/>
        <w:tabs>
          <w:tab w:leader="none" w:pos="368"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left="-656" w:firstLine="656"/>
        <w:spacing w:after="0" w:line="261" w:lineRule="auto"/>
        <w:tabs>
          <w:tab w:leader="none" w:pos="50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0764"/>
          </w:cols>
          <w:pgMar w:left="896" w:top="796"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10.2.18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294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00" w:type="dxa"/>
            <w:vAlign w:val="bottom"/>
            <w:gridSpan w:val="4"/>
          </w:tcPr>
          <w:p>
            <w:pPr>
              <w:ind w:left="76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 for Time-Based Vesting</w:t>
            </w:r>
          </w:p>
        </w:tc>
        <w:tc>
          <w:tcPr>
            <w:tcW w:w="3040" w:type="dxa"/>
            <w:vAlign w:val="bottom"/>
            <w:gridSpan w:val="3"/>
          </w:tcPr>
          <w:p>
            <w:pPr>
              <w:ind w:left="76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 Awards</w:t>
            </w: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31"/>
        </w:trPr>
        <w:tc>
          <w:tcPr>
            <w:tcW w:w="4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2260" w:type="dxa"/>
            <w:vAlign w:val="bottom"/>
            <w:gridSpan w:val="2"/>
          </w:tcPr>
          <w:p>
            <w:pPr>
              <w:ind w:left="760"/>
              <w:spacing w:after="0"/>
              <w:rPr>
                <w:sz w:val="20"/>
                <w:szCs w:val="20"/>
                <w:color w:val="auto"/>
              </w:rPr>
            </w:pPr>
            <w:r>
              <w:rPr>
                <w:rFonts w:ascii="Arial" w:cs="Arial" w:eastAsia="Arial" w:hAnsi="Arial"/>
                <w:sz w:val="18"/>
                <w:szCs w:val="18"/>
                <w:b w:val="1"/>
                <w:bCs w:val="1"/>
                <w:color w:val="auto"/>
              </w:rPr>
              <w:t>Option Number:</w:t>
            </w: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Plan:</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4400" w:type="dxa"/>
            <w:vAlign w:val="bottom"/>
          </w:tcPr>
          <w:p>
            <w:pPr>
              <w:spacing w:after="0"/>
              <w:rPr>
                <w:sz w:val="24"/>
                <w:szCs w:val="24"/>
                <w:color w:val="auto"/>
              </w:rPr>
            </w:pPr>
          </w:p>
        </w:tc>
        <w:tc>
          <w:tcPr>
            <w:tcW w:w="1460" w:type="dxa"/>
            <w:vAlign w:val="bottom"/>
          </w:tcPr>
          <w:p>
            <w:pPr>
              <w:ind w:left="760"/>
              <w:spacing w:after="0"/>
              <w:rPr>
                <w:sz w:val="20"/>
                <w:szCs w:val="20"/>
                <w:color w:val="auto"/>
              </w:rPr>
            </w:pPr>
            <w:r>
              <w:rPr>
                <w:rFonts w:ascii="Arial" w:cs="Arial" w:eastAsia="Arial" w:hAnsi="Arial"/>
                <w:sz w:val="18"/>
                <w:szCs w:val="18"/>
                <w:b w:val="1"/>
                <w:bCs w:val="1"/>
                <w:color w:val="auto"/>
              </w:rPr>
              <w:t>ID:</w:t>
            </w:r>
          </w:p>
        </w:tc>
        <w:tc>
          <w:tcPr>
            <w:tcW w:w="800" w:type="dxa"/>
            <w:vAlign w:val="bottom"/>
          </w:tcPr>
          <w:p>
            <w:pPr>
              <w:spacing w:after="0"/>
              <w:rPr>
                <w:sz w:val="24"/>
                <w:szCs w:val="24"/>
                <w:color w:val="auto"/>
              </w:rPr>
            </w:pPr>
          </w:p>
        </w:tc>
        <w:tc>
          <w:tcPr>
            <w:tcW w:w="780" w:type="dxa"/>
            <w:vAlign w:val="bottom"/>
          </w:tcPr>
          <w:p>
            <w:pPr>
              <w:jc w:val="right"/>
              <w:ind w:right="392"/>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4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4"/>
          </w:tcPr>
          <w:p>
            <w:pPr>
              <w:spacing w:after="0"/>
              <w:rPr>
                <w:sz w:val="20"/>
                <w:szCs w:val="20"/>
                <w:color w:val="auto"/>
              </w:rPr>
            </w:pPr>
            <w:r>
              <w:rPr>
                <w:rFonts w:ascii="Arial" w:cs="Arial" w:eastAsia="Arial" w:hAnsi="Arial"/>
                <w:sz w:val="18"/>
                <w:szCs w:val="18"/>
                <w:color w:val="auto"/>
                <w:w w:val="95"/>
              </w:rPr>
              <w:t>The total option price of the shares granted is $[   ].</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2"/>
        </w:trPr>
        <w:tc>
          <w:tcPr>
            <w:tcW w:w="6500" w:type="dxa"/>
            <w:vAlign w:val="bottom"/>
            <w:gridSpan w:val="7"/>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Shares</w:t>
            </w:r>
          </w:p>
        </w:tc>
        <w:tc>
          <w:tcPr>
            <w:tcW w:w="258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6"/>
              </w:rPr>
              <w:t>Vest Type</w:t>
            </w: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Full Vest</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7"/>
        </w:trPr>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0" w:type="dxa"/>
            <w:vAlign w:val="bottom"/>
            <w:tcBorders>
              <w:bottom w:val="single" w:sz="8" w:color="C0C0C0"/>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71"/>
        </w:trPr>
        <w:tc>
          <w:tcPr>
            <w:tcW w:w="580" w:type="dxa"/>
            <w:vAlign w:val="bottom"/>
          </w:tcPr>
          <w:p>
            <w:pPr>
              <w:spacing w:after="0"/>
              <w:rPr>
                <w:sz w:val="23"/>
                <w:szCs w:val="23"/>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3"/>
                <w:szCs w:val="23"/>
                <w:color w:val="auto"/>
              </w:rPr>
            </w:pPr>
          </w:p>
        </w:tc>
        <w:tc>
          <w:tcPr>
            <w:tcW w:w="640" w:type="dxa"/>
            <w:vAlign w:val="bottom"/>
            <w:tcBorders>
              <w:bottom w:val="single" w:sz="8" w:color="C0C0C0"/>
            </w:tcBorders>
            <w:shd w:val="clear" w:color="auto" w:fill="C0C0C0"/>
          </w:tcPr>
          <w:p>
            <w:pPr>
              <w:spacing w:after="0"/>
              <w:rPr>
                <w:sz w:val="23"/>
                <w:szCs w:val="23"/>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3"/>
                <w:szCs w:val="23"/>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3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7"/>
        </w:trPr>
        <w:tc>
          <w:tcPr>
            <w:tcW w:w="580" w:type="dxa"/>
            <w:vAlign w:val="bottom"/>
          </w:tcPr>
          <w:p>
            <w:pPr>
              <w:spacing w:after="0"/>
              <w:rPr>
                <w:sz w:val="24"/>
                <w:szCs w:val="24"/>
                <w:color w:val="auto"/>
              </w:rPr>
            </w:pPr>
          </w:p>
        </w:tc>
        <w:tc>
          <w:tcPr>
            <w:tcW w:w="2480" w:type="dxa"/>
            <w:vAlign w:val="bottom"/>
            <w:tcBorders>
              <w:bottom w:val="single" w:sz="8" w:color="C0C0C0"/>
            </w:tcBorders>
            <w:shd w:val="clear" w:color="auto" w:fill="C0C0C0"/>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2580" w:type="dxa"/>
            <w:vAlign w:val="bottom"/>
            <w:tcBorders>
              <w:bottom w:val="single" w:sz="8" w:color="C0C0C0"/>
            </w:tcBorders>
            <w:gridSpan w:val="3"/>
            <w:shd w:val="clear" w:color="auto" w:fill="C0C0C0"/>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Borders>
              <w:bottom w:val="single" w:sz="8" w:color="C0C0C0"/>
            </w:tcBorders>
            <w:shd w:val="clear" w:color="auto" w:fill="C0C0C0"/>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Borders>
              <w:bottom w:val="single" w:sz="8" w:color="C0C0C0"/>
            </w:tcBorders>
            <w:shd w:val="clear" w:color="auto" w:fill="C0C0C0"/>
          </w:tcPr>
          <w:p>
            <w:pPr>
              <w:spacing w:after="0"/>
              <w:rPr>
                <w:sz w:val="24"/>
                <w:szCs w:val="24"/>
                <w:color w:val="auto"/>
              </w:rPr>
            </w:pPr>
          </w:p>
        </w:tc>
        <w:tc>
          <w:tcPr>
            <w:tcW w:w="24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0"/>
        </w:trPr>
        <w:tc>
          <w:tcPr>
            <w:tcW w:w="3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80" w:type="dxa"/>
            <w:vAlign w:val="bottom"/>
            <w:gridSpan w:val="3"/>
          </w:tcPr>
          <w:p>
            <w:pPr>
              <w:jc w:val="center"/>
              <w:ind w:right="1580"/>
              <w:spacing w:after="0"/>
              <w:rPr>
                <w:sz w:val="20"/>
                <w:szCs w:val="20"/>
                <w:color w:val="auto"/>
              </w:rPr>
            </w:pPr>
            <w:r>
              <w:rPr>
                <w:rFonts w:ascii="Arial" w:cs="Arial" w:eastAsia="Arial" w:hAnsi="Arial"/>
                <w:sz w:val="18"/>
                <w:szCs w:val="18"/>
                <w:color w:val="auto"/>
                <w:w w:val="88"/>
              </w:rPr>
              <w:t>On Vest Date</w:t>
            </w: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9"/>
              </w:rPr>
              <w:t>[__/__/__]**</w:t>
            </w:r>
          </w:p>
        </w:tc>
        <w:tc>
          <w:tcPr>
            <w:tcW w:w="2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567"/>
        </w:trPr>
        <w:tc>
          <w:tcPr>
            <w:tcW w:w="58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w w:val="93"/>
              </w:rPr>
              <w:t>The Non-Qualified Stock Option expires on [</w:t>
            </w:r>
          </w:p>
        </w:tc>
        <w:tc>
          <w:tcPr>
            <w:tcW w:w="2580" w:type="dxa"/>
            <w:vAlign w:val="bottom"/>
            <w:gridSpan w:val="3"/>
          </w:tcPr>
          <w:p>
            <w:pPr>
              <w:ind w:left="460"/>
              <w:spacing w:after="0"/>
              <w:rPr>
                <w:sz w:val="20"/>
                <w:szCs w:val="20"/>
                <w:color w:val="auto"/>
              </w:rPr>
            </w:pPr>
            <w:r>
              <w:rPr>
                <w:rFonts w:ascii="Arial" w:cs="Arial" w:eastAsia="Arial" w:hAnsi="Arial"/>
                <w:sz w:val="18"/>
                <w:szCs w:val="18"/>
                <w:color w:val="auto"/>
                <w:w w:val="98"/>
              </w:rPr>
              <w:t>]*** (the “Expiration Date”).</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94"/>
        </w:trPr>
        <w:tc>
          <w:tcPr>
            <w:tcW w:w="3060" w:type="dxa"/>
            <w:vAlign w:val="bottom"/>
            <w:gridSpan w:val="2"/>
          </w:tcPr>
          <w:p>
            <w:pPr>
              <w:jc w:val="right"/>
              <w:ind w:right="750"/>
              <w:spacing w:after="0"/>
              <w:rPr>
                <w:sz w:val="20"/>
                <w:szCs w:val="20"/>
                <w:color w:val="auto"/>
              </w:rPr>
            </w:pPr>
            <w:r>
              <w:rPr>
                <w:rFonts w:ascii="Arial" w:cs="Arial" w:eastAsia="Arial" w:hAnsi="Arial"/>
                <w:sz w:val="22"/>
                <w:szCs w:val="22"/>
                <w:color w:val="auto"/>
                <w:w w:val="89"/>
              </w:rPr>
              <w:t>____________________</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294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00" w:right="120" w:hanging="465"/>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pacing w:after="0" w:line="305" w:lineRule="exact"/>
        <w:rPr>
          <w:rFonts w:ascii="Arial" w:cs="Arial" w:eastAsia="Arial" w:hAnsi="Arial"/>
          <w:sz w:val="18"/>
          <w:szCs w:val="18"/>
          <w:color w:val="auto"/>
        </w:rPr>
      </w:pPr>
    </w:p>
    <w:p>
      <w:pPr>
        <w:ind w:left="500" w:hanging="465"/>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ectPr>
          <w:pgSz w:w="11900" w:h="16838" w:orient="portrait"/>
          <w:cols w:equalWidth="0" w:num="1">
            <w:col w:w="11420"/>
          </w:cols>
          <w:pgMar w:left="240" w:top="12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WHEREAS, the Committee (or the person or persons to whom the Committee has delegated the relevant authority pursuant to Section 4 of the Plan (as defined below) (the Committee or such person or persons being referred to in this Agreement as the “</w:t>
      </w:r>
      <w:r>
        <w:rPr>
          <w:rFonts w:ascii="Arial" w:cs="Arial" w:eastAsia="Arial" w:hAnsi="Arial"/>
          <w:sz w:val="17"/>
          <w:szCs w:val="17"/>
          <w:u w:val="single" w:color="auto"/>
          <w:color w:val="auto"/>
        </w:rPr>
        <w:t>Committee</w:t>
      </w:r>
      <w:r>
        <w:rPr>
          <w:rFonts w:ascii="Arial" w:cs="Arial" w:eastAsia="Arial" w:hAnsi="Arial"/>
          <w:sz w:val="17"/>
          <w:szCs w:val="17"/>
          <w:color w:val="auto"/>
        </w:rPr>
        <w:t>”)) administering the Amended and Restated Regeneron Pharmaceuticals, Inc. 2014 Long</w:t>
      </w:r>
      <w:r>
        <w:rPr>
          <w:rFonts w:ascii="MS PGothic" w:cs="MS PGothic" w:eastAsia="MS PGothic" w:hAnsi="MS PGothic"/>
          <w:sz w:val="17"/>
          <w:szCs w:val="17"/>
          <w:color w:val="auto"/>
        </w:rPr>
        <w:t>‑</w:t>
      </w:r>
      <w:r>
        <w:rPr>
          <w:rFonts w:ascii="Arial" w:cs="Arial" w:eastAsia="Arial" w:hAnsi="Arial"/>
          <w:sz w:val="17"/>
          <w:szCs w:val="17"/>
          <w:color w:val="auto"/>
        </w:rPr>
        <w:t>Term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has granted (as of the effective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Grantee a Stock Option to purchase the number of shares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as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98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becomes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84" w:lineRule="exact"/>
        <w:rPr>
          <w:sz w:val="20"/>
          <w:szCs w:val="20"/>
          <w:color w:val="auto"/>
        </w:rPr>
      </w:pPr>
    </w:p>
    <w:p>
      <w:pPr>
        <w:jc w:val="both"/>
        <w:ind w:left="80" w:firstLine="563"/>
        <w:spacing w:after="0" w:line="318" w:lineRule="auto"/>
        <w:tabs>
          <w:tab w:leader="none" w:pos="13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Company’s employee handbook as in effect on the date hereof), the Option shall continue to vest in installments as provided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continued to be employed by or provide services to the Employer. For the avoidance of doubt and notwithstanding anything herein or in the </w:t>
      </w:r>
      <w:r>
        <w:rPr>
          <w:rFonts w:ascii="Arial" w:cs="Arial" w:eastAsia="Arial" w:hAnsi="Arial"/>
          <w:sz w:val="17"/>
          <w:szCs w:val="17"/>
          <w:i w:val="1"/>
          <w:iCs w:val="1"/>
          <w:color w:val="auto"/>
        </w:rPr>
        <w:t>Notice of Grant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Stock Options </w:t>
      </w:r>
      <w:r>
        <w:rPr>
          <w:rFonts w:ascii="Arial" w:cs="Arial" w:eastAsia="Arial" w:hAnsi="Arial"/>
          <w:sz w:val="17"/>
          <w:szCs w:val="17"/>
          <w:color w:val="auto"/>
        </w:rPr>
        <w:t>to the contrary, any outstanding and unvested portion of the Option shall become fully vested on the date of the Grantee’s death.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this Section 2(b) are subject to (i) the provisions set forth in the</w:t>
      </w:r>
    </w:p>
    <w:p>
      <w:pPr>
        <w:sectPr>
          <w:pgSz w:w="11900" w:h="16838" w:orient="portrait"/>
          <w:cols w:equalWidth="0" w:num="1">
            <w:col w:w="11420"/>
          </w:cols>
          <w:pgMar w:left="240" w:top="360" w:right="239" w:bottom="1440" w:gutter="0" w:footer="0" w:header="0"/>
        </w:sectPr>
      </w:pPr>
    </w:p>
    <w:bookmarkStart w:id="140" w:name="page141"/>
    <w:bookmarkEnd w:id="140"/>
    <w:p>
      <w:pPr>
        <w:jc w:val="both"/>
        <w:spacing w:after="0" w:line="311" w:lineRule="auto"/>
        <w:rPr>
          <w:sz w:val="20"/>
          <w:szCs w:val="20"/>
          <w:color w:val="auto"/>
        </w:rPr>
      </w:pPr>
      <w:r>
        <w:rPr>
          <w:rFonts w:ascii="Arial" w:cs="Arial" w:eastAsia="Arial" w:hAnsi="Arial"/>
          <w:sz w:val="18"/>
          <w:szCs w:val="18"/>
          <w:i w:val="1"/>
          <w:iCs w:val="1"/>
          <w:color w:val="auto"/>
        </w:rPr>
        <w:t xml:space="preserve">Notice of Grant of Stock Options </w:t>
      </w:r>
      <w:r>
        <w:rPr>
          <w:rFonts w:ascii="Arial" w:cs="Arial" w:eastAsia="Arial" w:hAnsi="Arial"/>
          <w:sz w:val="18"/>
          <w:szCs w:val="18"/>
          <w:color w:val="auto"/>
        </w:rPr>
        <w:t>or any employment agreement, consulting agreement or similar agreement in effect between the Employer and the Grantee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otherwise applicable to the Grantee) on the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(ii) the Committee’s determination in accordance with Section 7(e) of the Plan.</w:t>
      </w:r>
    </w:p>
    <w:p>
      <w:pPr>
        <w:spacing w:after="0" w:line="46" w:lineRule="exact"/>
        <w:rPr>
          <w:sz w:val="20"/>
          <w:szCs w:val="20"/>
          <w:color w:val="auto"/>
        </w:rPr>
      </w:pPr>
    </w:p>
    <w:p>
      <w:pPr>
        <w:jc w:val="both"/>
        <w:ind w:firstLine="644"/>
        <w:spacing w:after="0" w:line="286" w:lineRule="auto"/>
        <w:tabs>
          <w:tab w:leader="none" w:pos="893"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91" w:lineRule="exact"/>
        <w:rPr>
          <w:rFonts w:ascii="Arial" w:cs="Arial" w:eastAsia="Arial" w:hAnsi="Arial"/>
          <w:sz w:val="16"/>
          <w:szCs w:val="16"/>
          <w:color w:val="auto"/>
        </w:rPr>
      </w:pPr>
    </w:p>
    <w:p>
      <w:pPr>
        <w:jc w:val="both"/>
        <w:ind w:left="-80" w:firstLine="656"/>
        <w:spacing w:after="0" w:line="256" w:lineRule="exact"/>
        <w:tabs>
          <w:tab w:leader="none" w:pos="89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51" w:lineRule="exact"/>
        <w:rPr>
          <w:sz w:val="20"/>
          <w:szCs w:val="20"/>
          <w:color w:val="auto"/>
        </w:rPr>
      </w:pPr>
    </w:p>
    <w:p>
      <w:pPr>
        <w:jc w:val="both"/>
        <w:ind w:left="-80" w:firstLine="656"/>
        <w:spacing w:after="0" w:line="334" w:lineRule="auto"/>
        <w:tabs>
          <w:tab w:leader="none" w:pos="1469" w:val="left"/>
        </w:tabs>
        <w:numPr>
          <w:ilvl w:val="0"/>
          <w:numId w:val="54"/>
        </w:numPr>
        <w:rPr>
          <w:rFonts w:ascii="Arial" w:cs="Arial" w:eastAsia="Arial" w:hAnsi="Arial"/>
          <w:sz w:val="19"/>
          <w:szCs w:val="19"/>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7" w:lineRule="exact"/>
        <w:rPr>
          <w:sz w:val="20"/>
          <w:szCs w:val="20"/>
          <w:color w:val="auto"/>
        </w:rPr>
      </w:pPr>
    </w:p>
    <w:p>
      <w:pPr>
        <w:jc w:val="both"/>
        <w:ind w:left="-80" w:firstLine="656"/>
        <w:spacing w:after="0" w:line="274" w:lineRule="auto"/>
        <w:tabs>
          <w:tab w:leader="none" w:pos="95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Option. </w:t>
      </w:r>
      <w:r>
        <w:rPr>
          <w:rFonts w:ascii="Arial" w:cs="Arial" w:eastAsia="Arial" w:hAnsi="Arial"/>
          <w:sz w:val="17"/>
          <w:szCs w:val="17"/>
          <w:color w:val="auto"/>
        </w:rPr>
        <w:t>The Option granted hereby shall not be transferable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w:t>
      </w:r>
    </w:p>
    <w:p>
      <w:pPr>
        <w:sectPr>
          <w:pgSz w:w="11900" w:h="16838" w:orient="portrait"/>
          <w:cols w:equalWidth="0" w:num="1">
            <w:col w:w="11340"/>
          </w:cols>
          <w:pgMar w:left="320" w:top="503" w:right="23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8"/>
          <w:szCs w:val="18"/>
          <w:color w:val="auto"/>
        </w:rPr>
        <w:t xml:space="preserve">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5" w:lineRule="exact"/>
        <w:rPr>
          <w:sz w:val="20"/>
          <w:szCs w:val="20"/>
          <w:color w:val="auto"/>
        </w:rPr>
      </w:pPr>
    </w:p>
    <w:p>
      <w:pPr>
        <w:jc w:val="both"/>
        <w:ind w:firstLine="656"/>
        <w:spacing w:after="0" w:line="281" w:lineRule="auto"/>
        <w:tabs>
          <w:tab w:leader="none" w:pos="979"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420"/>
          </w:cols>
          <w:pgMar w:left="240" w:top="47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294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3">
            <w:col w:w="5420" w:space="60"/>
            <w:col w:w="60" w:space="600"/>
            <w:col w:w="52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Notice of Grant of Award and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777 Old Saw Mill River Road</w:t>
      </w:r>
    </w:p>
    <w:p>
      <w:pPr>
        <w:spacing w:after="0" w:line="98"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jc w:val="center"/>
        <w:ind w:right="4180"/>
        <w:spacing w:after="0"/>
        <w:rPr>
          <w:sz w:val="20"/>
          <w:szCs w:val="20"/>
          <w:color w:val="auto"/>
        </w:rPr>
      </w:pPr>
      <w:r>
        <w:rPr>
          <w:rFonts w:ascii="Arial" w:cs="Arial" w:eastAsia="Arial" w:hAnsi="Arial"/>
          <w:sz w:val="16"/>
          <w:szCs w:val="16"/>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424180</wp:posOffset>
            </wp:positionV>
            <wp:extent cx="72294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RSA Number:</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297"/>
        </w:trPr>
        <w:tc>
          <w:tcPr>
            <w:tcW w:w="3080" w:type="dxa"/>
            <w:vAlign w:val="bottom"/>
          </w:tcPr>
          <w:p>
            <w:pPr>
              <w:ind w:left="40"/>
              <w:spacing w:after="0"/>
              <w:rPr>
                <w:sz w:val="20"/>
                <w:szCs w:val="20"/>
                <w:color w:val="auto"/>
              </w:rPr>
            </w:pPr>
            <w:r>
              <w:rPr>
                <w:rFonts w:ascii="Arial" w:cs="Arial" w:eastAsia="Arial" w:hAnsi="Arial"/>
                <w:sz w:val="18"/>
                <w:szCs w:val="18"/>
                <w:b w:val="1"/>
                <w:bCs w:val="1"/>
                <w:color w:val="auto"/>
              </w:rPr>
              <w:t>[ADDRESS]</w:t>
            </w: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Plan:</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297"/>
        </w:trPr>
        <w:tc>
          <w:tcPr>
            <w:tcW w:w="3080" w:type="dxa"/>
            <w:vAlign w:val="bottom"/>
          </w:tcPr>
          <w:p>
            <w:pPr>
              <w:spacing w:after="0"/>
              <w:rPr>
                <w:sz w:val="24"/>
                <w:szCs w:val="24"/>
                <w:color w:val="auto"/>
              </w:rPr>
            </w:pPr>
          </w:p>
        </w:tc>
        <w:tc>
          <w:tcPr>
            <w:tcW w:w="3420" w:type="dxa"/>
            <w:vAlign w:val="bottom"/>
          </w:tcPr>
          <w:p>
            <w:pPr>
              <w:ind w:left="2080"/>
              <w:spacing w:after="0"/>
              <w:rPr>
                <w:sz w:val="20"/>
                <w:szCs w:val="20"/>
                <w:color w:val="auto"/>
              </w:rPr>
            </w:pPr>
            <w:r>
              <w:rPr>
                <w:rFonts w:ascii="Arial" w:cs="Arial" w:eastAsia="Arial" w:hAnsi="Arial"/>
                <w:sz w:val="18"/>
                <w:szCs w:val="18"/>
                <w:b w:val="1"/>
                <w:bCs w:val="1"/>
                <w:color w:val="auto"/>
              </w:rPr>
              <w:t>ID:</w:t>
            </w:r>
          </w:p>
        </w:tc>
        <w:tc>
          <w:tcPr>
            <w:tcW w:w="62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812"/>
              <w:spacing w:after="0"/>
              <w:rPr>
                <w:sz w:val="20"/>
                <w:szCs w:val="20"/>
                <w:color w:val="auto"/>
              </w:rPr>
            </w:pPr>
            <w:r>
              <w:rPr>
                <w:rFonts w:ascii="Arial" w:cs="Arial" w:eastAsia="Arial" w:hAnsi="Arial"/>
                <w:sz w:val="22"/>
                <w:szCs w:val="22"/>
                <w:b w:val="1"/>
                <w:bCs w:val="1"/>
                <w:color w:val="auto"/>
              </w:rPr>
              <w:t>]</w:t>
            </w:r>
          </w:p>
        </w:tc>
      </w:tr>
      <w:tr>
        <w:trPr>
          <w:trHeight w:val="321"/>
        </w:trPr>
        <w:tc>
          <w:tcPr>
            <w:tcW w:w="30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Effective &lt;date&gt; (the “Grant Date”) you have been granted an award of [</w:t>
      </w:r>
      <w:r>
        <w:rPr>
          <w:sz w:val="20"/>
          <w:szCs w:val="20"/>
          <w:color w:val="auto"/>
        </w:rPr>
        <w:tab/>
      </w:r>
      <w:r>
        <w:rPr>
          <w:rFonts w:ascii="Arial" w:cs="Arial" w:eastAsia="Arial" w:hAnsi="Arial"/>
          <w:sz w:val="16"/>
          <w:szCs w:val="16"/>
          <w:color w:val="auto"/>
        </w:rPr>
        <w:t>] shares of Regeneron Pharmaceuticals, Inc. (the “Company”)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shares are restricted until the vest date(s) shown below.</w:t>
      </w:r>
    </w:p>
    <w:p>
      <w:pPr>
        <w:spacing w:after="0" w:line="185"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award will vest in full on the date(s) shown.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Shares</w:t>
            </w:r>
          </w:p>
        </w:tc>
        <w:tc>
          <w:tcPr>
            <w:tcW w:w="5440" w:type="dxa"/>
            <w:vAlign w:val="bottom"/>
            <w:tcBorders>
              <w:bottom w:val="single" w:sz="8" w:color="auto"/>
            </w:tcBorders>
          </w:tcPr>
          <w:p>
            <w:pPr>
              <w:spacing w:after="0"/>
              <w:rPr>
                <w:sz w:val="15"/>
                <w:szCs w:val="15"/>
                <w:color w:val="auto"/>
              </w:rPr>
            </w:pPr>
          </w:p>
        </w:tc>
        <w:tc>
          <w:tcPr>
            <w:tcW w:w="340" w:type="dxa"/>
            <w:vAlign w:val="bottom"/>
            <w:tcBorders>
              <w:bottom w:val="single" w:sz="8" w:color="C0C0C0"/>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jc w:val="right"/>
              <w:ind w:right="2081"/>
              <w:spacing w:after="0"/>
              <w:rPr>
                <w:sz w:val="20"/>
                <w:szCs w:val="20"/>
                <w:color w:val="auto"/>
              </w:rPr>
            </w:pPr>
            <w:r>
              <w:rPr>
                <w:rFonts w:ascii="Arial" w:cs="Arial" w:eastAsia="Arial" w:hAnsi="Arial"/>
                <w:sz w:val="14"/>
                <w:szCs w:val="14"/>
                <w:b w:val="1"/>
                <w:bCs w:val="1"/>
                <w:color w:val="auto"/>
              </w:rPr>
              <w:t>Full Vest Date</w:t>
            </w:r>
          </w:p>
        </w:tc>
      </w:tr>
      <w:tr>
        <w:trPr>
          <w:trHeight w:val="243"/>
        </w:trPr>
        <w:tc>
          <w:tcPr>
            <w:tcW w:w="520" w:type="dxa"/>
            <w:vAlign w:val="bottom"/>
            <w:shd w:val="clear" w:color="auto" w:fill="C0C0C0"/>
          </w:tcPr>
          <w:p>
            <w:pPr>
              <w:ind w:left="4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0C0C0"/>
          </w:tcPr>
          <w:p>
            <w:pPr>
              <w:jc w:val="right"/>
              <w:ind w:right="5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260" w:type="dxa"/>
            <w:vAlign w:val="bottom"/>
            <w:shd w:val="clear" w:color="auto" w:fill="C0C0C0"/>
          </w:tcPr>
          <w:p>
            <w:pPr>
              <w:jc w:val="right"/>
              <w:ind w:right="90"/>
              <w:spacing w:after="0"/>
              <w:rPr>
                <w:sz w:val="20"/>
                <w:szCs w:val="20"/>
                <w:color w:val="auto"/>
              </w:rPr>
            </w:pPr>
            <w:r>
              <w:rPr>
                <w:rFonts w:ascii="Arial" w:cs="Arial" w:eastAsia="Arial" w:hAnsi="Arial"/>
                <w:sz w:val="18"/>
                <w:szCs w:val="18"/>
                <w:color w:val="auto"/>
              </w:rPr>
              <w:t>[</w:t>
            </w:r>
          </w:p>
        </w:tc>
        <w:tc>
          <w:tcPr>
            <w:tcW w:w="4860" w:type="dxa"/>
            <w:vAlign w:val="bottom"/>
            <w:shd w:val="clear" w:color="auto" w:fill="C0C0C0"/>
          </w:tcPr>
          <w:p>
            <w:pPr>
              <w:jc w:val="right"/>
              <w:ind w:right="4441"/>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shd w:val="clear" w:color="auto" w:fill="C0C0C0"/>
          </w:tcPr>
          <w:p>
            <w:pPr>
              <w:spacing w:after="0"/>
              <w:rPr>
                <w:sz w:val="2"/>
                <w:szCs w:val="2"/>
                <w:color w:val="auto"/>
              </w:rPr>
            </w:pPr>
          </w:p>
        </w:tc>
        <w:tc>
          <w:tcPr>
            <w:tcW w:w="5440" w:type="dxa"/>
            <w:vAlign w:val="bottom"/>
            <w:shd w:val="clear" w:color="auto" w:fill="C0C0C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4860" w:type="dxa"/>
            <w:vAlign w:val="bottom"/>
            <w:shd w:val="clear" w:color="auto" w:fill="C0C0C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294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40"/>
        <w:spacing w:after="0" w:line="264"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Amended and Restated Regeneron Pharmaceuticals, Inc. 2014 Long Term Incentive Plan, as amended from time to time, and the enclosed Restricted Stock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330" w:lineRule="exact"/>
        <w:rPr>
          <w:sz w:val="20"/>
          <w:szCs w:val="20"/>
          <w:color w:val="auto"/>
        </w:rPr>
      </w:pPr>
    </w:p>
    <w:p>
      <w:pPr>
        <w:jc w:val="both"/>
        <w:ind w:firstLine="1297"/>
        <w:spacing w:after="0" w:line="344"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an employee of the Company (or a Subsidiary of the Company)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to the Recipient the shares of Restricted Stock as set forth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40" w:lineRule="exact"/>
        <w:rPr>
          <w:sz w:val="20"/>
          <w:szCs w:val="20"/>
          <w:color w:val="auto"/>
        </w:rPr>
      </w:pPr>
    </w:p>
    <w:p>
      <w:pPr>
        <w:jc w:val="both"/>
        <w:ind w:firstLine="1305"/>
        <w:spacing w:after="0" w:line="330" w:lineRule="auto"/>
        <w:tabs>
          <w:tab w:leader="none" w:pos="208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Pursuant to Section 8 of the Plan, the Company grants to the Recipient, subject to the terms and conditions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Plan and subject further to the terms and conditions set forth herein, the number of shares of Restricted Stock as shown on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Restricted Stock</w:t>
      </w:r>
      <w:r>
        <w:rPr>
          <w:rFonts w:ascii="Arial" w:cs="Arial" w:eastAsia="Arial" w:hAnsi="Arial"/>
          <w:sz w:val="17"/>
          <w:szCs w:val="17"/>
          <w:color w:val="auto"/>
        </w:rPr>
        <w:t>. The Participant’s grant and record of Restricted Stock share ownership shall be kept on the books of the Company until the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have lapsed. At the Recipient’s request, vested shares may be evidenced by stock certificates or book-entry registration.</w:t>
      </w:r>
    </w:p>
    <w:p>
      <w:pPr>
        <w:spacing w:after="0" w:line="32" w:lineRule="exact"/>
        <w:rPr>
          <w:rFonts w:ascii="Arial" w:cs="Arial" w:eastAsia="Arial" w:hAnsi="Arial"/>
          <w:sz w:val="17"/>
          <w:szCs w:val="17"/>
          <w:color w:val="auto"/>
        </w:rPr>
      </w:pPr>
    </w:p>
    <w:p>
      <w:pPr>
        <w:jc w:val="both"/>
        <w:ind w:firstLine="1305"/>
        <w:spacing w:after="0" w:line="266" w:lineRule="auto"/>
        <w:tabs>
          <w:tab w:leader="none" w:pos="1665"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(a) The shares of Restricted Stock granted to the Recipient shall vest in installments as provided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Restricted Stock</w:t>
      </w:r>
      <w:r>
        <w:rPr>
          <w:rFonts w:ascii="Arial" w:cs="Arial" w:eastAsia="Arial" w:hAnsi="Arial"/>
          <w:sz w:val="16"/>
          <w:szCs w:val="16"/>
          <w:color w:val="auto"/>
        </w:rPr>
        <w:t>. The vesting schedule in the</w:t>
      </w:r>
      <w:r>
        <w:rPr>
          <w:rFonts w:ascii="Arial" w:cs="Arial" w:eastAsia="Arial" w:hAnsi="Arial"/>
          <w:sz w:val="16"/>
          <w:szCs w:val="16"/>
          <w:i w:val="1"/>
          <w:iCs w:val="1"/>
          <w:color w:val="auto"/>
        </w:rPr>
        <w:t xml:space="preserve"> Notice of Grant of Restricted Stock </w:t>
      </w:r>
      <w:r>
        <w:rPr>
          <w:rFonts w:ascii="Arial" w:cs="Arial" w:eastAsia="Arial" w:hAnsi="Arial"/>
          <w:sz w:val="16"/>
          <w:szCs w:val="16"/>
          <w:color w:val="auto"/>
        </w:rPr>
        <w:t>indicates each date upon which the restrictions on transfer on the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Restricted Stock shall lapse, entitling the Recipient to freely transfer such shares, provided that the Recipient has not [(except with respect to retirement on the terms set forth below)]</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incurred a termination of employment with the Company and all Subsidiaries (the Company and its Subsidiaries shall be referred to herein, collectively, as the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There shall be no proportionate or partial vesting in the periods between the Full Vest Dates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and all vesting shall occur only on such Full Vest Dates. No vesting shall occur after the termination of the Recipient’s employment with the Employer for any reason [(except with respect to retirement on the terms set forth below)]</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The provisions of this Section 2(a) are subject to (i) the provisions set forth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and (ii) the Committee’s determination in accordance with Section 8(h) of the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Only applicable to Restricted Stock Agreements for George D. Yancopoulos, M.D., Ph.D.</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Only applicable to Restricted Stock Agreements for George D. Yancopoulos, M.D., Ph.D.</w:t>
      </w:r>
    </w:p>
    <w:p>
      <w:pPr>
        <w:sectPr>
          <w:pgSz w:w="11900" w:h="16838" w:orient="portrait"/>
          <w:cols w:equalWidth="0" w:num="1">
            <w:col w:w="11420"/>
          </w:cols>
          <w:pgMar w:left="240" w:top="616" w:right="239" w:bottom="1440" w:gutter="0" w:footer="0" w:header="0"/>
        </w:sectPr>
      </w:pPr>
    </w:p>
    <w:bookmarkStart w:id="144" w:name="page145"/>
    <w:bookmarkEnd w:id="144"/>
    <w:p>
      <w:pPr>
        <w:jc w:val="both"/>
        <w:ind w:firstLine="1305"/>
        <w:spacing w:after="0" w:line="285" w:lineRule="auto"/>
        <w:tabs>
          <w:tab w:leader="none" w:pos="17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the Restricted Stock granted to Recipient shall be fully vested on the date the Recipient’s 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if the application of the provision in the foregoing sentence, similar provisions in other stock option or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grants, and other payments and benefits payable to the Recipient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Recipient being subject to excise tax (the “</w:t>
      </w:r>
      <w:r>
        <w:rPr>
          <w:rFonts w:ascii="Arial" w:cs="Arial" w:eastAsia="Arial" w:hAnsi="Arial"/>
          <w:sz w:val="16"/>
          <w:szCs w:val="16"/>
          <w:u w:val="single" w:color="auto"/>
          <w:color w:val="auto"/>
        </w:rPr>
        <w:t>Excise Tax</w:t>
      </w:r>
      <w:r>
        <w:rPr>
          <w:rFonts w:ascii="Arial" w:cs="Arial" w:eastAsia="Arial" w:hAnsi="Arial"/>
          <w:sz w:val="16"/>
          <w:szCs w:val="16"/>
          <w:color w:val="auto"/>
        </w:rPr>
        <w:t>”) payable under 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62" w:lineRule="exact"/>
        <w:rPr>
          <w:rFonts w:ascii="Arial" w:cs="Arial" w:eastAsia="Arial" w:hAnsi="Arial"/>
          <w:sz w:val="16"/>
          <w:szCs w:val="16"/>
          <w:color w:val="auto"/>
        </w:rPr>
      </w:pPr>
    </w:p>
    <w:p>
      <w:pPr>
        <w:jc w:val="both"/>
        <w:ind w:firstLine="8"/>
        <w:spacing w:after="0" w:line="288" w:lineRule="auto"/>
        <w:tabs>
          <w:tab w:leader="none" w:pos="41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or plan but it does not define “cause” (or words of like import))</w:t>
      </w: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“cause” (or words of like import), as defined under such agreement or plan. For purposes of this Section 2(c),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78" w:lineRule="exact"/>
        <w:rPr>
          <w:rFonts w:ascii="Arial" w:cs="Arial" w:eastAsia="Arial" w:hAnsi="Arial"/>
          <w:sz w:val="16"/>
          <w:szCs w:val="16"/>
          <w:color w:val="auto"/>
        </w:rPr>
      </w:pPr>
    </w:p>
    <w:p>
      <w:pPr>
        <w:jc w:val="both"/>
        <w:ind w:firstLine="8"/>
        <w:spacing w:after="0" w:line="272" w:lineRule="auto"/>
        <w:tabs>
          <w:tab w:leader="none" w:pos="426"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w:t>
      </w:r>
    </w:p>
    <w:p>
      <w:pPr>
        <w:sectPr>
          <w:pgSz w:w="11900" w:h="16838" w:orient="portrait"/>
          <w:cols w:equalWidth="0" w:num="1">
            <w:col w:w="11420"/>
          </w:cols>
          <w:pgMar w:left="240" w:top="476" w:right="239" w:bottom="1440" w:gutter="0" w:footer="0" w:header="0"/>
        </w:sectPr>
      </w:pPr>
    </w:p>
    <w:bookmarkStart w:id="145" w:name="page146"/>
    <w:bookmarkEnd w:id="145"/>
    <w:p>
      <w:pPr>
        <w:jc w:val="both"/>
        <w:spacing w:after="0" w:line="267" w:lineRule="auto"/>
        <w:rPr>
          <w:sz w:val="20"/>
          <w:szCs w:val="20"/>
          <w:color w:val="auto"/>
        </w:rPr>
      </w:pPr>
      <w:r>
        <w:rPr>
          <w:rFonts w:ascii="Arial" w:cs="Arial" w:eastAsia="Arial" w:hAnsi="Arial"/>
          <w:sz w:val="17"/>
          <w:szCs w:val="17"/>
          <w:color w:val="auto"/>
        </w:rPr>
        <w:t xml:space="preserve">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Arial" w:cs="Arial" w:eastAsia="Arial" w:hAnsi="Arial"/>
          <w:sz w:val="17"/>
          <w:szCs w:val="17"/>
          <w:i w:val="1"/>
          <w:iCs w:val="1"/>
          <w:color w:val="auto"/>
        </w:rPr>
        <w:t>Notice of Grant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that defines “good reason” (or words of like import), as defined under such agreement or plan[;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has ended due to Dr. Schleifer’s Involuntary Termination (as defined in the Employment Agreement)]</w:t>
      </w:r>
      <w:r>
        <w:rPr>
          <w:rFonts w:ascii="Arial" w:cs="Arial" w:eastAsia="Arial" w:hAnsi="Arial"/>
          <w:sz w:val="24"/>
          <w:szCs w:val="24"/>
          <w:color w:val="auto"/>
          <w:vertAlign w:val="superscript"/>
        </w:rPr>
        <w:t>3</w:t>
      </w:r>
      <w:r>
        <w:rPr>
          <w:rFonts w:ascii="Arial" w:cs="Arial" w:eastAsia="Arial" w:hAnsi="Arial"/>
          <w:sz w:val="17"/>
          <w:szCs w:val="17"/>
          <w:color w:val="auto"/>
        </w:rPr>
        <w:t>.</w:t>
      </w:r>
    </w:p>
    <w:p>
      <w:pPr>
        <w:spacing w:after="0" w:line="5" w:lineRule="exact"/>
        <w:rPr>
          <w:sz w:val="20"/>
          <w:szCs w:val="20"/>
          <w:color w:val="auto"/>
        </w:rPr>
      </w:pPr>
    </w:p>
    <w:p>
      <w:pPr>
        <w:jc w:val="both"/>
        <w:ind w:firstLine="1305"/>
        <w:spacing w:after="0" w:line="229" w:lineRule="auto"/>
        <w:tabs>
          <w:tab w:leader="none" w:pos="162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2(b) hereof, if the Recipient’s employment with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any reason (other than as set forth in Section 2(b) hereof and as a result of Recipient’s [retirement on the terms set forth below or]</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death), the Recipient shall forfeit any or all of the shares of Restricted Stock that have not vested in accordance with Section 2 hereof (the “</w:t>
      </w:r>
      <w:r>
        <w:rPr>
          <w:rFonts w:ascii="Arial" w:cs="Arial" w:eastAsia="Arial" w:hAnsi="Arial"/>
          <w:sz w:val="18"/>
          <w:szCs w:val="18"/>
          <w:u w:val="single" w:color="auto"/>
          <w:color w:val="auto"/>
        </w:rPr>
        <w:t>Unvested Shares</w:t>
      </w:r>
      <w:r>
        <w:rPr>
          <w:rFonts w:ascii="Arial" w:cs="Arial" w:eastAsia="Arial" w:hAnsi="Arial"/>
          <w:sz w:val="18"/>
          <w:szCs w:val="18"/>
          <w:color w:val="auto"/>
        </w:rPr>
        <w:t xml:space="preserve">”). [Notwithstanding the preceding sentence, upon the Recipient’s retirement (as defined in the Company’s employee handbook as in effect on the date hereof), shares of Restricted Stock granted to the Recipient shall continue to vest in installments as provided in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as if the Recipient had continued to be employed by or provide services to the Employer.]</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94" w:lineRule="exact"/>
        <w:rPr>
          <w:rFonts w:ascii="Arial" w:cs="Arial" w:eastAsia="Arial" w:hAnsi="Arial"/>
          <w:sz w:val="18"/>
          <w:szCs w:val="18"/>
          <w:color w:val="auto"/>
        </w:rPr>
      </w:pPr>
    </w:p>
    <w:p>
      <w:pPr>
        <w:ind w:firstLine="1305"/>
        <w:spacing w:after="0" w:line="282" w:lineRule="auto"/>
        <w:tabs>
          <w:tab w:leader="none" w:pos="1652"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Unvested Shares may not be transferred or otherwise disposed of by the Recipient including by way of</w:t>
      </w:r>
      <w:r>
        <w:rPr>
          <w:rFonts w:ascii="Arial" w:cs="Arial" w:eastAsia="Arial" w:hAnsi="Arial"/>
          <w:sz w:val="18"/>
          <w:szCs w:val="18"/>
          <w:b w:val="1"/>
          <w:bCs w:val="1"/>
          <w:color w:val="auto"/>
        </w:rPr>
        <w:t xml:space="preserve"> </w:t>
      </w:r>
      <w:r>
        <w:rPr>
          <w:rFonts w:ascii="Arial" w:cs="Arial" w:eastAsia="Arial" w:hAnsi="Arial"/>
          <w:sz w:val="18"/>
          <w:szCs w:val="18"/>
          <w:color w:val="auto"/>
        </w:rPr>
        <w:t>sale, assignment, transfer, pledge, hypothecation or otherwise, except as permitted by the Committee in its sole discretion.</w:t>
      </w:r>
    </w:p>
    <w:p>
      <w:pPr>
        <w:spacing w:after="0" w:line="53" w:lineRule="exact"/>
        <w:rPr>
          <w:rFonts w:ascii="Arial" w:cs="Arial" w:eastAsia="Arial" w:hAnsi="Arial"/>
          <w:sz w:val="18"/>
          <w:szCs w:val="18"/>
          <w:color w:val="auto"/>
        </w:rPr>
      </w:pPr>
    </w:p>
    <w:p>
      <w:pPr>
        <w:jc w:val="both"/>
        <w:ind w:firstLine="1305"/>
        <w:spacing w:after="0" w:line="266" w:lineRule="auto"/>
        <w:tabs>
          <w:tab w:leader="none" w:pos="1679"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Unvested Shares or other shares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to the Recipient, if such 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jc w:val="both"/>
        <w:ind w:firstLine="1305"/>
        <w:spacing w:after="0" w:line="256" w:lineRule="auto"/>
        <w:tabs>
          <w:tab w:leader="none" w:pos="1719"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0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Only applicable to Restricted Stock Agreements for George D. Yancopoulos, M.D., Ph.D.</w:t>
      </w:r>
    </w:p>
    <w:p>
      <w:pPr>
        <w:spacing w:after="0" w:line="180"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Only applicable to Restricted Stock Agreements for George D. Yancopoulos, M.D., Ph.D.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Only applicable to Restricted Stock Agreements for George D. Yancopoulos, M.D., Ph.D.</w:t>
      </w:r>
    </w:p>
    <w:p>
      <w:pPr>
        <w:sectPr>
          <w:pgSz w:w="11900" w:h="16838" w:orient="portrait"/>
          <w:cols w:equalWidth="0" w:num="1">
            <w:col w:w="11420"/>
          </w:cols>
          <w:pgMar w:left="240" w:top="476" w:right="239" w:bottom="1440" w:gutter="0" w:footer="0" w:header="0"/>
        </w:sectPr>
      </w:pPr>
    </w:p>
    <w:bookmarkStart w:id="146" w:name="page147"/>
    <w:bookmarkEnd w:id="146"/>
    <w:p>
      <w:pPr>
        <w:jc w:val="both"/>
        <w:ind w:left="-1200" w:firstLine="1305"/>
        <w:spacing w:after="0" w:line="288" w:lineRule="auto"/>
        <w:tabs>
          <w:tab w:leader="none" w:pos="452"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The Recipient shall promptly notify the Company of any election made pursuant to Section 83(b) of the Code. The Recipient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pay to the Company promptly upon request, and in any event at the time the Recipient recognizes taxable income in respect to the shares of Restricted Stock (including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addition, except where the Recipient makes an election under Section 83(b) of the Code, Recipient may elect to have any withholding obligation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her or she (and not the Company) shall be responsible for any tax liability that may arise as a result of the transactions contemplated by this Agreement.</w:t>
      </w:r>
    </w:p>
    <w:p>
      <w:pPr>
        <w:spacing w:after="0" w:line="60"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69" w:lineRule="exact"/>
        <w:rPr>
          <w:sz w:val="20"/>
          <w:szCs w:val="20"/>
          <w:color w:val="auto"/>
        </w:rPr>
      </w:pPr>
    </w:p>
    <w:p>
      <w:pPr>
        <w:jc w:val="both"/>
        <w:ind w:left="-1200" w:firstLine="1305"/>
        <w:spacing w:after="0" w:line="261"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Rights as a Shareholder</w:t>
      </w:r>
      <w:r>
        <w:rPr>
          <w:rFonts w:ascii="Arial" w:cs="Arial" w:eastAsia="Arial" w:hAnsi="Arial"/>
          <w:sz w:val="18"/>
          <w:szCs w:val="18"/>
          <w:color w:val="auto"/>
        </w:rPr>
        <w:t>. Pursuant to Section 8(e) of the Plan, the Company shall hold in escrow all dividends, if any, that are paid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71" w:lineRule="exact"/>
        <w:rPr>
          <w:rFonts w:ascii="Arial" w:cs="Arial" w:eastAsia="Arial" w:hAnsi="Arial"/>
          <w:sz w:val="18"/>
          <w:szCs w:val="18"/>
          <w:color w:val="auto"/>
        </w:rPr>
      </w:pPr>
    </w:p>
    <w:p>
      <w:pPr>
        <w:jc w:val="both"/>
        <w:ind w:left="-1200" w:firstLine="1305"/>
        <w:spacing w:after="0" w:line="295" w:lineRule="auto"/>
        <w:tabs>
          <w:tab w:leader="none" w:pos="411"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Compliance with Law and Regulations</w:t>
      </w:r>
      <w:r>
        <w:rPr>
          <w:rFonts w:ascii="Arial" w:cs="Arial" w:eastAsia="Arial" w:hAnsi="Arial"/>
          <w:sz w:val="16"/>
          <w:szCs w:val="16"/>
          <w:color w:val="auto"/>
        </w:rPr>
        <w:t>. This Agreement, the award hereunder and any obligation of the Company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47" w:lineRule="exact"/>
        <w:rPr>
          <w:rFonts w:ascii="Arial" w:cs="Arial" w:eastAsia="Arial" w:hAnsi="Arial"/>
          <w:sz w:val="16"/>
          <w:szCs w:val="16"/>
          <w:color w:val="auto"/>
        </w:rPr>
      </w:pPr>
    </w:p>
    <w:p>
      <w:pPr>
        <w:jc w:val="both"/>
        <w:ind w:left="-1200" w:firstLine="1305"/>
        <w:spacing w:after="0" w:line="314" w:lineRule="auto"/>
        <w:tabs>
          <w:tab w:leader="none" w:pos="515"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Recipient Bound by Plan</w:t>
      </w:r>
      <w:r>
        <w:rPr>
          <w:rFonts w:ascii="Arial" w:cs="Arial" w:eastAsia="Arial" w:hAnsi="Arial"/>
          <w:sz w:val="16"/>
          <w:szCs w:val="16"/>
          <w:color w:val="auto"/>
        </w:rPr>
        <w:t>. The Recipient acknowledges receipt of a copy of this Agreement and the Plan and agrees to be bound by</w:t>
      </w:r>
      <w:r>
        <w:rPr>
          <w:rFonts w:ascii="Arial" w:cs="Arial" w:eastAsia="Arial" w:hAnsi="Arial"/>
          <w:sz w:val="16"/>
          <w:szCs w:val="16"/>
          <w:b w:val="1"/>
          <w:bCs w:val="1"/>
          <w:color w:val="auto"/>
        </w:rPr>
        <w:t xml:space="preserve"> </w:t>
      </w:r>
      <w:r>
        <w:rPr>
          <w:rFonts w:ascii="Arial" w:cs="Arial" w:eastAsia="Arial" w:hAnsi="Arial"/>
          <w:sz w:val="16"/>
          <w:szCs w:val="16"/>
          <w:color w:val="auto"/>
        </w:rPr>
        <w:t>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34" w:lineRule="exact"/>
        <w:rPr>
          <w:rFonts w:ascii="Arial" w:cs="Arial" w:eastAsia="Arial" w:hAnsi="Arial"/>
          <w:sz w:val="16"/>
          <w:szCs w:val="16"/>
          <w:color w:val="auto"/>
        </w:rPr>
      </w:pPr>
    </w:p>
    <w:p>
      <w:pPr>
        <w:jc w:val="both"/>
        <w:ind w:left="-1200" w:firstLine="1305"/>
        <w:spacing w:after="0" w:line="277" w:lineRule="auto"/>
        <w:tabs>
          <w:tab w:leader="none" w:pos="495"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60" w:lineRule="exact"/>
        <w:rPr>
          <w:rFonts w:ascii="Arial" w:cs="Arial" w:eastAsia="Arial" w:hAnsi="Arial"/>
          <w:sz w:val="17"/>
          <w:szCs w:val="17"/>
          <w:color w:val="auto"/>
        </w:rPr>
      </w:pPr>
    </w:p>
    <w:p>
      <w:pPr>
        <w:ind w:left="-1200" w:right="20" w:firstLine="1305"/>
        <w:spacing w:after="0" w:line="282" w:lineRule="auto"/>
        <w:tabs>
          <w:tab w:leader="none" w:pos="52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No Obligation to Continue Employment</w:t>
      </w:r>
      <w:r>
        <w:rPr>
          <w:rFonts w:ascii="Arial" w:cs="Arial" w:eastAsia="Arial" w:hAnsi="Arial"/>
          <w:sz w:val="18"/>
          <w:szCs w:val="18"/>
          <w:color w:val="auto"/>
        </w:rPr>
        <w:t>. This Agreement does not guarantee that the Employer will employ the Recipient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time period, nor does it modify in any respect the Recipient’s employment or compensation.</w:t>
      </w:r>
    </w:p>
    <w:p>
      <w:pPr>
        <w:spacing w:after="0" w:line="161" w:lineRule="exact"/>
        <w:rPr>
          <w:rFonts w:ascii="Arial" w:cs="Arial" w:eastAsia="Arial" w:hAnsi="Arial"/>
          <w:sz w:val="18"/>
          <w:szCs w:val="18"/>
          <w:color w:val="auto"/>
        </w:rPr>
      </w:pPr>
    </w:p>
    <w:p>
      <w:pPr>
        <w:jc w:val="both"/>
        <w:ind w:left="-1200" w:firstLine="1305"/>
        <w:spacing w:after="0" w:line="261" w:lineRule="auto"/>
        <w:tabs>
          <w:tab w:leader="none" w:pos="528"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By entering into this Agreement and accepting the award hereunder, the Recipient agrees to be bound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shares of Restricted Stock granted hereunder (including after all restrictions on such shares have lapsed).</w:t>
      </w:r>
    </w:p>
    <w:p>
      <w:pPr>
        <w:sectPr>
          <w:pgSz w:w="11900" w:h="16838" w:orient="portrait"/>
          <w:cols w:equalWidth="0" w:num="1">
            <w:col w:w="10220"/>
          </w:cols>
          <w:pgMar w:left="1440" w:top="472"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Exhibit 10.2.20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294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40" w:type="dxa"/>
            <w:vAlign w:val="bottom"/>
            <w:gridSpan w:val="4"/>
          </w:tcPr>
          <w:p>
            <w:pPr>
              <w:ind w:left="1600"/>
              <w:spacing w:after="0"/>
              <w:rPr>
                <w:sz w:val="20"/>
                <w:szCs w:val="20"/>
                <w:color w:val="auto"/>
              </w:rPr>
            </w:pPr>
            <w:r>
              <w:rPr>
                <w:rFonts w:ascii="Arial" w:cs="Arial" w:eastAsia="Arial" w:hAnsi="Arial"/>
                <w:sz w:val="18"/>
                <w:szCs w:val="18"/>
                <w:b w:val="1"/>
                <w:bCs w:val="1"/>
                <w:color w:val="auto"/>
              </w:rPr>
              <w:t>Regeneron Pharmaceuticals, Inc.</w:t>
            </w:r>
          </w:p>
        </w:tc>
      </w:tr>
      <w:tr>
        <w:trPr>
          <w:trHeight w:val="297"/>
        </w:trPr>
        <w:tc>
          <w:tcPr>
            <w:tcW w:w="3560" w:type="dxa"/>
            <w:vAlign w:val="bottom"/>
          </w:tcPr>
          <w:p>
            <w:pPr>
              <w:spacing w:after="0"/>
              <w:rPr>
                <w:sz w:val="24"/>
                <w:szCs w:val="24"/>
                <w:color w:val="auto"/>
              </w:rPr>
            </w:pP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3880" w:type="dxa"/>
            <w:vAlign w:val="bottom"/>
            <w:gridSpan w:val="3"/>
          </w:tcPr>
          <w:p>
            <w:pPr>
              <w:ind w:left="1600"/>
              <w:spacing w:after="0"/>
              <w:rPr>
                <w:sz w:val="20"/>
                <w:szCs w:val="20"/>
                <w:color w:val="auto"/>
              </w:rPr>
            </w:pPr>
            <w:r>
              <w:rPr>
                <w:rFonts w:ascii="Arial" w:cs="Arial" w:eastAsia="Arial" w:hAnsi="Arial"/>
                <w:sz w:val="18"/>
                <w:szCs w:val="18"/>
                <w:color w:val="auto"/>
                <w:w w:val="98"/>
              </w:rPr>
              <w:t>777 Old Saw Mill River Road</w:t>
            </w:r>
          </w:p>
        </w:tc>
        <w:tc>
          <w:tcPr>
            <w:tcW w:w="3960" w:type="dxa"/>
            <w:vAlign w:val="bottom"/>
          </w:tcPr>
          <w:p>
            <w:pPr>
              <w:spacing w:after="0"/>
              <w:rPr>
                <w:sz w:val="24"/>
                <w:szCs w:val="24"/>
                <w:color w:val="auto"/>
              </w:rPr>
            </w:pP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w:t>
            </w:r>
          </w:p>
        </w:tc>
        <w:tc>
          <w:tcPr>
            <w:tcW w:w="3880" w:type="dxa"/>
            <w:vAlign w:val="bottom"/>
            <w:gridSpan w:val="3"/>
          </w:tcPr>
          <w:p>
            <w:pPr>
              <w:ind w:left="1600"/>
              <w:spacing w:after="0"/>
              <w:rPr>
                <w:sz w:val="20"/>
                <w:szCs w:val="20"/>
                <w:color w:val="auto"/>
              </w:rPr>
            </w:pPr>
            <w:r>
              <w:rPr>
                <w:rFonts w:ascii="Arial" w:cs="Arial" w:eastAsia="Arial" w:hAnsi="Arial"/>
                <w:sz w:val="18"/>
                <w:szCs w:val="18"/>
                <w:color w:val="auto"/>
              </w:rPr>
              <w:t>Tarrytown, New York 10591</w:t>
            </w:r>
          </w:p>
        </w:tc>
        <w:tc>
          <w:tcPr>
            <w:tcW w:w="3960" w:type="dxa"/>
            <w:vAlign w:val="bottom"/>
          </w:tcPr>
          <w:p>
            <w:pPr>
              <w:spacing w:after="0"/>
              <w:rPr>
                <w:sz w:val="24"/>
                <w:szCs w:val="24"/>
                <w:color w:val="auto"/>
              </w:rPr>
            </w:pPr>
          </w:p>
        </w:tc>
      </w:tr>
      <w:tr>
        <w:trPr>
          <w:trHeight w:val="628"/>
        </w:trPr>
        <w:tc>
          <w:tcPr>
            <w:tcW w:w="3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57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3180" w:type="dxa"/>
            <w:vAlign w:val="bottom"/>
            <w:gridSpan w:val="2"/>
          </w:tcPr>
          <w:p>
            <w:pPr>
              <w:ind w:left="1600"/>
              <w:spacing w:after="0"/>
              <w:rPr>
                <w:sz w:val="20"/>
                <w:szCs w:val="20"/>
                <w:color w:val="auto"/>
              </w:rPr>
            </w:pPr>
            <w:r>
              <w:rPr>
                <w:rFonts w:ascii="Arial" w:cs="Arial" w:eastAsia="Arial" w:hAnsi="Arial"/>
                <w:sz w:val="18"/>
                <w:szCs w:val="18"/>
                <w:b w:val="1"/>
                <w:bCs w:val="1"/>
                <w:color w:val="auto"/>
              </w:rPr>
              <w:t>Option Number:</w:t>
            </w: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Plan:</w:t>
            </w:r>
          </w:p>
        </w:tc>
        <w:tc>
          <w:tcPr>
            <w:tcW w:w="8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297"/>
        </w:trPr>
        <w:tc>
          <w:tcPr>
            <w:tcW w:w="3560" w:type="dxa"/>
            <w:vAlign w:val="bottom"/>
          </w:tcPr>
          <w:p>
            <w:pPr>
              <w:spacing w:after="0"/>
              <w:rPr>
                <w:sz w:val="24"/>
                <w:szCs w:val="24"/>
                <w:color w:val="auto"/>
              </w:rPr>
            </w:pPr>
          </w:p>
        </w:tc>
        <w:tc>
          <w:tcPr>
            <w:tcW w:w="2300" w:type="dxa"/>
            <w:vAlign w:val="bottom"/>
          </w:tcPr>
          <w:p>
            <w:pPr>
              <w:ind w:left="1600"/>
              <w:spacing w:after="0"/>
              <w:rPr>
                <w:sz w:val="20"/>
                <w:szCs w:val="20"/>
                <w:color w:val="auto"/>
              </w:rPr>
            </w:pPr>
            <w:r>
              <w:rPr>
                <w:rFonts w:ascii="Arial" w:cs="Arial" w:eastAsia="Arial" w:hAnsi="Arial"/>
                <w:sz w:val="18"/>
                <w:szCs w:val="18"/>
                <w:b w:val="1"/>
                <w:bCs w:val="1"/>
                <w:color w:val="auto"/>
              </w:rPr>
              <w:t>ID:</w:t>
            </w:r>
          </w:p>
        </w:tc>
        <w:tc>
          <w:tcPr>
            <w:tcW w:w="88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22"/>
                <w:szCs w:val="22"/>
                <w:b w:val="1"/>
                <w:bCs w:val="1"/>
                <w:color w:val="auto"/>
              </w:rPr>
              <w:t>[</w:t>
            </w:r>
          </w:p>
        </w:tc>
        <w:tc>
          <w:tcPr>
            <w:tcW w:w="3960" w:type="dxa"/>
            <w:vAlign w:val="bottom"/>
          </w:tcPr>
          <w:p>
            <w:pPr>
              <w:jc w:val="right"/>
              <w:ind w:right="3692"/>
              <w:spacing w:after="0"/>
              <w:rPr>
                <w:sz w:val="20"/>
                <w:szCs w:val="20"/>
                <w:color w:val="auto"/>
              </w:rPr>
            </w:pPr>
            <w:r>
              <w:rPr>
                <w:rFonts w:ascii="Arial" w:cs="Arial" w:eastAsia="Arial" w:hAnsi="Arial"/>
                <w:sz w:val="22"/>
                <w:szCs w:val="22"/>
                <w:b w:val="1"/>
                <w:bCs w:val="1"/>
                <w:color w:val="auto"/>
              </w:rPr>
              <w:t>]</w:t>
            </w:r>
          </w:p>
        </w:tc>
      </w:tr>
      <w:tr>
        <w:trPr>
          <w:trHeight w:val="321"/>
        </w:trPr>
        <w:tc>
          <w:tcPr>
            <w:tcW w:w="6740" w:type="dxa"/>
            <w:vAlign w:val="bottom"/>
            <w:tcBorders>
              <w:bottom w:val="single" w:sz="8" w:color="auto"/>
            </w:tcBorders>
            <w:gridSpan w:val="3"/>
          </w:tcPr>
          <w:p>
            <w:pPr>
              <w:spacing w:after="0"/>
              <w:rPr>
                <w:sz w:val="24"/>
                <w:szCs w:val="24"/>
                <w:color w:val="auto"/>
              </w:rPr>
            </w:pPr>
          </w:p>
        </w:tc>
        <w:tc>
          <w:tcPr>
            <w:tcW w:w="4660" w:type="dxa"/>
            <w:vAlign w:val="bottom"/>
            <w:tcBorders>
              <w:bottom w:val="single" w:sz="8" w:color="auto"/>
            </w:tcBorders>
            <w:gridSpan w:val="2"/>
          </w:tcPr>
          <w:p>
            <w:pPr>
              <w:spacing w:after="0"/>
              <w:rPr>
                <w:sz w:val="24"/>
                <w:szCs w:val="24"/>
                <w:color w:val="auto"/>
              </w:rPr>
            </w:pPr>
          </w:p>
        </w:tc>
      </w:tr>
      <w:tr>
        <w:trPr>
          <w:trHeight w:val="594"/>
        </w:trPr>
        <w:tc>
          <w:tcPr>
            <w:tcW w:w="6740" w:type="dxa"/>
            <w:vAlign w:val="bottom"/>
            <w:gridSpan w:val="3"/>
          </w:tcPr>
          <w:p>
            <w:pPr>
              <w:spacing w:after="0"/>
              <w:rPr>
                <w:sz w:val="20"/>
                <w:szCs w:val="20"/>
                <w:color w:val="auto"/>
              </w:rPr>
            </w:pPr>
            <w:r>
              <w:rPr>
                <w:rFonts w:ascii="Arial" w:cs="Arial" w:eastAsia="Arial" w:hAnsi="Arial"/>
                <w:sz w:val="18"/>
                <w:szCs w:val="18"/>
                <w:color w:val="auto"/>
                <w:w w:val="93"/>
              </w:rPr>
              <w:t>Effective &lt;date&gt; (the “Grant Date”) you have been granted a Non-Qualified Option to buy [</w:t>
            </w: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w w:val="92"/>
              </w:rPr>
              <w:t>] shares of Regeneron Pharmaceuticals, Inc. (the “Company”)</w:t>
            </w: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stock at $[   ] per share.</w:t>
            </w:r>
          </w:p>
        </w:tc>
        <w:tc>
          <w:tcPr>
            <w:tcW w:w="2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w w:val="92"/>
              </w:rPr>
              <w:t>The total option price of the shares granted is $[</w:t>
            </w:r>
          </w:p>
        </w:tc>
        <w:tc>
          <w:tcPr>
            <w:tcW w:w="230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Full Vest Dates: This option will vest and become exercisable (i) on the date of the Company’s [ ]* Annual Meeting of Shareholders with respect to a pro-rata portion of the total number of shares underlying the option equal to the portion of one year that has elapsed from the date of grant to the date of the Company’s [ ]* Annual Meeting of Shareholders, and (ii) on [ / / ]** with respect to the remainder of the shares underlying the option. Assuming the [ ]* Annual Meeting of Shareholders occurs on [ / / ] as currently planned, this option will vest and become exercisable with respect to [ ] underlying shares on [ / / ] and with respect to [ ] underlying shares on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294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280"/>
        <w:spacing w:after="0" w:line="264"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Amended and Restated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294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16" w:lineRule="exact"/>
        <w:rPr>
          <w:sz w:val="20"/>
          <w:szCs w:val="20"/>
          <w:color w:val="auto"/>
        </w:rPr>
      </w:pPr>
    </w:p>
    <w:p>
      <w:pPr>
        <w:ind w:left="40" w:right="6000" w:hanging="5"/>
        <w:spacing w:after="0" w:line="684" w:lineRule="auto"/>
        <w:tabs>
          <w:tab w:leader="none" w:pos="4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 ** First anniversary of the Grant Date.</w:t>
      </w:r>
    </w:p>
    <w:p>
      <w:pPr>
        <w:sectPr>
          <w:pgSz w:w="11900" w:h="16838" w:orient="portrait"/>
          <w:cols w:equalWidth="0" w:num="1">
            <w:col w:w="11420"/>
          </w:cols>
          <w:pgMar w:left="240" w:top="125"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Grant)</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Grant of Stock Options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08"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12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70" w:lineRule="auto"/>
        <w:tabs>
          <w:tab w:leader="none" w:pos="987"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becomes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has 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Grantee acknowledges that it is the Grantee’s responsibility to satisfy any federal, state and local tax requirements related to the exercise of the Option.</w:t>
      </w:r>
    </w:p>
    <w:p>
      <w:pPr>
        <w:spacing w:after="0" w:line="101" w:lineRule="exact"/>
        <w:rPr>
          <w:sz w:val="20"/>
          <w:szCs w:val="20"/>
          <w:color w:val="auto"/>
        </w:rPr>
      </w:pPr>
    </w:p>
    <w:p>
      <w:pPr>
        <w:jc w:val="both"/>
        <w:ind w:firstLine="656"/>
        <w:spacing w:after="0" w:line="319" w:lineRule="auto"/>
        <w:tabs>
          <w:tab w:leader="none" w:pos="150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become entitled to exercise the Option with respect to the number of shares of Common Stock granted as indicated provided that (except as set forth below with respect to Retirement or the Grantee’s death)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as may be otherwise determined by the Committee in accordance with Section 12(e) of the Plan, no vesting shall occur 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remained in service on the Board.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ectPr>
          <w:pgSz w:w="11900" w:h="16838" w:orient="portrait"/>
          <w:cols w:equalWidth="0" w:num="1">
            <w:col w:w="11420"/>
          </w:cols>
          <w:pgMar w:left="240" w:top="360" w:right="239" w:bottom="1440" w:gutter="0" w:footer="0" w:header="0"/>
        </w:sectPr>
      </w:pPr>
    </w:p>
    <w:bookmarkStart w:id="149" w:name="page150"/>
    <w:bookmarkEnd w:id="149"/>
    <w:p>
      <w:pPr>
        <w:jc w:val="both"/>
        <w:ind w:left="-576" w:firstLine="644"/>
        <w:spacing w:after="0" w:line="286" w:lineRule="auto"/>
        <w:tabs>
          <w:tab w:leader="none" w:pos="317"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the Grantee’s death if the Grantee’s service on the Board has not terminated prior to the Grantee’s death. In addition, and also 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if the Grantee’s service on the Board has not terminated prior to such date. If the application of the provision in the foregoing sentence, similar provisions in other stock option or restricted stock grants, and other payments and benefits payable to the Grantee in connection with a Change in Control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64" w:lineRule="exact"/>
        <w:rPr>
          <w:rFonts w:ascii="Arial" w:cs="Arial" w:eastAsia="Arial" w:hAnsi="Arial"/>
          <w:sz w:val="16"/>
          <w:szCs w:val="16"/>
          <w:color w:val="auto"/>
        </w:rPr>
      </w:pPr>
    </w:p>
    <w:p>
      <w:pPr>
        <w:jc w:val="both"/>
        <w:ind w:left="-656" w:firstLine="656"/>
        <w:spacing w:after="0" w:line="219" w:lineRule="exact"/>
        <w:tabs>
          <w:tab w:leader="none" w:pos="32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Term. </w:t>
      </w:r>
      <w:r>
        <w:rPr>
          <w:rFonts w:ascii="Arial" w:cs="Arial" w:eastAsia="Arial" w:hAnsi="Arial"/>
          <w:sz w:val="17"/>
          <w:szCs w:val="17"/>
          <w:color w:val="auto"/>
        </w:rPr>
        <w:t>Except as otherwise provided in the next sentence or in the Plan, the Option shall expire on the tenth anniversary of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In the event of termination of service as a member of the Board of the Company, except as may be otherwise determined by the Committee in accordance with Section 12(e) of the Plan, the vested portion of the Option shall expire on the earlier of (i) the tenth anniversary of this grant, or (ii)(A) subject to (D) below, three months after such termination if such termination is for any reason other than death, Retirement, or long</w:t>
      </w:r>
      <w:r>
        <w:rPr>
          <w:rFonts w:ascii="MS PGothic" w:cs="MS PGothic" w:eastAsia="MS PGothic" w:hAnsi="MS PGothic"/>
          <w:sz w:val="17"/>
          <w:szCs w:val="17"/>
          <w:color w:val="auto"/>
        </w:rPr>
        <w:t>‑</w:t>
      </w:r>
      <w:r>
        <w:rPr>
          <w:rFonts w:ascii="Arial" w:cs="Arial" w:eastAsia="Arial" w:hAnsi="Arial"/>
          <w:sz w:val="17"/>
          <w:szCs w:val="17"/>
          <w:color w:val="auto"/>
        </w:rPr>
        <w:t>term disability, (B) the tenth anniversary of this grant if such termination is due to Retirement or death, (C) one year after the termination if such termination is due to the Grantee’s long</w:t>
      </w:r>
      <w:r>
        <w:rPr>
          <w:rFonts w:ascii="MS PGothic" w:cs="MS PGothic" w:eastAsia="MS PGothic" w:hAnsi="MS PGothic"/>
          <w:sz w:val="17"/>
          <w:szCs w:val="17"/>
          <w:color w:val="auto"/>
        </w:rPr>
        <w:t>‑</w:t>
      </w:r>
      <w:r>
        <w:rPr>
          <w:rFonts w:ascii="Arial" w:cs="Arial" w:eastAsia="Arial" w:hAnsi="Arial"/>
          <w:sz w:val="17"/>
          <w:szCs w:val="17"/>
          <w:color w:val="auto"/>
        </w:rPr>
        <w:t>term disability or (D) one year after such termination if such termination is at any time within two years after the occurrence of a Change in Control and is not due to death, Retirement, or long-term disability.</w:t>
      </w:r>
    </w:p>
    <w:p>
      <w:pPr>
        <w:spacing w:after="0" w:line="92" w:lineRule="exact"/>
        <w:rPr>
          <w:rFonts w:ascii="Arial" w:cs="Arial" w:eastAsia="Arial" w:hAnsi="Arial"/>
          <w:sz w:val="17"/>
          <w:szCs w:val="17"/>
          <w:b w:val="1"/>
          <w:bCs w:val="1"/>
          <w:color w:val="auto"/>
        </w:rPr>
      </w:pPr>
    </w:p>
    <w:p>
      <w:pPr>
        <w:jc w:val="both"/>
        <w:ind w:left="-656" w:firstLine="656"/>
        <w:spacing w:after="0" w:line="254" w:lineRule="auto"/>
        <w:tabs>
          <w:tab w:leader="none" w:pos="38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left="-656" w:firstLine="656"/>
        <w:spacing w:after="0" w:line="281" w:lineRule="auto"/>
        <w:tabs>
          <w:tab w:leader="none" w:pos="323"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left="-656" w:firstLine="656"/>
        <w:spacing w:after="0" w:line="289" w:lineRule="auto"/>
        <w:tabs>
          <w:tab w:leader="none" w:pos="327"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w:t>
      </w:r>
    </w:p>
    <w:p>
      <w:pPr>
        <w:sectPr>
          <w:pgSz w:w="11900" w:h="16838" w:orient="portrait"/>
          <w:cols w:equalWidth="0" w:num="1">
            <w:col w:w="10764"/>
          </w:cols>
          <w:pgMar w:left="896" w:top="476"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shall be construed and administered in accordance with the laws of the State of New York without reference to its principles of conflicts of law.</w:t>
      </w:r>
    </w:p>
    <w:p>
      <w:pPr>
        <w:spacing w:after="0" w:line="113" w:lineRule="exact"/>
        <w:rPr>
          <w:sz w:val="20"/>
          <w:szCs w:val="20"/>
          <w:color w:val="auto"/>
        </w:rPr>
      </w:pPr>
    </w:p>
    <w:p>
      <w:pPr>
        <w:jc w:val="both"/>
        <w:ind w:firstLine="656"/>
        <w:spacing w:after="0" w:line="266" w:lineRule="auto"/>
        <w:tabs>
          <w:tab w:leader="none" w:pos="10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ectPr>
          <w:pgSz w:w="11900" w:h="16838" w:orient="portrait"/>
          <w:cols w:equalWidth="0" w:num="1">
            <w:col w:w="11420"/>
          </w:cols>
          <w:pgMar w:left="240" w:top="47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10.2.21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Regeneron Pharmaceuticals, Inc.</w:t>
      </w:r>
    </w:p>
    <w:p>
      <w:pPr>
        <w:sectPr>
          <w:pgSz w:w="11900" w:h="16838" w:orient="portrait"/>
          <w:cols w:equalWidth="0" w:num="1">
            <w:col w:w="11420"/>
          </w:cols>
          <w:pgMar w:left="240" w:top="382" w:right="239" w:bottom="1440" w:gutter="0" w:footer="0" w:header="0"/>
        </w:sectPr>
      </w:pP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3">
            <w:col w:w="5320" w:space="60"/>
            <w:col w:w="60" w:space="580"/>
            <w:col w:w="540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Notice of Grant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777 Old Saw Mill River Road</w:t>
      </w:r>
    </w:p>
    <w:p>
      <w:pPr>
        <w:spacing w:after="0" w:line="109" w:lineRule="exact"/>
        <w:rPr>
          <w:sz w:val="20"/>
          <w:szCs w:val="20"/>
          <w:color w:val="auto"/>
        </w:rPr>
      </w:pPr>
    </w:p>
    <w:p>
      <w:pPr>
        <w:sectPr>
          <w:pgSz w:w="11900" w:h="16838" w:orient="portrait"/>
          <w:cols w:equalWidth="0" w:num="2">
            <w:col w:w="4340" w:space="720"/>
            <w:col w:w="6360"/>
          </w:cols>
          <w:pgMar w:left="240" w:top="382"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and Restricted Stock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424180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360"/>
          </w:cols>
          <w:pgMar w:left="240" w:top="38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RSU Number:</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297"/>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[ADDRESS]</w:t>
            </w: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Plan:</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297"/>
        </w:trPr>
        <w:tc>
          <w:tcPr>
            <w:tcW w:w="3020" w:type="dxa"/>
            <w:vAlign w:val="bottom"/>
          </w:tcPr>
          <w:p>
            <w:pPr>
              <w:spacing w:after="0"/>
              <w:rPr>
                <w:sz w:val="24"/>
                <w:szCs w:val="24"/>
                <w:color w:val="auto"/>
              </w:rPr>
            </w:pPr>
          </w:p>
        </w:tc>
        <w:tc>
          <w:tcPr>
            <w:tcW w:w="3440" w:type="dxa"/>
            <w:vAlign w:val="bottom"/>
          </w:tcPr>
          <w:p>
            <w:pPr>
              <w:ind w:left="2040"/>
              <w:spacing w:after="0"/>
              <w:rPr>
                <w:sz w:val="20"/>
                <w:szCs w:val="20"/>
                <w:color w:val="auto"/>
              </w:rPr>
            </w:pPr>
            <w:r>
              <w:rPr>
                <w:rFonts w:ascii="Arial" w:cs="Arial" w:eastAsia="Arial" w:hAnsi="Arial"/>
                <w:sz w:val="18"/>
                <w:szCs w:val="18"/>
                <w:b w:val="1"/>
                <w:bCs w:val="1"/>
                <w:color w:val="auto"/>
              </w:rPr>
              <w:t>ID:</w:t>
            </w:r>
          </w:p>
        </w:tc>
        <w:tc>
          <w:tcPr>
            <w:tcW w:w="680" w:type="dxa"/>
            <w:vAlign w:val="bottom"/>
          </w:tcPr>
          <w:p>
            <w:pPr>
              <w:jc w:val="right"/>
              <w:ind w:right="192"/>
              <w:spacing w:after="0"/>
              <w:rPr>
                <w:sz w:val="20"/>
                <w:szCs w:val="20"/>
                <w:color w:val="auto"/>
              </w:rPr>
            </w:pPr>
            <w:r>
              <w:rPr>
                <w:rFonts w:ascii="Arial" w:cs="Arial" w:eastAsia="Arial" w:hAnsi="Arial"/>
                <w:sz w:val="22"/>
                <w:szCs w:val="22"/>
                <w:b w:val="1"/>
                <w:bCs w:val="1"/>
                <w:color w:val="auto"/>
              </w:rPr>
              <w:t>[</w:t>
            </w:r>
          </w:p>
        </w:tc>
        <w:tc>
          <w:tcPr>
            <w:tcW w:w="4280" w:type="dxa"/>
            <w:vAlign w:val="bottom"/>
          </w:tcPr>
          <w:p>
            <w:pPr>
              <w:jc w:val="right"/>
              <w:ind w:right="3792"/>
              <w:spacing w:after="0"/>
              <w:rPr>
                <w:sz w:val="20"/>
                <w:szCs w:val="20"/>
                <w:color w:val="auto"/>
              </w:rPr>
            </w:pPr>
            <w:r>
              <w:rPr>
                <w:rFonts w:ascii="Arial" w:cs="Arial" w:eastAsia="Arial" w:hAnsi="Arial"/>
                <w:sz w:val="22"/>
                <w:szCs w:val="22"/>
                <w:b w:val="1"/>
                <w:bCs w:val="1"/>
                <w:color w:val="auto"/>
              </w:rPr>
              <w:t>]</w:t>
            </w:r>
          </w:p>
        </w:tc>
      </w:tr>
      <w:tr>
        <w:trPr>
          <w:trHeight w:val="321"/>
        </w:trPr>
        <w:tc>
          <w:tcPr>
            <w:tcW w:w="30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pacing w:after="0" w:line="364" w:lineRule="exact"/>
        <w:rPr>
          <w:sz w:val="20"/>
          <w:szCs w:val="20"/>
          <w:color w:val="auto"/>
        </w:rPr>
      </w:pPr>
    </w:p>
    <w:p>
      <w:pPr>
        <w:ind w:right="700"/>
        <w:spacing w:after="0" w:line="324" w:lineRule="auto"/>
        <w:rPr>
          <w:sz w:val="20"/>
          <w:szCs w:val="20"/>
          <w:color w:val="auto"/>
        </w:rPr>
      </w:pPr>
      <w:r>
        <w:rPr>
          <w:rFonts w:ascii="Arial" w:cs="Arial" w:eastAsia="Arial" w:hAnsi="Arial"/>
          <w:sz w:val="18"/>
          <w:szCs w:val="18"/>
          <w:color w:val="auto"/>
        </w:rPr>
        <w:t>Effective &lt;date&gt; (the “Grant Date”) you have been granted restricted stock units with respect to [ ] shares of Regeneron Pharmaceuticals, Inc. (the “Company”) stock.</w:t>
      </w:r>
    </w:p>
    <w:p>
      <w:pPr>
        <w:spacing w:after="0" w:line="130"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The total current value of the award is $[</w:t>
      </w:r>
      <w:r>
        <w:rPr>
          <w:sz w:val="20"/>
          <w:szCs w:val="20"/>
          <w:color w:val="auto"/>
        </w:rPr>
        <w:tab/>
      </w:r>
      <w:r>
        <w:rPr>
          <w:rFonts w:ascii="Arial" w:cs="Arial" w:eastAsia="Arial" w:hAnsi="Arial"/>
          <w:sz w:val="17"/>
          <w:szCs w:val="17"/>
          <w:color w:val="auto"/>
        </w:rPr>
        <w:t>].</w:t>
      </w:r>
    </w:p>
    <w:p>
      <w:pPr>
        <w:spacing w:after="0" w:line="1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Full Vest Dates: These restricted stock units will vest (i) on the date of the Company’s [ ]* Annual Meeting of Shareholders with respect to a pro-rata portion of the total number of shares underlying the award equal to the portion of one year that has elapsed from the date of grant to the date of the Company’s [ ]* Annual Meeting of Shareholders, and (ii) on [ / / ]** with respect to the remainder of the shares underlying the award. Assuming the [ ]* Annual Meeting</w:t>
      </w:r>
    </w:p>
    <w:p>
      <w:pPr>
        <w:ind w:right="100"/>
        <w:spacing w:after="0" w:line="255" w:lineRule="auto"/>
        <w:rPr>
          <w:sz w:val="20"/>
          <w:szCs w:val="20"/>
          <w:color w:val="auto"/>
        </w:rPr>
      </w:pPr>
      <w:r>
        <w:rPr>
          <w:rFonts w:ascii="Arial" w:cs="Arial" w:eastAsia="Arial" w:hAnsi="Arial"/>
          <w:sz w:val="18"/>
          <w:szCs w:val="18"/>
          <w:color w:val="auto"/>
        </w:rPr>
        <w:t>of Shareholders occurs on [ / / ] as currently planned, these restricted stock units will vest respect to [ ] underlying shares on [ / / ] and with respect to [ ] underlying shares on [ / / ]**. Vested restricted stock units remain subject to the tax deferral provisions set forth in the enclosed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right="100"/>
        <w:spacing w:after="0" w:line="264" w:lineRule="auto"/>
        <w:rPr>
          <w:sz w:val="20"/>
          <w:szCs w:val="20"/>
          <w:color w:val="auto"/>
        </w:rPr>
      </w:pPr>
      <w:r>
        <w:rPr>
          <w:rFonts w:ascii="Arial" w:cs="Arial" w:eastAsia="Arial" w:hAnsi="Arial"/>
          <w:sz w:val="18"/>
          <w:szCs w:val="18"/>
          <w:color w:val="auto"/>
        </w:rPr>
        <w:t>You and the Company agree that these restricted stock units are granted under and governed by the terms and conditions of the Amended and Restated Regeneron Pharmaceuticals, Inc. 2014 Long Term Incentive Plan, as amended from time to time, and the enclosed Restricted Stock Unit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3"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16" w:lineRule="exact"/>
        <w:rPr>
          <w:sz w:val="20"/>
          <w:szCs w:val="20"/>
          <w:color w:val="auto"/>
        </w:rPr>
      </w:pPr>
    </w:p>
    <w:p>
      <w:pPr>
        <w:ind w:left="620" w:hanging="585"/>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next Annual Meeting of Shareholders following the Grant Date.</w:t>
      </w:r>
    </w:p>
    <w:p>
      <w:pPr>
        <w:spacing w:after="0" w:line="360"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First anniversary of the Grant Date.</w:t>
      </w:r>
    </w:p>
    <w:p>
      <w:pPr>
        <w:sectPr>
          <w:pgSz w:w="11900" w:h="16838" w:orient="portrait"/>
          <w:cols w:equalWidth="0" w:num="1">
            <w:col w:w="11420"/>
          </w:cols>
          <w:pgMar w:left="240" w:top="382" w:right="2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14" w:lineRule="exact"/>
        <w:rPr>
          <w:sz w:val="20"/>
          <w:szCs w:val="20"/>
          <w:color w:val="auto"/>
        </w:rPr>
      </w:pPr>
    </w:p>
    <w:p>
      <w:pPr>
        <w:jc w:val="both"/>
        <w:ind w:firstLine="1297"/>
        <w:spacing w:after="0" w:line="33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Restricted Stock Units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Recipient</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Recipient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Recipient the opportunity to acquire or enlarge the Recipient’s stock ownership in the Company so that the Recipient may have a direct proprietary interest in the Company’s success; and</w:t>
      </w:r>
    </w:p>
    <w:p>
      <w:pPr>
        <w:spacing w:after="0" w:line="73"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WHEREAS, the Committee administering the Amended and Restated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Restricted Stock Units</w:t>
      </w:r>
      <w:r>
        <w:rPr>
          <w:rFonts w:ascii="Arial" w:cs="Arial" w:eastAsia="Arial" w:hAnsi="Arial"/>
          <w:sz w:val="18"/>
          <w:szCs w:val="18"/>
          <w:color w:val="auto"/>
        </w:rPr>
        <w:t xml:space="preserve">) to the Recipient a Restricted Stock Unit (as defined below) with respect to the number of shares of Company Stock as set forth in the </w:t>
      </w:r>
      <w:r>
        <w:rPr>
          <w:rFonts w:ascii="Arial" w:cs="Arial" w:eastAsia="Arial" w:hAnsi="Arial"/>
          <w:sz w:val="18"/>
          <w:szCs w:val="18"/>
          <w:i w:val="1"/>
          <w:iCs w:val="1"/>
          <w:color w:val="auto"/>
        </w:rPr>
        <w:t>Notice of Grant of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Stock Units</w:t>
      </w:r>
      <w:r>
        <w:rPr>
          <w:rFonts w:ascii="Arial" w:cs="Arial" w:eastAsia="Arial" w:hAnsi="Arial"/>
          <w:sz w:val="18"/>
          <w:szCs w:val="18"/>
          <w:color w:val="auto"/>
        </w:rPr>
        <w:t>.</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40" w:lineRule="exact"/>
        <w:rPr>
          <w:sz w:val="20"/>
          <w:szCs w:val="20"/>
          <w:color w:val="auto"/>
        </w:rPr>
      </w:pPr>
    </w:p>
    <w:p>
      <w:pPr>
        <w:ind w:right="140" w:firstLine="1305"/>
        <w:spacing w:after="0" w:line="351" w:lineRule="auto"/>
        <w:tabs>
          <w:tab w:leader="none" w:pos="208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Grant of Award</w:t>
      </w:r>
      <w:r>
        <w:rPr>
          <w:rFonts w:ascii="Arial" w:cs="Arial" w:eastAsia="Arial" w:hAnsi="Arial"/>
          <w:sz w:val="16"/>
          <w:szCs w:val="16"/>
          <w:color w:val="auto"/>
        </w:rPr>
        <w:t>. Pursuant to Section 9 of the Plan, the Company grants to the Recipient, subject to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subject further to the terms and conditions set forth herein, a restricted stock unit (referred to in the Plan as “Phantom Stock”) (each such unit, a “</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with respect to the number of shares of Company Stock as shown on the Notice of Grant of Restricted Stock Units. The Recipient’s record of Company Stock ownership shall be recorded in the books of the Company only when the Restricted Stock Units vest and the shares of Company Stock are issued. At the Recipient’s request, vested shares may be evidenced by stock certificates or book-entry registration.</w:t>
      </w:r>
    </w:p>
    <w:p>
      <w:pPr>
        <w:spacing w:after="0" w:line="18" w:lineRule="exact"/>
        <w:rPr>
          <w:rFonts w:ascii="Arial" w:cs="Arial" w:eastAsia="Arial" w:hAnsi="Arial"/>
          <w:sz w:val="16"/>
          <w:szCs w:val="16"/>
          <w:color w:val="auto"/>
        </w:rPr>
      </w:pPr>
    </w:p>
    <w:p>
      <w:pPr>
        <w:ind w:firstLine="1305"/>
        <w:spacing w:after="0" w:line="289" w:lineRule="auto"/>
        <w:tabs>
          <w:tab w:leader="none" w:pos="1611"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Vesting; Delivery</w:t>
      </w:r>
      <w:r>
        <w:rPr>
          <w:rFonts w:ascii="Arial" w:cs="Arial" w:eastAsia="Arial" w:hAnsi="Arial"/>
          <w:sz w:val="16"/>
          <w:szCs w:val="16"/>
          <w:color w:val="auto"/>
        </w:rPr>
        <w:t>. (a) The Restricted Stock Units granted to the Recipient shall vest in installments as provided in the Notice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Units. The vesting schedule in the Notice of Grant of Restricted Stock Units indicates each date upon which the Restricted Stock Units shall vest, entitling the Recipient to receive the underlying shares of Company Stock, provided that the Recipient has not incurred a termination of service as a member of the Board. There shall be no proportionate or partial vesting in the periods between the Full Vest Dates specified in the Notice of Grant of Restricted Stock Units and all vesting shall occur only on such Full Vest Dates. No vesting shall occur after the termination of the Recipient’s service as a member of the Board for any reason. Notwithstanding the preceding sentence, upon the Recipient’s Retirement from service on the Board, the Restricted Stock Units shall continue to vest in installments as provided on the Notice of Grant of Restricted Stock Units as if the Recipient had remained in service on the Board. For purposes of this Agreement, “Retirement” shall mean a voluntary termination of service on the Board (including by not standing for re-election) by the Recipient at a time when the Recipient meets both of the following criteria: the Recipient has served as a member of the Board for a minimum of three (3) years, and the combination of the Recipient’s age and total years of service as a member of the Board equals a minimum of 80.</w:t>
      </w:r>
    </w:p>
    <w:p>
      <w:pPr>
        <w:spacing w:after="0" w:line="57" w:lineRule="exact"/>
        <w:rPr>
          <w:sz w:val="20"/>
          <w:szCs w:val="20"/>
          <w:color w:val="auto"/>
        </w:rPr>
      </w:pPr>
    </w:p>
    <w:p>
      <w:pPr>
        <w:ind w:right="20" w:firstLine="1305"/>
        <w:spacing w:after="0" w:line="272" w:lineRule="auto"/>
        <w:tabs>
          <w:tab w:leader="none" w:pos="1686"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anything herein (except the following sentence) or in the Notice of Grant of Restricted Stock Units to the contrary, outstanding Restricted Stock Units granted to Recipient shall be fully vested on the date of a Change in Control or upon the Recipient’s death. If the application of the provision in the foregoing sentence, similar provisions in other stock option or equity compensation grants, and other payments and benefits payable to the Recipient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Recipient being subject to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payable under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the amount of any Company Payments shall be automatically reduced to an amount one dollar less than an amount that would subject the Recipient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Recipient (after taking into account further</w:t>
      </w:r>
    </w:p>
    <w:p>
      <w:pPr>
        <w:sectPr>
          <w:pgSz w:w="11900" w:h="16838" w:orient="portrait"/>
          <w:cols w:equalWidth="0" w:num="1">
            <w:col w:w="11420"/>
          </w:cols>
          <w:pgMar w:left="240" w:top="616" w:right="239" w:bottom="1440" w:gutter="0" w:footer="0" w:header="0"/>
        </w:sectPr>
      </w:pPr>
    </w:p>
    <w:bookmarkStart w:id="153" w:name="page154"/>
    <w:bookmarkEnd w:id="153"/>
    <w:p>
      <w:pPr>
        <w:ind w:right="300"/>
        <w:spacing w:after="0" w:line="291" w:lineRule="auto"/>
        <w:rPr>
          <w:sz w:val="20"/>
          <w:szCs w:val="20"/>
          <w:color w:val="auto"/>
        </w:rPr>
      </w:pPr>
      <w:r>
        <w:rPr>
          <w:rFonts w:ascii="Arial" w:cs="Arial" w:eastAsia="Arial" w:hAnsi="Arial"/>
          <w:sz w:val="16"/>
          <w:szCs w:val="16"/>
          <w:color w:val="auto"/>
        </w:rPr>
        <w:t>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167" w:lineRule="exact"/>
        <w:rPr>
          <w:sz w:val="20"/>
          <w:szCs w:val="20"/>
          <w:color w:val="auto"/>
        </w:rPr>
      </w:pPr>
    </w:p>
    <w:p>
      <w:pPr>
        <w:ind w:right="140" w:firstLine="1305"/>
        <w:spacing w:after="0" w:line="254" w:lineRule="auto"/>
        <w:tabs>
          <w:tab w:leader="none" w:pos="16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a later delivery date is elected by the Recipient at a time and in a manner which complies with the requirements of Section 409A of the Code (and the regulations thereunder), shares of Company Stock issuable pursuant to the vesting of Restricted Stock Units shall be delivered on the earlier of (1) the termination of the Recipient’s service as a member of the Board, (2) the seventh anniversary of the date of grant of the Restricted Stock Units and (3) the date of a Change in Control (provided that the shares of Company Stock may be delivered upon such Change in Control without violating Section 409A of the Code). With respect to Restricted Stock Units which become vested following termination of the Recipient’s service as a member of the Board pursuant to the last two sentences of Section 2(a), shares of Company Stock with respect thereto shall be delivered as soon as practicable following vesting, unless a later delivery date is elected by the Recipient at a time and in a manner which complies with the requirements of Section 409A of the Code (and the regulations thereunder).</w:t>
      </w:r>
    </w:p>
    <w:p>
      <w:pPr>
        <w:spacing w:after="0" w:line="296" w:lineRule="exact"/>
        <w:rPr>
          <w:sz w:val="20"/>
          <w:szCs w:val="20"/>
          <w:color w:val="auto"/>
        </w:rPr>
      </w:pPr>
    </w:p>
    <w:p>
      <w:pPr>
        <w:ind w:right="80" w:firstLine="1305"/>
        <w:spacing w:after="0" w:line="266" w:lineRule="auto"/>
        <w:tabs>
          <w:tab w:leader="none" w:pos="161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Subject to the terms of the Plan and Section 2 hereof, if the Recipient’s service on the Board is terminated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(other than as set forth in Section 2 hereof), the Recipient shall forfeit any or all of the shares of Company Stock subject to the Restricted Stock Unit that have not vested in accordance with Section 2 hereof.</w:t>
      </w:r>
    </w:p>
    <w:p>
      <w:pPr>
        <w:spacing w:after="0" w:line="68" w:lineRule="exact"/>
        <w:rPr>
          <w:rFonts w:ascii="Arial" w:cs="Arial" w:eastAsia="Arial" w:hAnsi="Arial"/>
          <w:sz w:val="18"/>
          <w:szCs w:val="18"/>
          <w:color w:val="auto"/>
        </w:rPr>
      </w:pPr>
    </w:p>
    <w:p>
      <w:pPr>
        <w:jc w:val="both"/>
        <w:ind w:firstLine="1305"/>
        <w:spacing w:after="0" w:line="266" w:lineRule="auto"/>
        <w:tabs>
          <w:tab w:leader="none" w:pos="161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Securities Laws Requirements</w:t>
      </w:r>
      <w:r>
        <w:rPr>
          <w:rFonts w:ascii="Arial" w:cs="Arial" w:eastAsia="Arial" w:hAnsi="Arial"/>
          <w:sz w:val="18"/>
          <w:szCs w:val="18"/>
          <w:color w:val="auto"/>
        </w:rPr>
        <w:t>. The Company shall not be obligated to transfer any shares of Company Stock to the Recipient,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the opinion of counsel for the Company, would violate the Securities Act (or any other federal or state statutes having similar requirements as may be in effect at that time).</w:t>
      </w:r>
    </w:p>
    <w:p>
      <w:pPr>
        <w:spacing w:after="0" w:line="68" w:lineRule="exact"/>
        <w:rPr>
          <w:rFonts w:ascii="Arial" w:cs="Arial" w:eastAsia="Arial" w:hAnsi="Arial"/>
          <w:sz w:val="18"/>
          <w:szCs w:val="18"/>
          <w:color w:val="auto"/>
        </w:rPr>
      </w:pPr>
    </w:p>
    <w:p>
      <w:pPr>
        <w:ind w:right="140" w:firstLine="1305"/>
        <w:spacing w:after="0" w:line="261" w:lineRule="auto"/>
        <w:tabs>
          <w:tab w:leader="none" w:pos="161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Invalid Transfers</w:t>
      </w:r>
      <w:r>
        <w:rPr>
          <w:rFonts w:ascii="Arial" w:cs="Arial" w:eastAsia="Arial" w:hAnsi="Arial"/>
          <w:sz w:val="18"/>
          <w:szCs w:val="18"/>
          <w:color w:val="auto"/>
        </w:rPr>
        <w:t>. No purported sale, assignment, mortgage, hypothecation, transfer, pledge, encumbrance, gift, transfer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or other disposition of, or creation of a security interest in or lien on, any of the Restricted Stock Units by any holder thereof in violation of the provisions of this Agreement or the Certificate of Incorporation or the By-Laws of the Company shall be valid. The foregoing restrictions are in addition to and not in lieu of any other remedies, legal or equitable, available to enforce said provisions.</w:t>
      </w:r>
    </w:p>
    <w:p>
      <w:pPr>
        <w:spacing w:after="0" w:line="71" w:lineRule="exact"/>
        <w:rPr>
          <w:rFonts w:ascii="Arial" w:cs="Arial" w:eastAsia="Arial" w:hAnsi="Arial"/>
          <w:sz w:val="18"/>
          <w:szCs w:val="18"/>
          <w:color w:val="auto"/>
        </w:rPr>
      </w:pPr>
    </w:p>
    <w:p>
      <w:pPr>
        <w:ind w:right="140" w:firstLine="1305"/>
        <w:spacing w:after="0" w:line="274" w:lineRule="auto"/>
        <w:tabs>
          <w:tab w:leader="none" w:pos="1611"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Rights as a Shareholder</w:t>
      </w:r>
      <w:r>
        <w:rPr>
          <w:rFonts w:ascii="Arial" w:cs="Arial" w:eastAsia="Arial" w:hAnsi="Arial"/>
          <w:sz w:val="17"/>
          <w:szCs w:val="17"/>
          <w:color w:val="auto"/>
        </w:rPr>
        <w:t>. The Recipient will not have the rights of a shareholder with respect to shares of Company Stock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Stock Units until the vesting of the Restricted Stock Units and the delivery of shares of Company Stock with respect to such vesting. To the extent that the Company declares a cash dividend while all or a portion of the Restricted Stock Units are unvested, the Recipient shall be credited with dividend equivalent rights with respect to each share of Company Stock subject to the unvested portion of the Restricted Stock Units. Such dividend equivalent right will entitle the Recipient to payment of such dividend only upon vesting of the corresponding portion of the Restricted Stock Unit; and such right will be forfeited to the extent the corresponding portion of the Restricted Stock Unit is forfeited.</w:t>
      </w:r>
    </w:p>
    <w:p>
      <w:pPr>
        <w:spacing w:after="0" w:line="65" w:lineRule="exact"/>
        <w:rPr>
          <w:rFonts w:ascii="Arial" w:cs="Arial" w:eastAsia="Arial" w:hAnsi="Arial"/>
          <w:sz w:val="17"/>
          <w:szCs w:val="17"/>
          <w:color w:val="auto"/>
        </w:rPr>
      </w:pPr>
    </w:p>
    <w:p>
      <w:pPr>
        <w:jc w:val="both"/>
        <w:ind w:right="40" w:firstLine="1305"/>
        <w:spacing w:after="0" w:line="261" w:lineRule="auto"/>
        <w:tabs>
          <w:tab w:leader="none" w:pos="161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Compliance with Law and Regulations</w:t>
      </w:r>
      <w:r>
        <w:rPr>
          <w:rFonts w:ascii="Arial" w:cs="Arial" w:eastAsia="Arial" w:hAnsi="Arial"/>
          <w:sz w:val="18"/>
          <w:szCs w:val="18"/>
          <w:color w:val="auto"/>
        </w:rPr>
        <w:t>. This Agreement, the award hereunder and any obligation of the Company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all applicable federal, state and local laws, rules and regulations and to such approvals by any government or regulatory agency as may be required. Except to the extent preempted by any federal law, this Agreement shall be construed and administered in accordance with the laws of the State of New York without reference to its principles of conflicts of law.</w:t>
      </w:r>
    </w:p>
    <w:p>
      <w:pPr>
        <w:spacing w:after="0" w:line="71" w:lineRule="exact"/>
        <w:rPr>
          <w:rFonts w:ascii="Arial" w:cs="Arial" w:eastAsia="Arial" w:hAnsi="Arial"/>
          <w:sz w:val="18"/>
          <w:szCs w:val="18"/>
          <w:color w:val="auto"/>
        </w:rPr>
      </w:pPr>
    </w:p>
    <w:p>
      <w:pPr>
        <w:jc w:val="both"/>
        <w:ind w:firstLine="1305"/>
        <w:spacing w:after="0" w:line="289" w:lineRule="auto"/>
        <w:tabs>
          <w:tab w:leader="none" w:pos="1611"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Recipient Bound by Plan</w:t>
      </w:r>
      <w:r>
        <w:rPr>
          <w:rFonts w:ascii="Arial" w:cs="Arial" w:eastAsia="Arial" w:hAnsi="Arial"/>
          <w:sz w:val="17"/>
          <w:szCs w:val="17"/>
          <w:color w:val="auto"/>
        </w:rPr>
        <w:t>. The Recipient acknowledges receipt of a copy of this Agreement and the Plan and agrees to be bound by all</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ectPr>
          <w:pgSz w:w="11900" w:h="16838" w:orient="portrait"/>
          <w:cols w:equalWidth="0" w:num="1">
            <w:col w:w="11420"/>
          </w:cols>
          <w:pgMar w:left="240" w:top="477" w:right="239" w:bottom="1440" w:gutter="0" w:footer="0" w:header="0"/>
        </w:sectPr>
      </w:pPr>
    </w:p>
    <w:bookmarkStart w:id="154" w:name="page155"/>
    <w:bookmarkEnd w:id="154"/>
    <w:p>
      <w:pPr>
        <w:jc w:val="both"/>
        <w:ind w:left="-1200" w:firstLine="1305"/>
        <w:spacing w:after="0" w:line="277" w:lineRule="auto"/>
        <w:tabs>
          <w:tab w:leader="none" w:pos="425"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or communication given hereunder shall be in writing and shall be deemed given when delivered in person,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9.</w:t>
      </w:r>
    </w:p>
    <w:p>
      <w:pPr>
        <w:sectPr>
          <w:pgSz w:w="11900" w:h="16838" w:orient="portrait"/>
          <w:cols w:equalWidth="0" w:num="1">
            <w:col w:w="10220"/>
          </w:cols>
          <w:pgMar w:left="1440" w:top="472" w:right="239" w:bottom="1440" w:gutter="0" w:footer="0" w:header="0"/>
        </w:sectPr>
      </w:pPr>
    </w:p>
    <w:bookmarkStart w:id="155" w:name="page156"/>
    <w:bookmarkEnd w:id="155"/>
    <w:p>
      <w:pPr>
        <w:ind w:left="10080"/>
        <w:spacing w:after="0"/>
        <w:rPr>
          <w:sz w:val="20"/>
          <w:szCs w:val="20"/>
          <w:color w:val="auto"/>
        </w:rPr>
      </w:pPr>
      <w:r>
        <w:rPr>
          <w:rFonts w:ascii="Arial" w:cs="Arial" w:eastAsia="Arial" w:hAnsi="Arial"/>
          <w:sz w:val="19"/>
          <w:szCs w:val="19"/>
          <w:b w:val="1"/>
          <w:bCs w:val="1"/>
          <w:color w:val="auto"/>
        </w:rPr>
        <w:t>Exhibit 10.17</w:t>
      </w:r>
    </w:p>
    <w:p>
      <w:pPr>
        <w:spacing w:after="0" w:line="295" w:lineRule="exact"/>
        <w:rPr>
          <w:sz w:val="20"/>
          <w:szCs w:val="20"/>
          <w:color w:val="auto"/>
        </w:rPr>
      </w:pPr>
    </w:p>
    <w:p>
      <w:pPr>
        <w:jc w:val="center"/>
        <w:ind w:right="120"/>
        <w:spacing w:after="0" w:line="256" w:lineRule="auto"/>
        <w:rPr>
          <w:sz w:val="20"/>
          <w:szCs w:val="20"/>
          <w:color w:val="auto"/>
        </w:rPr>
      </w:pPr>
      <w:r>
        <w:rPr>
          <w:rFonts w:ascii="Arial" w:cs="Arial" w:eastAsia="Arial" w:hAnsi="Arial"/>
          <w:sz w:val="22"/>
          <w:szCs w:val="22"/>
          <w:b w:val="1"/>
          <w:bCs w:val="1"/>
          <w:color w:val="auto"/>
        </w:rPr>
        <w:t>CERTAIN PORTIONS OF THIS EXHIBIT HAVE BEEN OMITTED PURSUANT TO A REQUEST FOR CONFIDENTIALITY. SUCH OMITTED PORTIONS, WHICH ARE MARKED WITH BRACKETS AND ASTERISKS [***], HAVE BEEN SEPARATELY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AMENDED AND RESTATED</w:t>
      </w:r>
    </w:p>
    <w:p>
      <w:pPr>
        <w:spacing w:after="0" w:line="11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IMMUNO-ONCOLOGY DISCOVERY AND DEVELOPMENT AGREEMENT</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Effective as of December 31, 2018</w:t>
      </w:r>
    </w:p>
    <w:p>
      <w:pPr>
        <w:sectPr>
          <w:pgSz w:w="11900" w:h="16838" w:orient="portrait"/>
          <w:cols w:equalWidth="0" w:num="1">
            <w:col w:w="11300"/>
          </w:cols>
          <w:pgMar w:left="360" w:top="639" w:right="239" w:bottom="1440" w:gutter="0" w:footer="0" w:header="0"/>
        </w:sectPr>
      </w:pPr>
    </w:p>
    <w:bookmarkStart w:id="156" w:name="page157"/>
    <w:bookmarkEnd w:id="156"/>
    <w:p>
      <w:pPr>
        <w:ind w:left="4620"/>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21"/>
          <w:szCs w:val="21"/>
          <w:color w:val="auto"/>
        </w:rPr>
        <w:t>DEFINITIONS</w:t>
      </w:r>
    </w:p>
    <w:p>
      <w:pPr>
        <w:spacing w:after="0" w:line="200" w:lineRule="exact"/>
        <w:rPr>
          <w:sz w:val="20"/>
          <w:szCs w:val="20"/>
          <w:color w:val="auto"/>
        </w:rPr>
      </w:pPr>
    </w:p>
    <w:p>
      <w:pPr>
        <w:spacing w:after="0" w:line="236"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2</w:t>
      </w:r>
      <w:r>
        <w:rPr>
          <w:sz w:val="20"/>
          <w:szCs w:val="20"/>
          <w:color w:val="auto"/>
        </w:rPr>
        <w:tab/>
      </w:r>
      <w:r>
        <w:rPr>
          <w:rFonts w:ascii="Arial" w:cs="Arial" w:eastAsia="Arial" w:hAnsi="Arial"/>
          <w:sz w:val="19"/>
          <w:szCs w:val="19"/>
          <w:color w:val="auto"/>
        </w:rPr>
        <w:t>PURPOSE –IO DISCOVERY PROGRAM – POC DEVELOPMENT PLAN</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color w:val="auto"/>
        </w:rPr>
        <w:t>Purpose</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POC Development</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Compliance with Laws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Further Assurances and Transaction Approvals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Exclusivity – Rights to IO Antibodies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Program Licenses; Licenses Generally</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Non-Exclusive License to Sanofi</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Invention Assignment</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Combination Therapy</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Third Party Licenses</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3</w:t>
      </w:r>
      <w:r>
        <w:rPr>
          <w:sz w:val="20"/>
          <w:szCs w:val="20"/>
          <w:color w:val="auto"/>
        </w:rPr>
        <w:tab/>
      </w:r>
      <w:r>
        <w:rPr>
          <w:rFonts w:ascii="Arial" w:cs="Arial" w:eastAsia="Arial" w:hAnsi="Arial"/>
          <w:sz w:val="21"/>
          <w:szCs w:val="21"/>
          <w:color w:val="auto"/>
        </w:rPr>
        <w:t>INFORMATION EXCHANGE AND UPDATES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Immuno-Oncology Steering Committee</w:t>
      </w:r>
    </w:p>
    <w:p>
      <w:pPr>
        <w:spacing w:after="0" w:line="2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Alliance Management</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Obligations of the Parties and their Affiliates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Exchange of Information</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19"/>
          <w:szCs w:val="19"/>
          <w:color w:val="auto"/>
        </w:rPr>
        <w:t>PAYMENTS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Payment to Regeneron</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IO Development Balance</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Royalty Payments for IO Royalty Products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Royalty Term and Reporting</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Payment Method and Currency</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Late Payments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Right to Offset Payments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8"/>
          <w:szCs w:val="18"/>
          <w:color w:val="auto"/>
        </w:rPr>
        <w:t>Taxes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color w:val="auto"/>
        </w:rPr>
        <w:t>Invoices and Documentation</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19"/>
          <w:szCs w:val="19"/>
          <w:color w:val="auto"/>
        </w:rPr>
        <w:t>OPT-IN RIGHTS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Opt-In Rights Generally</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Opt-In Period</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color w:val="auto"/>
        </w:rPr>
        <w:t>Refused Candidates</w:t>
      </w:r>
    </w:p>
    <w:p>
      <w:pPr>
        <w:spacing w:after="0" w:line="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Additional Development Prior to Opt-In</w:t>
      </w:r>
    </w:p>
    <w:p>
      <w:pPr>
        <w:spacing w:after="0" w:line="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Additional Development Following Opt-In</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Further Assurances and Transaction Approvals in Connection with Opt-In</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Non-IO Indications</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631" w:right="1440" w:bottom="1440" w:gutter="0" w:footer="0" w:header="0"/>
        </w:sectPr>
      </w:pPr>
    </w:p>
    <w:bookmarkStart w:id="157" w:name="page158"/>
    <w:bookmarkEnd w:id="157"/>
    <w:p>
      <w:pPr>
        <w:spacing w:after="0"/>
        <w:tabs>
          <w:tab w:leader="none" w:pos="1260" w:val="left"/>
        </w:tabs>
        <w:rPr>
          <w:sz w:val="20"/>
          <w:szCs w:val="20"/>
          <w:color w:val="auto"/>
        </w:rPr>
      </w:pPr>
      <w:r>
        <w:rPr>
          <w:rFonts w:ascii="Arial" w:cs="Arial" w:eastAsia="Arial" w:hAnsi="Arial"/>
          <w:sz w:val="22"/>
          <w:szCs w:val="22"/>
          <w:color w:val="auto"/>
        </w:rPr>
        <w:t>ARTICLE 6</w:t>
      </w:r>
      <w:r>
        <w:rPr>
          <w:sz w:val="20"/>
          <w:szCs w:val="20"/>
          <w:color w:val="auto"/>
        </w:rPr>
        <w:tab/>
      </w:r>
      <w:r>
        <w:rPr>
          <w:rFonts w:ascii="Arial" w:cs="Arial" w:eastAsia="Arial" w:hAnsi="Arial"/>
          <w:sz w:val="21"/>
          <w:szCs w:val="21"/>
          <w:color w:val="auto"/>
        </w:rPr>
        <w:t>NEWLY CREATED INVENTIONS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Ownership of Newly Created Intellectual Property</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Prosecution and Maintenance of Patent Rights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Third Party Claims</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7</w:t>
      </w:r>
      <w:r>
        <w:rPr>
          <w:sz w:val="20"/>
          <w:szCs w:val="20"/>
          <w:color w:val="auto"/>
        </w:rPr>
        <w:tab/>
      </w:r>
      <w:r>
        <w:rPr>
          <w:rFonts w:ascii="Arial" w:cs="Arial" w:eastAsia="Arial" w:hAnsi="Arial"/>
          <w:sz w:val="21"/>
          <w:szCs w:val="21"/>
          <w:color w:val="auto"/>
        </w:rPr>
        <w:t>FINANCIAL BOOKS AND RECORDS; AUDITS AND ADJUSTMENTS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Financial Books and Records</w:t>
      </w:r>
    </w:p>
    <w:p>
      <w:pPr>
        <w:spacing w:after="0" w:line="2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Audits and Adjustments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IFRS/GAAP</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8</w:t>
      </w:r>
      <w:r>
        <w:rPr>
          <w:sz w:val="20"/>
          <w:szCs w:val="20"/>
          <w:color w:val="auto"/>
        </w:rPr>
        <w:tab/>
      </w:r>
      <w:r>
        <w:rPr>
          <w:rFonts w:ascii="Arial" w:cs="Arial" w:eastAsia="Arial" w:hAnsi="Arial"/>
          <w:sz w:val="19"/>
          <w:szCs w:val="19"/>
          <w:color w:val="auto"/>
        </w:rPr>
        <w:t>REPRESENTATIONS, WARRANTIES AND COVENANTS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Mutual Representations and Warranties</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Knowledge of Pending or Threatened Litigation</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Disclaimer of Warranties</w:t>
      </w:r>
    </w:p>
    <w:p>
      <w:pPr>
        <w:spacing w:after="0" w:line="20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ARTICLE 9</w:t>
      </w:r>
      <w:r>
        <w:rPr>
          <w:sz w:val="20"/>
          <w:szCs w:val="20"/>
          <w:color w:val="auto"/>
        </w:rPr>
        <w:tab/>
      </w:r>
      <w:r>
        <w:rPr>
          <w:rFonts w:ascii="Arial" w:cs="Arial" w:eastAsia="Arial" w:hAnsi="Arial"/>
          <w:sz w:val="21"/>
          <w:szCs w:val="21"/>
          <w:color w:val="auto"/>
        </w:rPr>
        <w:t>CONFIDENTIALITY</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Confidential Information</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Injunctive Relief</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Publications</w:t>
      </w:r>
    </w:p>
    <w:p>
      <w:pPr>
        <w:spacing w:after="0" w:line="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Disclosures Concerning this Agreement</w:t>
      </w:r>
    </w:p>
    <w:p>
      <w:pPr>
        <w:spacing w:after="0" w:line="20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ARTICLE 10</w:t>
        <w:tab/>
        <w:t>INDEMNITY</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Indemnity</w:t>
      </w:r>
    </w:p>
    <w:p>
      <w:pPr>
        <w:spacing w:after="0" w:line="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Indemnity Procedure</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Insurance</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ARTICLE 11</w:t>
      </w:r>
      <w:r>
        <w:rPr>
          <w:sz w:val="20"/>
          <w:szCs w:val="20"/>
          <w:color w:val="auto"/>
        </w:rPr>
        <w:tab/>
      </w:r>
      <w:r>
        <w:rPr>
          <w:rFonts w:ascii="Arial" w:cs="Arial" w:eastAsia="Arial" w:hAnsi="Arial"/>
          <w:sz w:val="19"/>
          <w:szCs w:val="19"/>
          <w:color w:val="auto"/>
        </w:rPr>
        <w:t>FORCE MAJEURE</w:t>
      </w:r>
    </w:p>
    <w:p>
      <w:pPr>
        <w:spacing w:after="0" w:line="200" w:lineRule="exact"/>
        <w:rPr>
          <w:sz w:val="20"/>
          <w:szCs w:val="20"/>
          <w:color w:val="auto"/>
        </w:rPr>
      </w:pPr>
    </w:p>
    <w:p>
      <w:pPr>
        <w:spacing w:after="0" w:line="23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ARTICLE 12</w:t>
      </w:r>
      <w:r>
        <w:rPr>
          <w:sz w:val="20"/>
          <w:szCs w:val="20"/>
          <w:color w:val="auto"/>
        </w:rPr>
        <w:tab/>
      </w:r>
      <w:r>
        <w:rPr>
          <w:rFonts w:ascii="Arial" w:cs="Arial" w:eastAsia="Arial" w:hAnsi="Arial"/>
          <w:sz w:val="21"/>
          <w:szCs w:val="21"/>
          <w:color w:val="auto"/>
        </w:rPr>
        <w:t>TERM AND TERMINATION</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Term</w:t>
      </w:r>
    </w:p>
    <w:p>
      <w:pPr>
        <w:spacing w:after="0" w:line="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Termination for Material Breach</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Termination for Insolvency</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Termination for Breach of the IO License and Collaboration Agreement</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Effect of Termination by Sanofi for Breach</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Effect of Termination by Regeneron for Breach</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Survival of Obligations</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Return of Confidential Information</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Termination by Sanofi At Will</w:t>
      </w:r>
    </w:p>
    <w:p>
      <w:pPr>
        <w:spacing w:after="0" w:line="20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ARTICLE 13</w:t>
      </w:r>
      <w:r>
        <w:rPr>
          <w:sz w:val="20"/>
          <w:szCs w:val="20"/>
          <w:color w:val="auto"/>
        </w:rPr>
        <w:tab/>
      </w:r>
      <w:r>
        <w:rPr>
          <w:rFonts w:ascii="Arial" w:cs="Arial" w:eastAsia="Arial" w:hAnsi="Arial"/>
          <w:sz w:val="19"/>
          <w:szCs w:val="19"/>
          <w:color w:val="auto"/>
        </w:rPr>
        <w:t>DISPUTE RESOLUTION</w:t>
      </w:r>
    </w:p>
    <w:p>
      <w:pPr>
        <w:spacing w:after="0" w:line="200" w:lineRule="exact"/>
        <w:rPr>
          <w:sz w:val="20"/>
          <w:szCs w:val="20"/>
          <w:color w:val="auto"/>
        </w:rPr>
      </w:pPr>
    </w:p>
    <w:p>
      <w:pPr>
        <w:spacing w:after="0" w:line="26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847" w:right="1440" w:bottom="1440" w:gutter="0" w:footer="0" w:header="0"/>
        </w:sectPr>
      </w:pPr>
    </w:p>
    <w:bookmarkStart w:id="158" w:name="page159"/>
    <w:bookmarkEnd w:id="158"/>
    <w:p>
      <w:pPr>
        <w:spacing w:after="0"/>
        <w:tabs>
          <w:tab w:leader="none" w:pos="5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Resolution of Disputes</w:t>
      </w:r>
    </w:p>
    <w:p>
      <w:pPr>
        <w:spacing w:after="0" w:line="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Arbitrable Matters</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Expert Panel Disputes</w:t>
      </w:r>
    </w:p>
    <w:p>
      <w:pPr>
        <w:spacing w:after="0" w:line="20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ARTICLE 14</w:t>
      </w:r>
      <w:r>
        <w:rPr>
          <w:sz w:val="20"/>
          <w:szCs w:val="20"/>
          <w:color w:val="auto"/>
        </w:rPr>
        <w:tab/>
      </w:r>
      <w:r>
        <w:rPr>
          <w:rFonts w:ascii="Arial" w:cs="Arial" w:eastAsia="Arial" w:hAnsi="Arial"/>
          <w:sz w:val="21"/>
          <w:szCs w:val="21"/>
          <w:color w:val="auto"/>
        </w:rPr>
        <w:t>MISCELLANEOUS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Governing Law; Submission to Jurisdiction</w:t>
      </w:r>
    </w:p>
    <w:p>
      <w:pPr>
        <w:spacing w:after="0" w:line="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Waiver</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Notices</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Entire Agreement</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Amendments</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Severability</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Registration and Filing of the Agreement</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Assignment</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8"/>
          <w:szCs w:val="18"/>
          <w:color w:val="auto"/>
        </w:rPr>
        <w:t>Successors and Assigns</w:t>
      </w:r>
    </w:p>
    <w:p>
      <w:pPr>
        <w:spacing w:after="0" w:line="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21"/>
          <w:szCs w:val="21"/>
          <w:color w:val="auto"/>
        </w:rPr>
        <w:t>Affiliates</w:t>
      </w:r>
    </w:p>
    <w:p>
      <w:pPr>
        <w:spacing w:after="0" w:line="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19"/>
          <w:szCs w:val="19"/>
          <w:color w:val="auto"/>
        </w:rPr>
        <w:t>Counterparts</w:t>
      </w:r>
    </w:p>
    <w:p>
      <w:pPr>
        <w:spacing w:after="0" w:line="4"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9"/>
          <w:szCs w:val="19"/>
          <w:color w:val="auto"/>
        </w:rPr>
        <w:t>Third Party Beneficiaries</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19"/>
          <w:szCs w:val="19"/>
          <w:color w:val="auto"/>
        </w:rPr>
        <w:t>Relationship of the Parties</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color w:val="auto"/>
        </w:rPr>
        <w:t>Limitation of Damages</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14.15</w:t>
      </w:r>
      <w:r>
        <w:rPr>
          <w:sz w:val="20"/>
          <w:szCs w:val="20"/>
          <w:color w:val="auto"/>
        </w:rPr>
        <w:tab/>
      </w:r>
      <w:r>
        <w:rPr>
          <w:rFonts w:ascii="Arial" w:cs="Arial" w:eastAsia="Arial" w:hAnsi="Arial"/>
          <w:sz w:val="19"/>
          <w:szCs w:val="19"/>
          <w:color w:val="auto"/>
        </w:rPr>
        <w:t>Non-Solicitation</w:t>
      </w:r>
    </w:p>
    <w:p>
      <w:pPr>
        <w:spacing w:after="0" w:line="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9"/>
          <w:szCs w:val="19"/>
          <w:color w:val="auto"/>
        </w:rPr>
        <w:t>Construction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SCHEDULES AND EXHIBITS</w:t>
      </w:r>
    </w:p>
    <w:p>
      <w:pPr>
        <w:spacing w:after="0" w:line="26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IO Program Target Profiles</w:t>
      </w:r>
    </w:p>
    <w:p>
      <w:pPr>
        <w:spacing w:after="0" w:line="2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Restricted Target Profiles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Manufacturing Cost</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4</w:t>
      </w:r>
      <w:r>
        <w:rPr>
          <w:sz w:val="20"/>
          <w:szCs w:val="20"/>
          <w:color w:val="auto"/>
        </w:rPr>
        <w:tab/>
      </w:r>
      <w:r>
        <w:rPr>
          <w:rFonts w:ascii="Arial" w:cs="Arial" w:eastAsia="Arial" w:hAnsi="Arial"/>
          <w:sz w:val="19"/>
          <w:szCs w:val="19"/>
          <w:color w:val="auto"/>
        </w:rPr>
        <w:t>Notices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5</w:t>
      </w:r>
      <w:r>
        <w:rPr>
          <w:sz w:val="20"/>
          <w:szCs w:val="20"/>
          <w:color w:val="auto"/>
        </w:rPr>
        <w:tab/>
      </w:r>
      <w:r>
        <w:rPr>
          <w:rFonts w:ascii="Arial" w:cs="Arial" w:eastAsia="Arial" w:hAnsi="Arial"/>
          <w:sz w:val="19"/>
          <w:szCs w:val="19"/>
          <w:color w:val="auto"/>
        </w:rPr>
        <w:t>Quarterly IOSC Update</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6</w:t>
      </w:r>
      <w:r>
        <w:rPr>
          <w:sz w:val="20"/>
          <w:szCs w:val="20"/>
          <w:color w:val="auto"/>
        </w:rPr>
        <w:tab/>
      </w:r>
      <w:r>
        <w:rPr>
          <w:rFonts w:ascii="Arial" w:cs="Arial" w:eastAsia="Arial" w:hAnsi="Arial"/>
          <w:sz w:val="19"/>
          <w:szCs w:val="19"/>
          <w:color w:val="auto"/>
        </w:rPr>
        <w:t>Opt-In Report</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7</w:t>
      </w:r>
      <w:r>
        <w:rPr>
          <w:sz w:val="20"/>
          <w:szCs w:val="20"/>
          <w:color w:val="auto"/>
        </w:rPr>
        <w:tab/>
      </w:r>
      <w:r>
        <w:rPr>
          <w:rFonts w:ascii="Arial" w:cs="Arial" w:eastAsia="Arial" w:hAnsi="Arial"/>
          <w:sz w:val="19"/>
          <w:szCs w:val="19"/>
          <w:color w:val="auto"/>
        </w:rPr>
        <w:t>Terminated IO Discovery Program Antibodies</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Opt-In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632" w:right="1440" w:bottom="1440" w:gutter="0" w:footer="0" w:header="0"/>
        </w:sectPr>
      </w:pPr>
    </w:p>
    <w:bookmarkStart w:id="159" w:name="page160"/>
    <w:bookmarkEnd w:id="159"/>
    <w:p>
      <w:pPr>
        <w:ind w:left="800"/>
        <w:spacing w:after="0"/>
        <w:rPr>
          <w:sz w:val="20"/>
          <w:szCs w:val="20"/>
          <w:color w:val="auto"/>
        </w:rPr>
      </w:pPr>
      <w:r>
        <w:rPr>
          <w:rFonts w:ascii="Arial" w:cs="Arial" w:eastAsia="Arial" w:hAnsi="Arial"/>
          <w:sz w:val="22"/>
          <w:szCs w:val="22"/>
          <w:color w:val="auto"/>
        </w:rPr>
        <w:t>AMENDED AND RESTATED IMMUNO-ONCOLOGY DISCOVERY AND DEVELOPMENT AGREEMENT</w:t>
      </w:r>
    </w:p>
    <w:p>
      <w:pPr>
        <w:spacing w:after="0" w:line="220"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THIS AMENDED AND RESTATED IMMUNO-ONCOLOGY DISCOVERY AND DEVELOPMENT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executed on January 2, 2019 and effective as of December 31, 2018 (the “</w:t>
      </w:r>
      <w:r>
        <w:rPr>
          <w:rFonts w:ascii="Arial" w:cs="Arial" w:eastAsia="Arial" w:hAnsi="Arial"/>
          <w:sz w:val="19"/>
          <w:szCs w:val="19"/>
          <w:u w:val="single" w:color="auto"/>
          <w:color w:val="auto"/>
        </w:rPr>
        <w:t>A&amp;R Agreement Effective Date</w:t>
      </w:r>
      <w:r>
        <w:rPr>
          <w:rFonts w:ascii="Arial" w:cs="Arial" w:eastAsia="Arial" w:hAnsi="Arial"/>
          <w:sz w:val="19"/>
          <w:szCs w:val="19"/>
          <w:color w:val="auto"/>
        </w:rPr>
        <w:t>”), is by and between Sanofi Biotechnology SAS (“</w:t>
      </w:r>
      <w:r>
        <w:rPr>
          <w:rFonts w:ascii="Arial" w:cs="Arial" w:eastAsia="Arial" w:hAnsi="Arial"/>
          <w:sz w:val="19"/>
          <w:szCs w:val="19"/>
          <w:u w:val="single" w:color="auto"/>
          <w:color w:val="auto"/>
        </w:rPr>
        <w:t>Sanofi</w:t>
      </w:r>
      <w:r>
        <w:rPr>
          <w:rFonts w:ascii="Arial" w:cs="Arial" w:eastAsia="Arial" w:hAnsi="Arial"/>
          <w:sz w:val="19"/>
          <w:szCs w:val="19"/>
          <w:color w:val="auto"/>
        </w:rPr>
        <w:t xml:space="preserve">”), a </w:t>
      </w:r>
      <w:r>
        <w:rPr>
          <w:rFonts w:ascii="Arial" w:cs="Arial" w:eastAsia="Arial" w:hAnsi="Arial"/>
          <w:sz w:val="19"/>
          <w:szCs w:val="19"/>
          <w:i w:val="1"/>
          <w:iCs w:val="1"/>
          <w:color w:val="auto"/>
        </w:rPr>
        <w:t>société par actions simplifiée</w:t>
      </w:r>
      <w:r>
        <w:rPr>
          <w:rFonts w:ascii="Arial" w:cs="Arial" w:eastAsia="Arial" w:hAnsi="Arial"/>
          <w:sz w:val="19"/>
          <w:szCs w:val="19"/>
          <w:color w:val="auto"/>
        </w:rPr>
        <w:t>, organized under the laws of France, having a principal place of business at 54, rue La Boétie, 75008 Paris, France, an indirect wholly owned subsidiary of Sanofi, a company organized under the laws of France with its principal headquarters at 54, rue La Boétie, 75008 Paris, France (“</w:t>
      </w:r>
      <w:r>
        <w:rPr>
          <w:rFonts w:ascii="Arial" w:cs="Arial" w:eastAsia="Arial" w:hAnsi="Arial"/>
          <w:sz w:val="19"/>
          <w:szCs w:val="19"/>
          <w:u w:val="single" w:color="auto"/>
          <w:color w:val="auto"/>
        </w:rPr>
        <w:t>Sanofi Parent</w:t>
      </w:r>
      <w:r>
        <w:rPr>
          <w:rFonts w:ascii="Arial" w:cs="Arial" w:eastAsia="Arial" w:hAnsi="Arial"/>
          <w:sz w:val="19"/>
          <w:szCs w:val="19"/>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19"/>
          <w:szCs w:val="19"/>
          <w:u w:val="single" w:color="auto"/>
          <w:color w:val="auto"/>
        </w:rPr>
        <w:t>Regeneron</w:t>
      </w:r>
      <w:r>
        <w:rPr>
          <w:rFonts w:ascii="Arial" w:cs="Arial" w:eastAsia="Arial" w:hAnsi="Arial"/>
          <w:sz w:val="19"/>
          <w:szCs w:val="19"/>
          <w:color w:val="auto"/>
        </w:rPr>
        <w:t>”) (with each of Sanofi and Regeneron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WHEREAS, Regeneron and Sanofi entered into the Immuno-Oncology Discovery and Development Agreement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July 1st, 2015 (“</w:t>
      </w:r>
      <w:r>
        <w:rPr>
          <w:rFonts w:ascii="Arial" w:cs="Arial" w:eastAsia="Arial" w:hAnsi="Arial"/>
          <w:sz w:val="19"/>
          <w:szCs w:val="19"/>
          <w:u w:val="single" w:color="auto"/>
          <w:color w:val="auto"/>
        </w:rPr>
        <w:t>Effective Date</w:t>
      </w:r>
      <w:r>
        <w:rPr>
          <w:rFonts w:ascii="Arial" w:cs="Arial" w:eastAsia="Arial" w:hAnsi="Arial"/>
          <w:sz w:val="19"/>
          <w:szCs w:val="19"/>
          <w:color w:val="auto"/>
        </w:rPr>
        <w:t>”) and executed as of July 27, 2015 (the “</w:t>
      </w:r>
      <w:r>
        <w:rPr>
          <w:rFonts w:ascii="Arial" w:cs="Arial" w:eastAsia="Arial" w:hAnsi="Arial"/>
          <w:sz w:val="19"/>
          <w:szCs w:val="19"/>
          <w:u w:val="single" w:color="auto"/>
          <w:color w:val="auto"/>
        </w:rPr>
        <w:t>Original Agreement Execution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pursuant to which Regeneron has utilized its research capabilities and suite of discovery technologies to identify, discover and validate potential drug discovery targets for the purpose of discovering antibody product candidates in the field of immuno-oncology, further developing such antibodies through POC (as defined in ARTICLE 1) and granting Sanofi certain co-exclusive (with Regeneron) rights, as well as an option to license certain rights to the resulting antibodies under the terms set forth in the Original Agreement and in the IO License and Collaboration Agreement (as defined in ARTICLE 1) executed and delivered as of the same date as the Original Agreement.</w:t>
      </w:r>
    </w:p>
    <w:p>
      <w:pPr>
        <w:spacing w:after="0" w:line="157"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WHEREAS, the Parties desire to partially terminate the Original Agreement and amend and restate the remaining Original Agreement as of the A&amp;R Agreement Effective Date, including by narrowing the IO Discovery Program to bi-specific IO Antibodies (as defined in ARTICLE 1) targeting (i) solely BCMA and CD3 (“</w:t>
      </w:r>
      <w:r>
        <w:rPr>
          <w:rFonts w:ascii="Arial" w:cs="Arial" w:eastAsia="Arial" w:hAnsi="Arial"/>
          <w:sz w:val="22"/>
          <w:szCs w:val="22"/>
          <w:u w:val="single" w:color="auto"/>
          <w:color w:val="auto"/>
        </w:rPr>
        <w:t>BCMAxCD3 Program Antibodies</w:t>
      </w:r>
      <w:r>
        <w:rPr>
          <w:rFonts w:ascii="Arial" w:cs="Arial" w:eastAsia="Arial" w:hAnsi="Arial"/>
          <w:sz w:val="22"/>
          <w:szCs w:val="22"/>
          <w:color w:val="auto"/>
        </w:rPr>
        <w:t>”) or (ii) solely MUC16 and CD3 (“</w:t>
      </w:r>
      <w:r>
        <w:rPr>
          <w:rFonts w:ascii="Arial" w:cs="Arial" w:eastAsia="Arial" w:hAnsi="Arial"/>
          <w:sz w:val="22"/>
          <w:szCs w:val="22"/>
          <w:u w:val="single" w:color="auto"/>
          <w:color w:val="auto"/>
        </w:rPr>
        <w:t>MUC16xCD3 Program Antibodies</w:t>
      </w:r>
      <w:r>
        <w:rPr>
          <w:rFonts w:ascii="Arial" w:cs="Arial" w:eastAsia="Arial" w:hAnsi="Arial"/>
          <w:sz w:val="22"/>
          <w:szCs w:val="22"/>
          <w:color w:val="auto"/>
        </w:rPr>
        <w:t>”).</w:t>
      </w:r>
    </w:p>
    <w:p>
      <w:pPr>
        <w:spacing w:after="0" w:line="188" w:lineRule="exact"/>
        <w:rPr>
          <w:sz w:val="20"/>
          <w:szCs w:val="20"/>
          <w:color w:val="auto"/>
        </w:rPr>
      </w:pPr>
    </w:p>
    <w:p>
      <w:pPr>
        <w:ind w:right="140" w:firstLine="648"/>
        <w:spacing w:after="0" w:line="287" w:lineRule="auto"/>
        <w:rPr>
          <w:sz w:val="20"/>
          <w:szCs w:val="20"/>
          <w:color w:val="auto"/>
        </w:rPr>
      </w:pPr>
      <w:r>
        <w:rPr>
          <w:rFonts w:ascii="Arial" w:cs="Arial" w:eastAsia="Arial" w:hAnsi="Arial"/>
          <w:sz w:val="21"/>
          <w:szCs w:val="21"/>
          <w:color w:val="auto"/>
        </w:rPr>
        <w:t>NOW, THEREFORE, in consideration of the following mutual promises and obligations, and for other good and valuable consideration the adequacy and sufficiency of which are hereby acknowledged, the Parties agree as follows:</w:t>
      </w:r>
    </w:p>
    <w:p>
      <w:pPr>
        <w:sectPr>
          <w:pgSz w:w="11900" w:h="16838" w:orient="portrait"/>
          <w:cols w:equalWidth="0" w:num="1">
            <w:col w:w="11320"/>
          </w:cols>
          <w:pgMar w:left="240" w:top="631"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7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pacing w:after="0" w:line="177"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Acquired Competing IO Antibody</w:t>
      </w:r>
      <w:r>
        <w:rPr>
          <w:rFonts w:ascii="Arial" w:cs="Arial" w:eastAsia="Arial" w:hAnsi="Arial"/>
          <w:sz w:val="22"/>
          <w:szCs w:val="22"/>
          <w:color w:val="auto"/>
        </w:rPr>
        <w:t>” shall mean, with respect to a Party, a Competing IO Antibody, the rights to which are acquired by such Party or its Affiliate from a Third Party, whether such acquisition is by direct acquisition, by license or through the acquisition of a Third Party that owns or controls such IO Antibody.</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another Person which controls, is controlled by, or is under common control with such first Person. For purposes of this definition, a Person shall be deemed to “control” another Person if such first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Sanofi’s Affiliates be deemed Affiliates of Regeneron or any of Regeneron’s Affiliates nor shall Regeneron or any of Regeneron’s Affiliates be deemed Affiliates of Sanofi or any of Sanofi’s Affiliates.</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set forth in the preamble, including all Schedules and Exhibits.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Alliance Manager</w:t>
      </w:r>
      <w:r>
        <w:rPr>
          <w:rFonts w:ascii="Arial" w:cs="Arial" w:eastAsia="Arial" w:hAnsi="Arial"/>
          <w:sz w:val="19"/>
          <w:szCs w:val="19"/>
          <w:color w:val="auto"/>
        </w:rPr>
        <w:t>” shall have the meaning set forth in Section 3.2.</w:t>
      </w:r>
    </w:p>
    <w:p>
      <w:pPr>
        <w:spacing w:after="0" w:line="233"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Ancillary Agreement</w:t>
      </w:r>
      <w:r>
        <w:rPr>
          <w:rFonts w:ascii="Arial" w:cs="Arial" w:eastAsia="Arial" w:hAnsi="Arial"/>
          <w:sz w:val="22"/>
          <w:szCs w:val="22"/>
          <w:color w:val="auto"/>
        </w:rPr>
        <w:t>” shall mean the IO License and Collaboration Agreement, the mAb Discovery Agreement (to the extent surviving), the Existing License and Collaboration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58"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Agreement, and any supply agreement entered into by the Parties in connection with any of the foregoing.</w:t>
      </w:r>
    </w:p>
    <w:p>
      <w:pPr>
        <w:spacing w:after="0" w:line="220"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Ancillary Collaboration Agreements</w:t>
      </w:r>
      <w:r>
        <w:rPr>
          <w:rFonts w:ascii="Arial" w:cs="Arial" w:eastAsia="Arial" w:hAnsi="Arial"/>
          <w:sz w:val="22"/>
          <w:szCs w:val="22"/>
          <w:color w:val="auto"/>
        </w:rPr>
        <w:t>” shall mean the IO License and Collaboration Agreement, the mAb Discovery Agreement (to the extent surviving) and the Existing License and Collaboration Agreement.</w:t>
      </w:r>
    </w:p>
    <w:p>
      <w:pPr>
        <w:spacing w:after="0" w:line="161" w:lineRule="exact"/>
        <w:rPr>
          <w:sz w:val="20"/>
          <w:szCs w:val="20"/>
          <w:color w:val="auto"/>
        </w:rPr>
      </w:pPr>
    </w:p>
    <w:p>
      <w:pPr>
        <w:ind w:right="700" w:firstLine="648"/>
        <w:spacing w:after="0" w:line="27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Antibody</w:t>
      </w:r>
      <w:r>
        <w:rPr>
          <w:rFonts w:ascii="Arial" w:cs="Arial" w:eastAsia="Arial" w:hAnsi="Arial"/>
          <w:sz w:val="22"/>
          <w:szCs w:val="22"/>
          <w:color w:val="auto"/>
        </w:rPr>
        <w:t>” shall mean [***]. Notwithstanding the foregoing, “Antibody” shall not include [***], CAR-T Cell Therapies, or Immunoconjugates.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Opt-In Period</w:t>
      </w:r>
      <w:r>
        <w:rPr>
          <w:rFonts w:ascii="Arial" w:cs="Arial" w:eastAsia="Arial" w:hAnsi="Arial"/>
          <w:sz w:val="19"/>
          <w:szCs w:val="19"/>
          <w:color w:val="auto"/>
        </w:rPr>
        <w:t>” shall have the meaning set forth in Section 5.2(g)(v).</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A&amp;R Agreement Effective Date</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Arbitrable Matter</w:t>
      </w:r>
      <w:r>
        <w:rPr>
          <w:rFonts w:ascii="Arial" w:cs="Arial" w:eastAsia="Arial" w:hAnsi="Arial"/>
          <w:sz w:val="19"/>
          <w:szCs w:val="19"/>
          <w:color w:val="auto"/>
        </w:rPr>
        <w:t>” shall have the meaning set forth in Section 13.2(a).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Arm</w:t>
      </w:r>
      <w:r>
        <w:rPr>
          <w:rFonts w:ascii="Arial" w:cs="Arial" w:eastAsia="Arial" w:hAnsi="Arial"/>
          <w:sz w:val="21"/>
          <w:szCs w:val="21"/>
          <w:color w:val="auto"/>
        </w:rPr>
        <w:t>” shall mean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BCMAxCD3 Program</w:t>
      </w:r>
      <w:r>
        <w:rPr>
          <w:rFonts w:ascii="Arial" w:cs="Arial" w:eastAsia="Arial" w:hAnsi="Arial"/>
          <w:sz w:val="19"/>
          <w:szCs w:val="19"/>
          <w:color w:val="auto"/>
        </w:rPr>
        <w:t>” shall mean the IO Discovery Program with respect to the BCMAxCD3 Program Antibodies.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BCMAxCD3 Program Antibodies</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BCMAxCD3 Program Costs Cap</w:t>
      </w:r>
      <w:r>
        <w:rPr>
          <w:rFonts w:ascii="Arial" w:cs="Arial" w:eastAsia="Arial" w:hAnsi="Arial"/>
          <w:sz w:val="19"/>
          <w:szCs w:val="19"/>
          <w:color w:val="auto"/>
        </w:rPr>
        <w:t>” shall mean Seventy Million Dollars ($70,000,000).</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1"/>
          <w:szCs w:val="21"/>
          <w:color w:val="auto"/>
        </w:rPr>
        <w:t>“Bi-Specific/Multi-Specific” shall mean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Bi-Specific Program</w:t>
      </w:r>
      <w:r>
        <w:rPr>
          <w:rFonts w:ascii="Arial" w:cs="Arial" w:eastAsia="Arial" w:hAnsi="Arial"/>
          <w:sz w:val="19"/>
          <w:szCs w:val="19"/>
          <w:color w:val="auto"/>
        </w:rPr>
        <w:t>” shall mean the BCMAxCD3 Program or the MUC16xCD3 Program, as applicable.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Breakthrough Opt-In Period</w:t>
      </w:r>
      <w:r>
        <w:rPr>
          <w:rFonts w:ascii="Arial" w:cs="Arial" w:eastAsia="Arial" w:hAnsi="Arial"/>
          <w:sz w:val="19"/>
          <w:szCs w:val="19"/>
          <w:color w:val="auto"/>
        </w:rPr>
        <w:t>” shall have the meaning set forth in Section 5.2(d).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Breakthrough Opt-In Report</w:t>
      </w:r>
      <w:r>
        <w:rPr>
          <w:rFonts w:ascii="Arial" w:cs="Arial" w:eastAsia="Arial" w:hAnsi="Arial"/>
          <w:sz w:val="19"/>
          <w:szCs w:val="19"/>
          <w:color w:val="auto"/>
        </w:rPr>
        <w:t>” shall have the meaning set forth in Section 5.2(d).</w:t>
      </w:r>
    </w:p>
    <w:p>
      <w:pPr>
        <w:spacing w:after="0" w:line="233" w:lineRule="exact"/>
        <w:rPr>
          <w:sz w:val="20"/>
          <w:szCs w:val="20"/>
          <w:color w:val="auto"/>
        </w:rPr>
      </w:pPr>
    </w:p>
    <w:p>
      <w:pPr>
        <w:ind w:right="360" w:firstLine="648"/>
        <w:spacing w:after="0" w:line="301" w:lineRule="auto"/>
        <w:rPr>
          <w:sz w:val="20"/>
          <w:szCs w:val="20"/>
          <w:color w:val="auto"/>
        </w:rPr>
      </w:pPr>
      <w:r>
        <w:rPr>
          <w:rFonts w:ascii="Arial" w:cs="Arial" w:eastAsia="Arial" w:hAnsi="Arial"/>
          <w:sz w:val="21"/>
          <w:szCs w:val="21"/>
          <w:color w:val="auto"/>
        </w:rPr>
        <w:t>1.20 “</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a Saturday, a Sunday or a day on which commercial banks in New York, New York, the United States or Paris, France are authorized or required by Law to remain closed.</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CAR-T Cell Therapies</w:t>
      </w:r>
      <w:r>
        <w:rPr>
          <w:rFonts w:ascii="Arial" w:cs="Arial" w:eastAsia="Arial" w:hAnsi="Arial"/>
          <w:sz w:val="19"/>
          <w:szCs w:val="19"/>
          <w:color w:val="auto"/>
        </w:rPr>
        <w:t>” shall mean [***].</w:t>
      </w:r>
    </w:p>
    <w:p>
      <w:pPr>
        <w:spacing w:after="0" w:line="233" w:lineRule="exact"/>
        <w:rPr>
          <w:sz w:val="20"/>
          <w:szCs w:val="20"/>
          <w:color w:val="auto"/>
        </w:rPr>
      </w:pPr>
    </w:p>
    <w:p>
      <w:pPr>
        <w:ind w:right="940" w:firstLine="648"/>
        <w:spacing w:after="0" w:line="276"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Collaboration Purpose</w:t>
      </w:r>
      <w:r>
        <w:rPr>
          <w:rFonts w:ascii="Arial" w:cs="Arial" w:eastAsia="Arial" w:hAnsi="Arial"/>
          <w:sz w:val="22"/>
          <w:szCs w:val="22"/>
          <w:color w:val="auto"/>
        </w:rPr>
        <w:t>” shall have the meaning ascribed to such term in the IO License and Collaboration Agreement.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shall have the meaning set forth in the definition of “Net Sales.”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162" w:name="page163"/>
    <w:bookmarkEnd w:id="162"/>
    <w:p>
      <w:pPr>
        <w:ind w:left="660"/>
        <w:spacing w:after="0"/>
        <w:tabs>
          <w:tab w:leader="none" w:pos="12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Combination Therapy</w:t>
      </w:r>
      <w:r>
        <w:rPr>
          <w:rFonts w:ascii="Arial" w:cs="Arial" w:eastAsia="Arial" w:hAnsi="Arial"/>
          <w:sz w:val="19"/>
          <w:szCs w:val="19"/>
          <w:color w:val="auto"/>
        </w:rPr>
        <w:t>” shall have the meaning set forth in Section 2.9(a).</w:t>
      </w:r>
    </w:p>
    <w:p>
      <w:pPr>
        <w:spacing w:after="0" w:line="23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an IO Discovery Program Target Profile-by-IO Discovery Program Target Profile and IO Discovery Program Antibody-by-IO Discovery Program Antibody basis in view of conditions prevailing at the time, and evaluated taking into account all relevant factors, including the possibility that significant increases in the CPI over the Term will lead to an increase in the cost of external services and a reduction in the number of FTEs funded under the IO Discovery Program. It is anticipated that the level of effort constituting Commercially Reasonable Efforts may change over time. In determining whether a Party has used Commercially Reasonable Efforts, neither the payments made or required to be made hereunder nor the profit sharing anticipated by the IO License and Collaboration Agreement shall be a factor weighed (that is, a Party may not apply lesser resources or efforts in support of an IO Discovery Program Antibody because it must make any payments hereunder or share profits from sales of such IO Discovery Program Antibody if Sanofi exercises its Opt-In Rights thereto). In no event shall Regeneron be required to incur Program Costs with respect to a Bi-Specific Program in excess of the Program Costs Cap applicable to such Bi-Specific Program.</w:t>
      </w:r>
    </w:p>
    <w:p>
      <w:pPr>
        <w:spacing w:after="0" w:line="16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Competing IO Antibody</w:t>
      </w:r>
      <w:r>
        <w:rPr>
          <w:rFonts w:ascii="Arial" w:cs="Arial" w:eastAsia="Arial" w:hAnsi="Arial"/>
          <w:sz w:val="19"/>
          <w:szCs w:val="19"/>
          <w:color w:val="auto"/>
        </w:rPr>
        <w:t>” shall mean an IO Antibody that [***].</w:t>
      </w:r>
    </w:p>
    <w:p>
      <w:pPr>
        <w:spacing w:after="0" w:line="233" w:lineRule="exact"/>
        <w:rPr>
          <w:sz w:val="20"/>
          <w:szCs w:val="20"/>
          <w:color w:val="auto"/>
        </w:rPr>
      </w:pPr>
    </w:p>
    <w:p>
      <w:pPr>
        <w:ind w:right="40" w:firstLine="648"/>
        <w:spacing w:after="0" w:line="276"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u w:val="single" w:color="auto"/>
          <w:color w:val="auto"/>
        </w:rPr>
        <w:t>Competing Third Party Product</w:t>
      </w:r>
      <w:r>
        <w:rPr>
          <w:rFonts w:ascii="Arial" w:cs="Arial" w:eastAsia="Arial" w:hAnsi="Arial"/>
          <w:sz w:val="22"/>
          <w:szCs w:val="22"/>
          <w:color w:val="auto"/>
        </w:rPr>
        <w:t>” shall mean, with respect to an IO Discovery Program Antibody, any Competing IO Antibody owned or controlled by a Third Party that [***].</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have the meaning set forth in Section 9.1.</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Contract Year</w:t>
      </w:r>
      <w:r>
        <w:rPr>
          <w:rFonts w:ascii="Arial" w:cs="Arial" w:eastAsia="Arial" w:hAnsi="Arial"/>
          <w:sz w:val="22"/>
          <w:szCs w:val="22"/>
          <w:color w:val="auto"/>
        </w:rPr>
        <w:t>” shall mean the period beginning on the A&amp;R Agreement Effective Date and ending on December 31, 2019, and each succeeding twelve (12) month period thereafter during the Term (except that the last Contract Year shall end on the effective date of any termination or expiration of this Agreement).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Controlling Party</w:t>
      </w:r>
      <w:r>
        <w:rPr>
          <w:rFonts w:ascii="Arial" w:cs="Arial" w:eastAsia="Arial" w:hAnsi="Arial"/>
          <w:sz w:val="19"/>
          <w:szCs w:val="19"/>
          <w:color w:val="auto"/>
        </w:rPr>
        <w:t>” shall have the meaning set forth in Section 2.9(b).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Costs Cap Increase Option</w:t>
      </w:r>
      <w:r>
        <w:rPr>
          <w:rFonts w:ascii="Arial" w:cs="Arial" w:eastAsia="Arial" w:hAnsi="Arial"/>
          <w:sz w:val="19"/>
          <w:szCs w:val="19"/>
          <w:color w:val="auto"/>
        </w:rPr>
        <w:t>” shall have the meaning set forth in Section 4.1(d)(i).</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Costs Cap Increase Option Payment</w:t>
      </w:r>
      <w:r>
        <w:rPr>
          <w:rFonts w:ascii="Arial" w:cs="Arial" w:eastAsia="Arial" w:hAnsi="Arial"/>
          <w:sz w:val="19"/>
          <w:szCs w:val="19"/>
          <w:color w:val="auto"/>
        </w:rPr>
        <w:t>” shall have the meaning set forth in Section 4.1(d)(i).</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Costs Cap Notice</w:t>
      </w:r>
      <w:r>
        <w:rPr>
          <w:rFonts w:ascii="Arial" w:cs="Arial" w:eastAsia="Arial" w:hAnsi="Arial"/>
          <w:sz w:val="19"/>
          <w:szCs w:val="19"/>
          <w:color w:val="auto"/>
        </w:rPr>
        <w:t>” shall have the meaning set forth in Section 4.1(d)(i).</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Costs Cap Opt-In Trigger</w:t>
      </w:r>
      <w:r>
        <w:rPr>
          <w:rFonts w:ascii="Arial" w:cs="Arial" w:eastAsia="Arial" w:hAnsi="Arial"/>
          <w:sz w:val="19"/>
          <w:szCs w:val="19"/>
          <w:color w:val="auto"/>
        </w:rPr>
        <w:t>” shall have the meaning set forth in Section 5.2(a).</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163" w:name="page164"/>
    <w:bookmarkEnd w:id="163"/>
    <w:p>
      <w:pPr>
        <w:ind w:right="200" w:firstLine="648"/>
        <w:spacing w:after="0" w:line="276"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u w:val="single" w:color="auto"/>
          <w:color w:val="auto"/>
        </w:rPr>
        <w:t>CPI</w:t>
      </w:r>
      <w:r>
        <w:rPr>
          <w:rFonts w:ascii="Arial" w:cs="Arial" w:eastAsia="Arial" w:hAnsi="Arial"/>
          <w:sz w:val="22"/>
          <w:szCs w:val="22"/>
          <w:color w:val="auto"/>
        </w:rPr>
        <w:t>” shall mean the Consumer Price Index – All Urban Consumers published by the United States Department of Labor, Bureau of Statistics (or its successor equivalent index).</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Damages</w:t>
      </w:r>
      <w:r>
        <w:rPr>
          <w:rFonts w:ascii="Arial" w:cs="Arial" w:eastAsia="Arial" w:hAnsi="Arial"/>
          <w:sz w:val="19"/>
          <w:szCs w:val="19"/>
          <w:color w:val="auto"/>
        </w:rPr>
        <w:t>” shall have the meaning set forth in Section 10.1(a).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Default Interest Rate</w:t>
      </w:r>
      <w:r>
        <w:rPr>
          <w:rFonts w:ascii="Arial" w:cs="Arial" w:eastAsia="Arial" w:hAnsi="Arial"/>
          <w:sz w:val="19"/>
          <w:szCs w:val="19"/>
          <w:color w:val="auto"/>
        </w:rPr>
        <w:t>” shall have the meaning set forth in Section 4.6.</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Deferral Notice</w:t>
      </w:r>
      <w:r>
        <w:rPr>
          <w:rFonts w:ascii="Arial" w:cs="Arial" w:eastAsia="Arial" w:hAnsi="Arial"/>
          <w:sz w:val="19"/>
          <w:szCs w:val="19"/>
          <w:color w:val="auto"/>
        </w:rPr>
        <w:t>” shall have the meaning set forth in Section 5.2(c).</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Opt-In Period</w:t>
      </w:r>
      <w:r>
        <w:rPr>
          <w:rFonts w:ascii="Arial" w:cs="Arial" w:eastAsia="Arial" w:hAnsi="Arial"/>
          <w:sz w:val="19"/>
          <w:szCs w:val="19"/>
          <w:color w:val="auto"/>
        </w:rPr>
        <w:t>” shall have the meaning set forth in Section 5.2(c).</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Opt-In Report</w:t>
      </w:r>
      <w:r>
        <w:rPr>
          <w:rFonts w:ascii="Arial" w:cs="Arial" w:eastAsia="Arial" w:hAnsi="Arial"/>
          <w:sz w:val="19"/>
          <w:szCs w:val="19"/>
          <w:color w:val="auto"/>
        </w:rPr>
        <w:t>” shall have the meaning set forth in Section 5.2(c).</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Costs</w:t>
      </w:r>
      <w:r>
        <w:rPr>
          <w:rFonts w:ascii="Arial" w:cs="Arial" w:eastAsia="Arial" w:hAnsi="Arial"/>
          <w:sz w:val="19"/>
          <w:szCs w:val="19"/>
          <w:color w:val="auto"/>
        </w:rPr>
        <w:t>” shall have the meaning set forth in the IO License and Collaboration Agreement.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Disclosing Party</w:t>
      </w:r>
      <w:r>
        <w:rPr>
          <w:rFonts w:ascii="Arial" w:cs="Arial" w:eastAsia="Arial" w:hAnsi="Arial"/>
          <w:sz w:val="19"/>
          <w:szCs w:val="19"/>
          <w:color w:val="auto"/>
        </w:rPr>
        <w:t>” shall have the meaning set forth in Section 9.1.</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Disputed Plan Components</w:t>
      </w:r>
      <w:r>
        <w:rPr>
          <w:rFonts w:ascii="Arial" w:cs="Arial" w:eastAsia="Arial" w:hAnsi="Arial"/>
          <w:sz w:val="19"/>
          <w:szCs w:val="19"/>
          <w:color w:val="auto"/>
        </w:rPr>
        <w:t>” shall have the meaning set forth in Section 5.2(g)(i).</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shall mean United States Dollars.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Evaluable Subject</w:t>
      </w:r>
      <w:r>
        <w:rPr>
          <w:rFonts w:ascii="Arial" w:cs="Arial" w:eastAsia="Arial" w:hAnsi="Arial"/>
          <w:sz w:val="22"/>
          <w:szCs w:val="22"/>
          <w:color w:val="auto"/>
        </w:rPr>
        <w:t>” shall mean a human subject enrolled in a clinical trial of an IO Discovery Program Antibody (excluding any Sanofi Funded Trial) who has (a) been [***] and (b) (i) been [***], and (ii) had [***], in each case ((i) and (ii)), in accordance with the protocol for such clinical trial.</w:t>
      </w:r>
    </w:p>
    <w:p>
      <w:pPr>
        <w:spacing w:after="0" w:line="177"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color w:val="auto"/>
        </w:rPr>
        <w:t>1.47 “</w:t>
      </w:r>
      <w:r>
        <w:rPr>
          <w:rFonts w:ascii="Arial" w:cs="Arial" w:eastAsia="Arial" w:hAnsi="Arial"/>
          <w:sz w:val="21"/>
          <w:szCs w:val="21"/>
          <w:u w:val="single" w:color="auto"/>
          <w:color w:val="auto"/>
        </w:rPr>
        <w:t>Ex-Collaboration Product</w:t>
      </w:r>
      <w:r>
        <w:rPr>
          <w:rFonts w:ascii="Arial" w:cs="Arial" w:eastAsia="Arial" w:hAnsi="Arial"/>
          <w:sz w:val="21"/>
          <w:szCs w:val="21"/>
          <w:color w:val="auto"/>
        </w:rPr>
        <w:t>” shall mean any product that (a) is owned or controlled by Regeneron or Sanofi or any of their respective Affiliates and (b) is not an IO Discovery Program Antibody, an Existing Collaboration Product or an IO Licensed Product; provided, that “Ex-Collaboration Product” shall include (i) any Terminated IO Discovery Program Antibodies, Excluded Candidates under the Original Agreement, and Refused Candidates under this Agreement, (ii) any “Opt-Out Product” or “Terminated Licensed Product,” each as defined in and under the Existing License and Collaboration Agreement, (iii) any “Terminated IO Product” under the IO License and Collaboration Agreement, and (iv) any “Excluded Candidate” or “Refused Candidate” under the mAb Discovery Agreement.</w:t>
      </w:r>
    </w:p>
    <w:p>
      <w:pPr>
        <w:spacing w:after="0" w:line="180"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u w:val="single" w:color="auto"/>
          <w:color w:val="auto"/>
        </w:rPr>
        <w:t>Executive Officers</w:t>
      </w:r>
      <w:r>
        <w:rPr>
          <w:rFonts w:ascii="Arial" w:cs="Arial" w:eastAsia="Arial" w:hAnsi="Arial"/>
          <w:sz w:val="19"/>
          <w:szCs w:val="19"/>
          <w:color w:val="auto"/>
        </w:rPr>
        <w:t>” shall mean the Chief Executive Officer of Regeneron and the Chief Executive Officer of Sanofi Parent or their respective designees with equivalent decision-making authority with respect to matters under this Agreement.</w:t>
      </w:r>
    </w:p>
    <w:p>
      <w:pPr>
        <w:spacing w:after="0" w:line="91" w:lineRule="exact"/>
        <w:rPr>
          <w:sz w:val="20"/>
          <w:szCs w:val="20"/>
          <w:color w:val="auto"/>
        </w:rPr>
      </w:pPr>
    </w:p>
    <w:p>
      <w:pPr>
        <w:ind w:right="580" w:firstLine="648"/>
        <w:spacing w:after="0" w:line="276"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u w:val="single" w:color="auto"/>
          <w:color w:val="auto"/>
        </w:rPr>
        <w:t>Existing Agreements</w:t>
      </w:r>
      <w:r>
        <w:rPr>
          <w:rFonts w:ascii="Arial" w:cs="Arial" w:eastAsia="Arial" w:hAnsi="Arial"/>
          <w:sz w:val="22"/>
          <w:szCs w:val="22"/>
          <w:color w:val="auto"/>
        </w:rPr>
        <w:t>” shall mean the mAb Discovery Agreement and the Existing License and Collaboration Agreement.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40" w:top="632" w:right="319" w:bottom="1440" w:gutter="0" w:footer="0" w:header="0"/>
        </w:sectPr>
      </w:pPr>
    </w:p>
    <w:bookmarkStart w:id="164" w:name="page165"/>
    <w:bookmarkEnd w:id="164"/>
    <w:p>
      <w:pPr>
        <w:ind w:right="660" w:firstLine="648"/>
        <w:spacing w:after="0" w:line="276"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Existing Collaboration Product</w:t>
      </w:r>
      <w:r>
        <w:rPr>
          <w:rFonts w:ascii="Arial" w:cs="Arial" w:eastAsia="Arial" w:hAnsi="Arial"/>
          <w:sz w:val="22"/>
          <w:szCs w:val="22"/>
          <w:color w:val="auto"/>
        </w:rPr>
        <w:t>” shall mean a Licensed Product under the Existing License and Collaboration Agreement.</w:t>
      </w:r>
    </w:p>
    <w:p>
      <w:pPr>
        <w:spacing w:after="0" w:line="161" w:lineRule="exact"/>
        <w:rPr>
          <w:sz w:val="20"/>
          <w:szCs w:val="20"/>
          <w:color w:val="auto"/>
        </w:rPr>
      </w:pPr>
    </w:p>
    <w:p>
      <w:pPr>
        <w:ind w:right="240" w:firstLine="648"/>
        <w:spacing w:after="0" w:line="278" w:lineRule="auto"/>
        <w:rPr>
          <w:sz w:val="20"/>
          <w:szCs w:val="20"/>
          <w:color w:val="auto"/>
        </w:rPr>
      </w:pPr>
      <w:r>
        <w:rPr>
          <w:rFonts w:ascii="Arial" w:cs="Arial" w:eastAsia="Arial" w:hAnsi="Arial"/>
          <w:sz w:val="21"/>
          <w:szCs w:val="21"/>
          <w:color w:val="auto"/>
        </w:rPr>
        <w:t>1.51 “</w:t>
      </w:r>
      <w:r>
        <w:rPr>
          <w:rFonts w:ascii="Arial" w:cs="Arial" w:eastAsia="Arial" w:hAnsi="Arial"/>
          <w:sz w:val="21"/>
          <w:szCs w:val="21"/>
          <w:u w:val="single" w:color="auto"/>
          <w:color w:val="auto"/>
        </w:rPr>
        <w:t>Existing License and Collaboration Agreement</w:t>
      </w:r>
      <w:r>
        <w:rPr>
          <w:rFonts w:ascii="Arial" w:cs="Arial" w:eastAsia="Arial" w:hAnsi="Arial"/>
          <w:sz w:val="21"/>
          <w:szCs w:val="21"/>
          <w:color w:val="auto"/>
        </w:rPr>
        <w:t>” shall mean the Amended and Restated License and Collaboration Agreement, among Sanofi, as successor-in-interest to Aventis Pharmaceuticals Inc., sanofi-aventis amerique du nord and Regeneron, dated as of November 10, 2009, as the same may be amended from time-to-time.</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Expert Panel</w:t>
      </w:r>
      <w:r>
        <w:rPr>
          <w:rFonts w:ascii="Arial" w:cs="Arial" w:eastAsia="Arial" w:hAnsi="Arial"/>
          <w:sz w:val="19"/>
          <w:szCs w:val="19"/>
          <w:color w:val="auto"/>
        </w:rPr>
        <w:t>” shall have the meaning set forth in Section 13.3(b)(i).</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Expert Panel Dispute</w:t>
      </w:r>
      <w:r>
        <w:rPr>
          <w:rFonts w:ascii="Arial" w:cs="Arial" w:eastAsia="Arial" w:hAnsi="Arial"/>
          <w:sz w:val="19"/>
          <w:szCs w:val="19"/>
          <w:color w:val="auto"/>
        </w:rPr>
        <w:t>” shall mean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Extended Opt-In Period</w:t>
      </w:r>
      <w:r>
        <w:rPr>
          <w:rFonts w:ascii="Arial" w:cs="Arial" w:eastAsia="Arial" w:hAnsi="Arial"/>
          <w:sz w:val="19"/>
          <w:szCs w:val="19"/>
          <w:color w:val="auto"/>
        </w:rPr>
        <w:t>” shall have the meaning set forth in Section 5.2(g)(v).</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 agency thereto.</w:t>
      </w:r>
    </w:p>
    <w:p>
      <w:pPr>
        <w:spacing w:after="0" w:line="233" w:lineRule="exact"/>
        <w:rPr>
          <w:sz w:val="20"/>
          <w:szCs w:val="20"/>
          <w:color w:val="auto"/>
        </w:rPr>
      </w:pPr>
    </w:p>
    <w:p>
      <w:pPr>
        <w:ind w:right="460" w:firstLine="648"/>
        <w:spacing w:after="0" w:line="320" w:lineRule="auto"/>
        <w:rPr>
          <w:sz w:val="20"/>
          <w:szCs w:val="20"/>
          <w:color w:val="auto"/>
        </w:rPr>
      </w:pPr>
      <w:r>
        <w:rPr>
          <w:rFonts w:ascii="Arial" w:cs="Arial" w:eastAsia="Arial" w:hAnsi="Arial"/>
          <w:sz w:val="19"/>
          <w:szCs w:val="19"/>
          <w:color w:val="auto"/>
        </w:rPr>
        <w:t>1.56 “</w:t>
      </w:r>
      <w:r>
        <w:rPr>
          <w:rFonts w:ascii="Arial" w:cs="Arial" w:eastAsia="Arial" w:hAnsi="Arial"/>
          <w:sz w:val="19"/>
          <w:szCs w:val="19"/>
          <w:u w:val="single" w:color="auto"/>
          <w:color w:val="auto"/>
        </w:rPr>
        <w:t>FDA Breakthrough Therapy Designation</w:t>
      </w:r>
      <w:r>
        <w:rPr>
          <w:rFonts w:ascii="Arial" w:cs="Arial" w:eastAsia="Arial" w:hAnsi="Arial"/>
          <w:sz w:val="19"/>
          <w:szCs w:val="19"/>
          <w:color w:val="auto"/>
        </w:rPr>
        <w:t>” shall mean, with respect to an IO Discovery Program Antibody, a designation by FDA that such IO Discovery Program Antibody is a Breakthrough Therapy pursuant to Section 506(a) of the FDCA, as amended by Section 902 of the Food and Drug Administration Safety and Innovation Act, Public Law No. 112-144.</w:t>
      </w:r>
    </w:p>
    <w:p>
      <w:pPr>
        <w:spacing w:after="0" w:line="1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shall have the meaning set forth in ARTICLE 11.</w:t>
      </w:r>
    </w:p>
    <w:p>
      <w:pPr>
        <w:spacing w:after="0" w:line="233"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FTE</w:t>
      </w:r>
      <w:r>
        <w:rPr>
          <w:rFonts w:ascii="Arial" w:cs="Arial" w:eastAsia="Arial" w:hAnsi="Arial"/>
          <w:sz w:val="19"/>
          <w:szCs w:val="19"/>
          <w:color w:val="auto"/>
        </w:rPr>
        <w:t>” shall mean a full time equivalent employee (i.e., one fully-committed or multiple partially-committed</w:t>
      </w:r>
    </w:p>
    <w:p>
      <w:pPr>
        <w:spacing w:after="0" w:line="22" w:lineRule="exact"/>
        <w:rPr>
          <w:sz w:val="20"/>
          <w:szCs w:val="20"/>
          <w:color w:val="auto"/>
        </w:rPr>
      </w:pPr>
    </w:p>
    <w:p>
      <w:pPr>
        <w:jc w:val="both"/>
        <w:ind w:right="140"/>
        <w:spacing w:after="0" w:line="269" w:lineRule="auto"/>
        <w:rPr>
          <w:sz w:val="20"/>
          <w:szCs w:val="20"/>
          <w:color w:val="auto"/>
        </w:rPr>
      </w:pPr>
      <w:r>
        <w:rPr>
          <w:rFonts w:ascii="Arial" w:cs="Arial" w:eastAsia="Arial" w:hAnsi="Arial"/>
          <w:sz w:val="21"/>
          <w:szCs w:val="21"/>
          <w:color w:val="auto"/>
        </w:rPr>
        <w:t>employees aggregating to one full-time employee) employed or contracted by Regeneron (or its Affiliate) and assigned to perform specified work under the IO Discovery Program, with such commitment of time and effort to constitute one employee performing such work on a full-time basis, which for purposes hereof shall be [***] hours per year.</w:t>
      </w:r>
    </w:p>
    <w:p>
      <w:pPr>
        <w:spacing w:after="0" w:line="169"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FTE Cost</w:t>
      </w:r>
      <w:r>
        <w:rPr>
          <w:rFonts w:ascii="Arial" w:cs="Arial" w:eastAsia="Arial" w:hAnsi="Arial"/>
          <w:sz w:val="22"/>
          <w:szCs w:val="22"/>
          <w:color w:val="auto"/>
        </w:rPr>
        <w:t>” shall mean, for all activities performed under the IO Discovery Program, the product of (a) the number of FTEs performing activities under the IO Discovery Program and (b) the FTE Rate.</w:t>
      </w:r>
    </w:p>
    <w:p>
      <w:pPr>
        <w:spacing w:after="0" w:line="161" w:lineRule="exact"/>
        <w:rPr>
          <w:sz w:val="20"/>
          <w:szCs w:val="20"/>
          <w:color w:val="auto"/>
        </w:rPr>
      </w:pPr>
    </w:p>
    <w:p>
      <w:pPr>
        <w:ind w:right="180" w:firstLine="648"/>
        <w:spacing w:after="0" w:line="300" w:lineRule="auto"/>
        <w:rPr>
          <w:sz w:val="20"/>
          <w:szCs w:val="20"/>
          <w:color w:val="auto"/>
        </w:rPr>
      </w:pPr>
      <w:r>
        <w:rPr>
          <w:rFonts w:ascii="Arial" w:cs="Arial" w:eastAsia="Arial" w:hAnsi="Arial"/>
          <w:sz w:val="19"/>
          <w:szCs w:val="19"/>
          <w:color w:val="auto"/>
        </w:rPr>
        <w:t>1.60 “</w:t>
      </w:r>
      <w:r>
        <w:rPr>
          <w:rFonts w:ascii="Arial" w:cs="Arial" w:eastAsia="Arial" w:hAnsi="Arial"/>
          <w:sz w:val="19"/>
          <w:szCs w:val="19"/>
          <w:u w:val="single" w:color="auto"/>
          <w:color w:val="auto"/>
        </w:rPr>
        <w:t>FTE Rate</w:t>
      </w:r>
      <w:r>
        <w:rPr>
          <w:rFonts w:ascii="Arial" w:cs="Arial" w:eastAsia="Arial" w:hAnsi="Arial"/>
          <w:sz w:val="19"/>
          <w:szCs w:val="19"/>
          <w:color w:val="auto"/>
        </w:rPr>
        <w:t>” shall mean, with respect to any Contract Year, a rate equal to the Development FTE Rate for such Contract Year under the IO License and Collaboration Agreement, as it may be adjusted from time-to-time in accordance with the terms of the IO License and Collaboration Agreement. If the Parties agree to a separate FTE rate for contractors performing development activities under the IO License and Collaboration Agreement pursuant to Section 1.39 thereof, such FTE rate will be the FTE Rate applicable under this Agreement for contractors performing work under the IO Discovery Program.</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as applicable in the United States.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65" w:name="page166"/>
    <w:bookmarkEnd w:id="165"/>
    <w:p>
      <w:pPr>
        <w:ind w:right="160" w:firstLine="648"/>
        <w:spacing w:after="0" w:line="278" w:lineRule="auto"/>
        <w:rPr>
          <w:sz w:val="20"/>
          <w:szCs w:val="20"/>
          <w:color w:val="auto"/>
        </w:rPr>
      </w:pPr>
      <w:r>
        <w:rPr>
          <w:rFonts w:ascii="Arial" w:cs="Arial" w:eastAsia="Arial" w:hAnsi="Arial"/>
          <w:sz w:val="21"/>
          <w:szCs w:val="21"/>
          <w:color w:val="auto"/>
        </w:rPr>
        <w:t>1.62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HSR Act</w:t>
      </w:r>
      <w:r>
        <w:rPr>
          <w:rFonts w:ascii="Arial" w:cs="Arial" w:eastAsia="Arial" w:hAnsi="Arial"/>
          <w:sz w:val="19"/>
          <w:szCs w:val="19"/>
          <w:color w:val="auto"/>
        </w:rPr>
        <w:t>” means the Hart-Scott-Rodino Antitrust Improvements Act of 1976 (15 U.S.C. §18a), as amended.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HSR Filing</w:t>
      </w:r>
      <w:r>
        <w:rPr>
          <w:rFonts w:ascii="Arial" w:cs="Arial" w:eastAsia="Arial" w:hAnsi="Arial"/>
          <w:sz w:val="19"/>
          <w:szCs w:val="19"/>
          <w:color w:val="auto"/>
        </w:rPr>
        <w:t>” has the meaning set forth in Section 5.6.</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shall mean International Financial Reporting Standards adopted by the International Accounting Standards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Board.</w:t>
      </w:r>
    </w:p>
    <w:p>
      <w:pPr>
        <w:spacing w:after="0" w:line="215" w:lineRule="exact"/>
        <w:rPr>
          <w:sz w:val="20"/>
          <w:szCs w:val="20"/>
          <w:color w:val="auto"/>
        </w:rPr>
      </w:pPr>
    </w:p>
    <w:p>
      <w:pPr>
        <w:ind w:right="740" w:firstLine="648"/>
        <w:spacing w:after="0" w:line="276" w:lineRule="auto"/>
        <w:rPr>
          <w:sz w:val="20"/>
          <w:szCs w:val="20"/>
          <w:color w:val="auto"/>
        </w:rPr>
      </w:pPr>
      <w:r>
        <w:rPr>
          <w:rFonts w:ascii="Arial" w:cs="Arial" w:eastAsia="Arial" w:hAnsi="Arial"/>
          <w:sz w:val="22"/>
          <w:szCs w:val="22"/>
          <w:color w:val="auto"/>
        </w:rPr>
        <w:t>1.66 “</w:t>
      </w:r>
      <w:r>
        <w:rPr>
          <w:rFonts w:ascii="Arial" w:cs="Arial" w:eastAsia="Arial" w:hAnsi="Arial"/>
          <w:sz w:val="22"/>
          <w:szCs w:val="22"/>
          <w:u w:val="single" w:color="auto"/>
          <w:color w:val="auto"/>
        </w:rPr>
        <w:t>Immuno-Oncology Steering Committee</w:t>
      </w:r>
      <w:r>
        <w:rPr>
          <w:rFonts w:ascii="Arial" w:cs="Arial" w:eastAsia="Arial" w:hAnsi="Arial"/>
          <w:sz w:val="22"/>
          <w:szCs w:val="22"/>
          <w:color w:val="auto"/>
        </w:rPr>
        <w:t>” or “</w:t>
      </w:r>
      <w:r>
        <w:rPr>
          <w:rFonts w:ascii="Arial" w:cs="Arial" w:eastAsia="Arial" w:hAnsi="Arial"/>
          <w:sz w:val="22"/>
          <w:szCs w:val="22"/>
          <w:u w:val="single" w:color="auto"/>
          <w:color w:val="auto"/>
        </w:rPr>
        <w:t>IOSC</w:t>
      </w:r>
      <w:r>
        <w:rPr>
          <w:rFonts w:ascii="Arial" w:cs="Arial" w:eastAsia="Arial" w:hAnsi="Arial"/>
          <w:sz w:val="22"/>
          <w:szCs w:val="22"/>
          <w:color w:val="auto"/>
        </w:rPr>
        <w:t>” shall mean the Immuno-Oncology Steering Committee described in Section 3.1(a).</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Immunoconjugate</w:t>
      </w:r>
      <w:r>
        <w:rPr>
          <w:rFonts w:ascii="Arial" w:cs="Arial" w:eastAsia="Arial" w:hAnsi="Arial"/>
          <w:sz w:val="19"/>
          <w:szCs w:val="19"/>
          <w:color w:val="auto"/>
        </w:rPr>
        <w:t>” shall mean [***].</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IND</w:t>
      </w:r>
      <w:r>
        <w:rPr>
          <w:rFonts w:ascii="Arial" w:cs="Arial" w:eastAsia="Arial" w:hAnsi="Arial"/>
          <w:sz w:val="22"/>
          <w:szCs w:val="22"/>
          <w:color w:val="auto"/>
        </w:rPr>
        <w:t>” shall mean, with respect to an IO Antibody, an Investigational New Drug Application filed with the FDA with respect to such IO Antibody pursuant to 21 C.F.R. § 312 before the commencement of clinical trials involving such IO Antibody, including all amendments and supplements to such application, or any equivalent filing with any Regulatory Authority outside the United States.</w:t>
      </w:r>
    </w:p>
    <w:p>
      <w:pPr>
        <w:spacing w:after="0" w:line="185"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1.69 “</w:t>
      </w:r>
      <w:r>
        <w:rPr>
          <w:rFonts w:ascii="Arial" w:cs="Arial" w:eastAsia="Arial" w:hAnsi="Arial"/>
          <w:sz w:val="22"/>
          <w:szCs w:val="22"/>
          <w:u w:val="single" w:color="auto"/>
          <w:color w:val="auto"/>
        </w:rPr>
        <w:t>IND Preparation</w:t>
      </w:r>
      <w:r>
        <w:rPr>
          <w:rFonts w:ascii="Arial" w:cs="Arial" w:eastAsia="Arial" w:hAnsi="Arial"/>
          <w:sz w:val="22"/>
          <w:szCs w:val="22"/>
          <w:color w:val="auto"/>
        </w:rPr>
        <w:t>” shall mean all drug development activities in support of an IO Antibody up to the filing of the IND for the Phase I Clinical Trial, including assay development, sample analysis, preclinical toxicology, preclinical pharmacokinetics and toxicokinetics, pharmacological assessment (if applicable), cell line development and protein chemistry sciences, formulation development, clinical trial protocol development, IND drafting and data compilation, and manufacturing preclinical and clinical supplies.</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have the meaning set forth in Section 10.2(a).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shall have the meaning set forth in Section 10.2(a).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w:t>
      </w:r>
      <w:r>
        <w:rPr>
          <w:rFonts w:ascii="Arial" w:cs="Arial" w:eastAsia="Arial" w:hAnsi="Arial"/>
          <w:sz w:val="19"/>
          <w:szCs w:val="19"/>
          <w:color w:val="auto"/>
        </w:rPr>
        <w:t>” shall mean any disease, state or condition.</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Opt-In Period</w:t>
      </w:r>
      <w:r>
        <w:rPr>
          <w:rFonts w:ascii="Arial" w:cs="Arial" w:eastAsia="Arial" w:hAnsi="Arial"/>
          <w:sz w:val="19"/>
          <w:szCs w:val="19"/>
          <w:color w:val="auto"/>
        </w:rPr>
        <w:t>” shall have the meaning set forth in Section 5.2(b).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Opt-In Report</w:t>
      </w:r>
      <w:r>
        <w:rPr>
          <w:rFonts w:ascii="Arial" w:cs="Arial" w:eastAsia="Arial" w:hAnsi="Arial"/>
          <w:sz w:val="19"/>
          <w:szCs w:val="19"/>
          <w:color w:val="auto"/>
        </w:rPr>
        <w:t>” shall have the meaning set forth in Section 5.2(a).</w:t>
      </w:r>
    </w:p>
    <w:p>
      <w:pPr>
        <w:spacing w:after="0" w:line="233" w:lineRule="exact"/>
        <w:rPr>
          <w:sz w:val="20"/>
          <w:szCs w:val="20"/>
          <w:color w:val="auto"/>
        </w:rPr>
      </w:pPr>
    </w:p>
    <w:p>
      <w:pPr>
        <w:jc w:val="both"/>
        <w:ind w:right="280" w:firstLine="648"/>
        <w:spacing w:after="0" w:line="260" w:lineRule="auto"/>
        <w:rPr>
          <w:sz w:val="20"/>
          <w:szCs w:val="20"/>
          <w:color w:val="auto"/>
        </w:rPr>
      </w:pPr>
      <w:r>
        <w:rPr>
          <w:rFonts w:ascii="Arial" w:cs="Arial" w:eastAsia="Arial" w:hAnsi="Arial"/>
          <w:sz w:val="22"/>
          <w:szCs w:val="22"/>
          <w:color w:val="auto"/>
        </w:rPr>
        <w:t>1.75 “</w:t>
      </w:r>
      <w:r>
        <w:rPr>
          <w:rFonts w:ascii="Arial" w:cs="Arial" w:eastAsia="Arial" w:hAnsi="Arial"/>
          <w:sz w:val="22"/>
          <w:szCs w:val="22"/>
          <w:u w:val="single" w:color="auto"/>
          <w:color w:val="auto"/>
        </w:rPr>
        <w:t>IO Antibody</w:t>
      </w:r>
      <w:r>
        <w:rPr>
          <w:rFonts w:ascii="Arial" w:cs="Arial" w:eastAsia="Arial" w:hAnsi="Arial"/>
          <w:sz w:val="22"/>
          <w:szCs w:val="22"/>
          <w:color w:val="auto"/>
        </w:rPr>
        <w:t>” shall mean an Antibody that has a (a) [***] (for the avoidance of doubt, not including CAR-T Cell Therapies or Immunoconjugates). For clarity, if the binding of [***]. Furthermore, it is generally expected that Antibodies that [***] are not IO Antibodies.</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Development Balance</w:t>
      </w:r>
      <w:r>
        <w:rPr>
          <w:rFonts w:ascii="Arial" w:cs="Arial" w:eastAsia="Arial" w:hAnsi="Arial"/>
          <w:sz w:val="19"/>
          <w:szCs w:val="19"/>
          <w:color w:val="auto"/>
        </w:rPr>
        <w:t>” shall have the meaning set forth in the IO License and Collaboration Agreement.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631" w:right="299" w:bottom="1440" w:gutter="0" w:footer="0" w:header="0"/>
        </w:sectPr>
      </w:pPr>
    </w:p>
    <w:bookmarkStart w:id="166" w:name="page167"/>
    <w:bookmarkEnd w:id="166"/>
    <w:p>
      <w:pPr>
        <w:ind w:firstLine="648"/>
        <w:spacing w:after="0" w:line="287" w:lineRule="auto"/>
        <w:rPr>
          <w:sz w:val="20"/>
          <w:szCs w:val="20"/>
          <w:color w:val="auto"/>
        </w:rPr>
      </w:pPr>
      <w:r>
        <w:rPr>
          <w:rFonts w:ascii="Arial" w:cs="Arial" w:eastAsia="Arial" w:hAnsi="Arial"/>
          <w:sz w:val="19"/>
          <w:szCs w:val="19"/>
          <w:color w:val="auto"/>
        </w:rPr>
        <w:t>1.77 “</w:t>
      </w:r>
      <w:r>
        <w:rPr>
          <w:rFonts w:ascii="Arial" w:cs="Arial" w:eastAsia="Arial" w:hAnsi="Arial"/>
          <w:sz w:val="19"/>
          <w:szCs w:val="19"/>
          <w:u w:val="single" w:color="auto"/>
          <w:color w:val="auto"/>
        </w:rPr>
        <w:t>IO Discovery Program</w:t>
      </w:r>
      <w:r>
        <w:rPr>
          <w:rFonts w:ascii="Arial" w:cs="Arial" w:eastAsia="Arial" w:hAnsi="Arial"/>
          <w:sz w:val="19"/>
          <w:szCs w:val="19"/>
          <w:color w:val="auto"/>
        </w:rPr>
        <w:t>” shall mean all discovery, research and development activities to be performed under this Agreement by or on behalf of (a) Regeneron, including IO Target identification, discovery and validation, IND Preparation and IND filing for IO Discovery Program Antibodies, and IO Licensed Products [***] and clinical trials as part of POC Development for such IO Antibodies, or (b) either Party, with respect to Sanofi Funded Trials. The IO Discovery Program previously included (i) discovery research activities directed at IO Target identification, validation, and selection, and (ii) IO Antibody discovery, identification and selection; and from and after the A&amp;R Agreement Effective Date shall continue to include (iii) IO Discovery Program Antibody characterization and pharmacological assessment (if applicable) and selection, (iv) the production of IO Discovery Program Antibodies for preclinical experiments and clinical studies, (v) IND Preparation and the filing of INDs, (vi) the conduct of non-clinical and clinical tests and studies to achieve POC, including clinical translational studies, Phase I Clinical Trials and Phase II Clinical Trials, and (vii) the development of companion diagnostics for use with IO Discovery Program Antibodies. For clarity, the IO Discovery Program shall include any activities conducted pursuant to Section 5.4 or Section 5.5. Notwithstanding the foregoing, it is understood that the activities described in clauses (i) and (ii) above have been completed with respect to the IO Discovery Program Antibodies as of the A&amp;R Agreement Effective Date, and no additional activities described in clauses (i) and (ii) above are contemplated under this Agreement with respect to the IO Discovery Program Antibodies as of the A&amp;R Agreement Effective Date.</w:t>
      </w:r>
    </w:p>
    <w:p>
      <w:pPr>
        <w:spacing w:after="0" w:line="200" w:lineRule="exact"/>
        <w:rPr>
          <w:sz w:val="20"/>
          <w:szCs w:val="20"/>
          <w:color w:val="auto"/>
        </w:rPr>
      </w:pPr>
    </w:p>
    <w:p>
      <w:pPr>
        <w:spacing w:after="0" w:line="221"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IO Discovery Program Antibody</w:t>
      </w:r>
      <w:r>
        <w:rPr>
          <w:rFonts w:ascii="Arial" w:cs="Arial" w:eastAsia="Arial" w:hAnsi="Arial"/>
          <w:sz w:val="22"/>
          <w:szCs w:val="22"/>
          <w:color w:val="auto"/>
        </w:rPr>
        <w:t>” shall mean any IO Antibody in existence as of the A&amp;R Agreement Effective Date that is, or at any time has been, the subject of development under the IO Discovery Program, and that targets an IO Discovery Program Target Profile. For clarity, from and after such time (if any) as an IO Discovery Program Antibody becomes a Refused Candidate under Section 5.4(a), such IO Discovery Program Antibody will no longer be an IO Discovery Program Antibody from and after the time it becomes a Refused Candidate.</w:t>
      </w:r>
    </w:p>
    <w:p>
      <w:pPr>
        <w:spacing w:after="0" w:line="190"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IO Discovery Program Target Profile</w:t>
      </w:r>
      <w:r>
        <w:rPr>
          <w:rFonts w:ascii="Arial" w:cs="Arial" w:eastAsia="Arial" w:hAnsi="Arial"/>
          <w:sz w:val="22"/>
          <w:szCs w:val="22"/>
          <w:color w:val="auto"/>
        </w:rPr>
        <w:t>” shall mean the IO Target Profile of a Bi-Specific Antibody that targets either (a) solely BCMA and CD3 or (b) solely MUC16 and CD3.</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Indication</w:t>
      </w:r>
      <w:r>
        <w:rPr>
          <w:rFonts w:ascii="Arial" w:cs="Arial" w:eastAsia="Arial" w:hAnsi="Arial"/>
          <w:sz w:val="19"/>
          <w:szCs w:val="19"/>
          <w:color w:val="auto"/>
        </w:rPr>
        <w:t>” shall mean any Indication [***].</w:t>
      </w:r>
    </w:p>
    <w:p>
      <w:pPr>
        <w:spacing w:after="0" w:line="233" w:lineRule="exact"/>
        <w:rPr>
          <w:sz w:val="20"/>
          <w:szCs w:val="20"/>
          <w:color w:val="auto"/>
        </w:rPr>
      </w:pPr>
    </w:p>
    <w:p>
      <w:pPr>
        <w:ind w:right="40" w:firstLine="648"/>
        <w:spacing w:after="0" w:line="358" w:lineRule="auto"/>
        <w:rPr>
          <w:sz w:val="20"/>
          <w:szCs w:val="20"/>
          <w:color w:val="auto"/>
        </w:rPr>
      </w:pPr>
      <w:r>
        <w:rPr>
          <w:rFonts w:ascii="Arial" w:cs="Arial" w:eastAsia="Arial" w:hAnsi="Arial"/>
          <w:sz w:val="19"/>
          <w:szCs w:val="19"/>
          <w:color w:val="auto"/>
        </w:rPr>
        <w:t>1.81 “</w:t>
      </w:r>
      <w:r>
        <w:rPr>
          <w:rFonts w:ascii="Arial" w:cs="Arial" w:eastAsia="Arial" w:hAnsi="Arial"/>
          <w:sz w:val="19"/>
          <w:szCs w:val="19"/>
          <w:u w:val="single" w:color="auto"/>
          <w:color w:val="auto"/>
        </w:rPr>
        <w:t>IO License and Collaboration Agreement</w:t>
      </w:r>
      <w:r>
        <w:rPr>
          <w:rFonts w:ascii="Arial" w:cs="Arial" w:eastAsia="Arial" w:hAnsi="Arial"/>
          <w:sz w:val="19"/>
          <w:szCs w:val="19"/>
          <w:color w:val="auto"/>
        </w:rPr>
        <w:t>” shall mean the Immuno-Oncology License and Collaboration Agreement by and between Sanofi and Regeneron, dated as of the Effective Date, as the same may be amended from time to time.</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IO Licensed Product</w:t>
      </w:r>
      <w:r>
        <w:rPr>
          <w:rFonts w:ascii="Arial" w:cs="Arial" w:eastAsia="Arial" w:hAnsi="Arial"/>
          <w:sz w:val="19"/>
          <w:szCs w:val="19"/>
          <w:color w:val="auto"/>
        </w:rPr>
        <w:t>” shall have the meaning ascribed to such term in the IO License and Collaboration Agreement.</w:t>
      </w:r>
    </w:p>
    <w:p>
      <w:pPr>
        <w:spacing w:after="0" w:line="233"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IO Royalty Product</w:t>
      </w:r>
      <w:r>
        <w:rPr>
          <w:rFonts w:ascii="Arial" w:cs="Arial" w:eastAsia="Arial" w:hAnsi="Arial"/>
          <w:sz w:val="22"/>
          <w:szCs w:val="22"/>
          <w:color w:val="auto"/>
        </w:rPr>
        <w:t>” shall mean (a) any Terminated IO Discovery Program Antibody [***] that solely targets an IO Target Profile listed on Schedule 7 and [***].</w:t>
      </w:r>
    </w:p>
    <w:p>
      <w:pPr>
        <w:spacing w:after="0" w:line="161" w:lineRule="exact"/>
        <w:rPr>
          <w:sz w:val="20"/>
          <w:szCs w:val="20"/>
          <w:color w:val="auto"/>
        </w:rPr>
      </w:pPr>
    </w:p>
    <w:p>
      <w:pPr>
        <w:ind w:right="760" w:firstLine="648"/>
        <w:spacing w:after="0" w:line="276"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IO Target</w:t>
      </w:r>
      <w:r>
        <w:rPr>
          <w:rFonts w:ascii="Arial" w:cs="Arial" w:eastAsia="Arial" w:hAnsi="Arial"/>
          <w:sz w:val="22"/>
          <w:szCs w:val="22"/>
          <w:color w:val="auto"/>
        </w:rPr>
        <w:t>” shall mean any gene, receptor, ligand, or other molecule (a) [***] (i) [***], (ii) [***] and (iii) be modified by direct interaction with an Antibody, or (b) that is targeted by an IO Antibody.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167" w:name="page168"/>
    <w:bookmarkEnd w:id="167"/>
    <w:p>
      <w:pPr>
        <w:ind w:firstLine="648"/>
        <w:spacing w:after="0" w:line="260"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IO Target Profile</w:t>
      </w:r>
      <w:r>
        <w:rPr>
          <w:rFonts w:ascii="Arial" w:cs="Arial" w:eastAsia="Arial" w:hAnsi="Arial"/>
          <w:sz w:val="22"/>
          <w:szCs w:val="22"/>
          <w:color w:val="auto"/>
        </w:rPr>
        <w:t>” shall mean (a) with respect to an IO Antibody that is [***] and (b) with respect to an IO Antibody that is [***]. For clarity, (x) each Target that is targeted by an IO Antibody [***], and (y) the IO Target Profile of an IO Antibody that is [***]</w:t>
      </w:r>
      <w:r>
        <w:rPr>
          <w:rFonts w:ascii="Arial" w:cs="Arial" w:eastAsia="Arial" w:hAnsi="Arial"/>
          <w:sz w:val="22"/>
          <w:szCs w:val="22"/>
          <w:b w:val="1"/>
          <w:bCs w:val="1"/>
          <w:color w:val="auto"/>
        </w:rPr>
        <w:t>.</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Inventions</w:t>
      </w:r>
      <w:r>
        <w:rPr>
          <w:rFonts w:ascii="Arial" w:cs="Arial" w:eastAsia="Arial" w:hAnsi="Arial"/>
          <w:sz w:val="19"/>
          <w:szCs w:val="19"/>
          <w:color w:val="auto"/>
        </w:rPr>
        <w:t>” shall have the meaning set forth in Section 6.1(b).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Rights</w:t>
      </w:r>
      <w:r>
        <w:rPr>
          <w:rFonts w:ascii="Arial" w:cs="Arial" w:eastAsia="Arial" w:hAnsi="Arial"/>
          <w:sz w:val="19"/>
          <w:szCs w:val="19"/>
          <w:color w:val="auto"/>
        </w:rPr>
        <w:t>” shall mean Patent Rights that cover or claim a Joint Invention.</w:t>
      </w:r>
    </w:p>
    <w:p>
      <w:pPr>
        <w:spacing w:after="0" w:line="233" w:lineRule="exact"/>
        <w:rPr>
          <w:sz w:val="20"/>
          <w:szCs w:val="20"/>
          <w:color w:val="auto"/>
        </w:rPr>
      </w:pPr>
    </w:p>
    <w:p>
      <w:pPr>
        <w:ind w:right="180" w:firstLine="648"/>
        <w:spacing w:after="0" w:line="254"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u w:val="single" w:color="auto"/>
          <w:color w:val="auto"/>
        </w:rPr>
        <w:t>Know-How</w:t>
      </w:r>
      <w:r>
        <w:rPr>
          <w:rFonts w:ascii="Arial" w:cs="Arial" w:eastAsia="Arial" w:hAnsi="Arial"/>
          <w:sz w:val="22"/>
          <w:szCs w:val="22"/>
          <w:color w:val="auto"/>
        </w:rPr>
        <w:t>” shall mean, with respect to each Party and its Affiliates, any and all proprietary technical or scientific information, data, test results, knowledge, techniques, discoveries, inventions, specifications, designs, trade secrets, regulatory filings and other information (whether or not patentable or otherwise protected by trade secret Law) and that are not disclosed or claimed by such Party’s Patents or Patent Applications.</w:t>
      </w:r>
    </w:p>
    <w:p>
      <w:pPr>
        <w:spacing w:after="0" w:line="185" w:lineRule="exact"/>
        <w:rPr>
          <w:sz w:val="20"/>
          <w:szCs w:val="20"/>
          <w:color w:val="auto"/>
        </w:rPr>
      </w:pPr>
    </w:p>
    <w:p>
      <w:pPr>
        <w:jc w:val="both"/>
        <w:ind w:right="340" w:firstLine="648"/>
        <w:spacing w:after="0" w:line="278" w:lineRule="auto"/>
        <w:rPr>
          <w:sz w:val="20"/>
          <w:szCs w:val="20"/>
          <w:color w:val="auto"/>
        </w:rPr>
      </w:pPr>
      <w:r>
        <w:rPr>
          <w:rFonts w:ascii="Arial" w:cs="Arial" w:eastAsia="Arial" w:hAnsi="Arial"/>
          <w:sz w:val="21"/>
          <w:szCs w:val="21"/>
          <w:color w:val="auto"/>
        </w:rPr>
        <w:t>1.89 “</w:t>
      </w:r>
      <w:r>
        <w:rPr>
          <w:rFonts w:ascii="Arial" w:cs="Arial" w:eastAsia="Arial" w:hAnsi="Arial"/>
          <w:sz w:val="21"/>
          <w:szCs w:val="21"/>
          <w:u w:val="single" w:color="auto"/>
          <w:color w:val="auto"/>
        </w:rPr>
        <w:t>KRM</w:t>
      </w:r>
      <w:r>
        <w:rPr>
          <w:rFonts w:ascii="Arial" w:cs="Arial" w:eastAsia="Arial" w:hAnsi="Arial"/>
          <w:sz w:val="21"/>
          <w:szCs w:val="21"/>
          <w:color w:val="auto"/>
        </w:rPr>
        <w:t>” shall mean a key results memorandum prepared by or on behalf of a Party that summarizes all key results and findings of an interim or final analysis based on cleaned data of the primary and, if applicable, secondary endpoints from a clinical trial undertaken pursuant to the IO Discovery Program, including any Sanofi Funded Trial.</w:t>
      </w:r>
    </w:p>
    <w:p>
      <w:pPr>
        <w:spacing w:after="0" w:line="16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1.90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or ordinances of any Governmental Authority.</w:t>
      </w:r>
    </w:p>
    <w:p>
      <w:pPr>
        <w:spacing w:after="0" w:line="161"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1.91 “</w:t>
      </w:r>
      <w:r>
        <w:rPr>
          <w:rFonts w:ascii="Arial" w:cs="Arial" w:eastAsia="Arial" w:hAnsi="Arial"/>
          <w:sz w:val="22"/>
          <w:szCs w:val="22"/>
          <w:u w:val="single" w:color="auto"/>
          <w:color w:val="auto"/>
        </w:rPr>
        <w:t>Lead Candidate</w:t>
      </w:r>
      <w:r>
        <w:rPr>
          <w:rFonts w:ascii="Arial" w:cs="Arial" w:eastAsia="Arial" w:hAnsi="Arial"/>
          <w:sz w:val="22"/>
          <w:szCs w:val="22"/>
          <w:color w:val="auto"/>
        </w:rPr>
        <w:t>” shall mean an IO Antibody that the developing Party reasonably believes in good faith is ready to begin IND Preparation.</w:t>
      </w:r>
    </w:p>
    <w:p>
      <w:pPr>
        <w:spacing w:after="0" w:line="161" w:lineRule="exact"/>
        <w:rPr>
          <w:sz w:val="20"/>
          <w:szCs w:val="20"/>
          <w:color w:val="auto"/>
        </w:rPr>
      </w:pPr>
    </w:p>
    <w:p>
      <w:pPr>
        <w:ind w:right="900" w:firstLine="648"/>
        <w:spacing w:after="0" w:line="276"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Licensed Product</w:t>
      </w:r>
      <w:r>
        <w:rPr>
          <w:rFonts w:ascii="Arial" w:cs="Arial" w:eastAsia="Arial" w:hAnsi="Arial"/>
          <w:sz w:val="22"/>
          <w:szCs w:val="22"/>
          <w:color w:val="auto"/>
        </w:rPr>
        <w:t>” shall have the meaning ascribed to such term in the Existing License and Collaboration Agreement.</w:t>
      </w:r>
    </w:p>
    <w:p>
      <w:pPr>
        <w:spacing w:after="0" w:line="161"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mAb Discovery Agreement</w:t>
      </w:r>
      <w:r>
        <w:rPr>
          <w:rFonts w:ascii="Arial" w:cs="Arial" w:eastAsia="Arial" w:hAnsi="Arial"/>
          <w:sz w:val="22"/>
          <w:szCs w:val="22"/>
          <w:color w:val="auto"/>
        </w:rPr>
        <w:t>” shall mean the Amended and Restated Discovery and Preclinical Development Agreement, among Sanofi, as successor-in-interest to Aventis Pharmaceuticals Inc., and Regeneron dated as of November 10, 2009 (as amended from time to time, including in connection with the execution and delivery of the Original Agreement) that has expired as of December 31, 2017.</w:t>
      </w:r>
    </w:p>
    <w:p>
      <w:pPr>
        <w:spacing w:after="0" w:line="18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Manufacturing Cost</w:t>
      </w:r>
      <w:r>
        <w:rPr>
          <w:rFonts w:ascii="Arial" w:cs="Arial" w:eastAsia="Arial" w:hAnsi="Arial"/>
          <w:sz w:val="22"/>
          <w:szCs w:val="22"/>
          <w:color w:val="auto"/>
        </w:rPr>
        <w:t xml:space="preserve">” shall mean the fully burdened cost (without mark-up) of manufacturing (a) IO Discovery Program Antibodies (i) for the IO Discovery Program, or (ii) [***] or (b) [***], in each case ((a) and (b)), as calculated in accordance with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177" w:lineRule="exact"/>
        <w:rPr>
          <w:sz w:val="20"/>
          <w:szCs w:val="20"/>
          <w:color w:val="auto"/>
        </w:rPr>
      </w:pPr>
    </w:p>
    <w:p>
      <w:pPr>
        <w:ind w:right="200" w:firstLine="648"/>
        <w:spacing w:after="0" w:line="260" w:lineRule="auto"/>
        <w:rPr>
          <w:sz w:val="20"/>
          <w:szCs w:val="20"/>
          <w:color w:val="auto"/>
        </w:rPr>
      </w:pPr>
      <w:r>
        <w:rPr>
          <w:rFonts w:ascii="Arial" w:cs="Arial" w:eastAsia="Arial" w:hAnsi="Arial"/>
          <w:sz w:val="22"/>
          <w:szCs w:val="22"/>
          <w:color w:val="auto"/>
        </w:rPr>
        <w:t>1.95 “</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an approval, registration, license or authorization from the applicable Regulatory Authority necessary for the marketing and sale of an IO Antibody in an indication in any country, but excluding any separate pricing approval.</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Maximum Evaluable Subjects</w:t>
      </w:r>
      <w:r>
        <w:rPr>
          <w:rFonts w:ascii="Arial" w:cs="Arial" w:eastAsia="Arial" w:hAnsi="Arial"/>
          <w:sz w:val="19"/>
          <w:szCs w:val="19"/>
          <w:color w:val="auto"/>
        </w:rPr>
        <w:t>” shall have the meaning set forth in Section 5.2(c).</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Mice</w:t>
      </w:r>
      <w:r>
        <w:rPr>
          <w:rFonts w:ascii="Arial" w:cs="Arial" w:eastAsia="Arial" w:hAnsi="Arial"/>
          <w:sz w:val="21"/>
          <w:szCs w:val="21"/>
          <w:color w:val="auto"/>
        </w:rPr>
        <w:t>” or “</w:t>
      </w:r>
      <w:r>
        <w:rPr>
          <w:rFonts w:ascii="Arial" w:cs="Arial" w:eastAsia="Arial" w:hAnsi="Arial"/>
          <w:sz w:val="21"/>
          <w:szCs w:val="21"/>
          <w:u w:val="single" w:color="auto"/>
          <w:color w:val="auto"/>
        </w:rPr>
        <w:t>Mouse</w:t>
      </w:r>
      <w:r>
        <w:rPr>
          <w:rFonts w:ascii="Arial" w:cs="Arial" w:eastAsia="Arial" w:hAnsi="Arial"/>
          <w:sz w:val="21"/>
          <w:szCs w:val="21"/>
          <w:color w:val="auto"/>
        </w:rPr>
        <w:t>” shall mean [***].</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2" w:right="259" w:bottom="1440" w:gutter="0" w:footer="0" w:header="0"/>
        </w:sectPr>
      </w:pPr>
    </w:p>
    <w:bookmarkStart w:id="168" w:name="page169"/>
    <w:bookmarkEnd w:id="168"/>
    <w:p>
      <w:pPr>
        <w:ind w:left="660"/>
        <w:spacing w:after="0"/>
        <w:tabs>
          <w:tab w:leader="none" w:pos="120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Mice-Derived Therapeutic (or Diagnostic) Candidate</w:t>
      </w:r>
      <w:r>
        <w:rPr>
          <w:rFonts w:ascii="Arial" w:cs="Arial" w:eastAsia="Arial" w:hAnsi="Arial"/>
          <w:sz w:val="19"/>
          <w:szCs w:val="19"/>
          <w:color w:val="auto"/>
        </w:rPr>
        <w:t>” or “</w:t>
      </w:r>
      <w:r>
        <w:rPr>
          <w:rFonts w:ascii="Arial" w:cs="Arial" w:eastAsia="Arial" w:hAnsi="Arial"/>
          <w:sz w:val="19"/>
          <w:szCs w:val="19"/>
          <w:u w:val="single" w:color="auto"/>
          <w:color w:val="auto"/>
        </w:rPr>
        <w:t>MTC</w:t>
      </w:r>
      <w:r>
        <w:rPr>
          <w:rFonts w:ascii="Arial" w:cs="Arial" w:eastAsia="Arial" w:hAnsi="Arial"/>
          <w:sz w:val="19"/>
          <w:szCs w:val="19"/>
          <w:color w:val="auto"/>
        </w:rPr>
        <w:t>” shall mean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Modified Clause</w:t>
      </w:r>
      <w:r>
        <w:rPr>
          <w:rFonts w:ascii="Arial" w:cs="Arial" w:eastAsia="Arial" w:hAnsi="Arial"/>
          <w:sz w:val="19"/>
          <w:szCs w:val="19"/>
          <w:color w:val="auto"/>
        </w:rPr>
        <w:t>” shall have the meaning set forth in Section 14.6.</w:t>
      </w:r>
    </w:p>
    <w:p>
      <w:pPr>
        <w:spacing w:after="0" w:line="233" w:lineRule="exact"/>
        <w:rPr>
          <w:sz w:val="20"/>
          <w:szCs w:val="20"/>
          <w:color w:val="auto"/>
        </w:rPr>
      </w:pPr>
    </w:p>
    <w:p>
      <w:pPr>
        <w:ind w:right="820" w:firstLine="648"/>
        <w:spacing w:after="0" w:line="276"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u w:val="single" w:color="auto"/>
          <w:color w:val="auto"/>
        </w:rPr>
        <w:t>MUC16xCD3 Program</w:t>
      </w:r>
      <w:r>
        <w:rPr>
          <w:rFonts w:ascii="Arial" w:cs="Arial" w:eastAsia="Arial" w:hAnsi="Arial"/>
          <w:sz w:val="22"/>
          <w:szCs w:val="22"/>
          <w:color w:val="auto"/>
        </w:rPr>
        <w:t>” shall mean the IO Discovery Program with respect to the MUC16xCD3 Program Antibodies.</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MUC16xCD3 Program Antibodies</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right="340" w:firstLine="648"/>
        <w:spacing w:after="0" w:line="358" w:lineRule="auto"/>
        <w:rPr>
          <w:sz w:val="20"/>
          <w:szCs w:val="20"/>
          <w:color w:val="auto"/>
        </w:rPr>
      </w:pPr>
      <w:r>
        <w:rPr>
          <w:rFonts w:ascii="Arial" w:cs="Arial" w:eastAsia="Arial" w:hAnsi="Arial"/>
          <w:sz w:val="19"/>
          <w:szCs w:val="19"/>
          <w:color w:val="auto"/>
        </w:rPr>
        <w:t>1.102 “</w:t>
      </w:r>
      <w:r>
        <w:rPr>
          <w:rFonts w:ascii="Arial" w:cs="Arial" w:eastAsia="Arial" w:hAnsi="Arial"/>
          <w:sz w:val="19"/>
          <w:szCs w:val="19"/>
          <w:u w:val="single" w:color="auto"/>
          <w:color w:val="auto"/>
        </w:rPr>
        <w:t>MUC16xCD3 Program Costs Cap</w:t>
      </w:r>
      <w:r>
        <w:rPr>
          <w:rFonts w:ascii="Arial" w:cs="Arial" w:eastAsia="Arial" w:hAnsi="Arial"/>
          <w:sz w:val="19"/>
          <w:szCs w:val="19"/>
          <w:color w:val="auto"/>
        </w:rPr>
        <w:t>” shall mean, if Sanofi does not exercise the Costs Cap Increase Option, Fifty Million Dollars ($50,000,000) and, if Sanofi exercises the Costs Cap Increase Option, Seventy Million Dollars ($70,000,000).</w:t>
      </w:r>
    </w:p>
    <w:p>
      <w:pPr>
        <w:spacing w:after="0" w:line="91"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1.103 “</w:t>
      </w:r>
      <w:r>
        <w:rPr>
          <w:rFonts w:ascii="Arial" w:cs="Arial" w:eastAsia="Arial" w:hAnsi="Arial"/>
          <w:sz w:val="22"/>
          <w:szCs w:val="22"/>
          <w:u w:val="single" w:color="auto"/>
          <w:color w:val="auto"/>
        </w:rPr>
        <w:t>Net Sales</w:t>
      </w:r>
      <w:r>
        <w:rPr>
          <w:rFonts w:ascii="Arial" w:cs="Arial" w:eastAsia="Arial" w:hAnsi="Arial"/>
          <w:sz w:val="22"/>
          <w:szCs w:val="22"/>
          <w:color w:val="auto"/>
        </w:rPr>
        <w:t>” shall mean the gross amount invoiced for bona fide arms’ length sales of IO Royalty Products in the Territory by or on behalf of Regeneron, or its Affiliates or sublicensees to Third Parties, less the following deductions, determined in accordance with Regeneron’s Accounting Standards, consistently applied:</w:t>
      </w:r>
    </w:p>
    <w:p>
      <w:pPr>
        <w:spacing w:after="0" w:line="177" w:lineRule="exact"/>
        <w:rPr>
          <w:sz w:val="20"/>
          <w:szCs w:val="20"/>
          <w:color w:val="auto"/>
        </w:rPr>
      </w:pPr>
    </w:p>
    <w:p>
      <w:pPr>
        <w:ind w:left="260" w:right="600" w:firstLine="1288"/>
        <w:spacing w:after="0" w:line="276" w:lineRule="auto"/>
        <w:tabs>
          <w:tab w:leader="none" w:pos="1976"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normal and customary trade, cash, quantity and free-goods allowances granted and taken directly with respect to sales of such IO Royalty Products;</w:t>
      </w:r>
    </w:p>
    <w:p>
      <w:pPr>
        <w:spacing w:after="0" w:line="160" w:lineRule="exact"/>
        <w:rPr>
          <w:rFonts w:ascii="Arial" w:cs="Arial" w:eastAsia="Arial" w:hAnsi="Arial"/>
          <w:sz w:val="22"/>
          <w:szCs w:val="22"/>
          <w:color w:val="auto"/>
        </w:rPr>
      </w:pPr>
    </w:p>
    <w:p>
      <w:pPr>
        <w:ind w:left="1980" w:hanging="432"/>
        <w:spacing w:after="0"/>
        <w:tabs>
          <w:tab w:leader="none" w:pos="19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amounts repaid or credited by reason of defects, rejections, recalls, returns, rebates, allowances and billing</w:t>
      </w:r>
    </w:p>
    <w:p>
      <w:pPr>
        <w:spacing w:after="0" w:line="56"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errors;</w:t>
      </w:r>
    </w:p>
    <w:p>
      <w:pPr>
        <w:spacing w:after="0" w:line="215" w:lineRule="exact"/>
        <w:rPr>
          <w:rFonts w:ascii="Arial" w:cs="Arial" w:eastAsia="Arial" w:hAnsi="Arial"/>
          <w:sz w:val="19"/>
          <w:szCs w:val="19"/>
          <w:color w:val="auto"/>
        </w:rPr>
      </w:pPr>
    </w:p>
    <w:p>
      <w:pPr>
        <w:ind w:left="1960" w:hanging="412"/>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chargebacks and other amounts paid on sale or dispensing of IO Royalty Products;</w:t>
      </w:r>
    </w:p>
    <w:p>
      <w:pPr>
        <w:spacing w:after="0" w:line="233" w:lineRule="exact"/>
        <w:rPr>
          <w:rFonts w:ascii="Arial" w:cs="Arial" w:eastAsia="Arial" w:hAnsi="Arial"/>
          <w:sz w:val="22"/>
          <w:szCs w:val="22"/>
          <w:color w:val="auto"/>
        </w:rPr>
      </w:pPr>
    </w:p>
    <w:p>
      <w:pPr>
        <w:ind w:left="1980" w:hanging="432"/>
        <w:spacing w:after="0"/>
        <w:tabs>
          <w:tab w:leader="none" w:pos="19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Third Party cash rebates and chargebacks related to sales of IO Royalty Products, to the extent allowed;</w:t>
      </w:r>
    </w:p>
    <w:p>
      <w:pPr>
        <w:spacing w:after="0" w:line="267" w:lineRule="exact"/>
        <w:rPr>
          <w:rFonts w:ascii="Arial" w:cs="Arial" w:eastAsia="Arial" w:hAnsi="Arial"/>
          <w:sz w:val="19"/>
          <w:szCs w:val="19"/>
          <w:color w:val="auto"/>
        </w:rPr>
      </w:pPr>
    </w:p>
    <w:p>
      <w:pPr>
        <w:ind w:left="1960" w:hanging="412"/>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retroactive price reductions that are actually allowed or granted;</w:t>
      </w:r>
    </w:p>
    <w:p>
      <w:pPr>
        <w:spacing w:after="0" w:line="233" w:lineRule="exact"/>
        <w:rPr>
          <w:rFonts w:ascii="Arial" w:cs="Arial" w:eastAsia="Arial" w:hAnsi="Arial"/>
          <w:sz w:val="22"/>
          <w:szCs w:val="22"/>
          <w:color w:val="auto"/>
        </w:rPr>
      </w:pPr>
    </w:p>
    <w:p>
      <w:pPr>
        <w:ind w:left="260" w:firstLine="1288"/>
        <w:spacing w:after="0" w:line="358" w:lineRule="auto"/>
        <w:tabs>
          <w:tab w:leader="none" w:pos="1952"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compulsory refunds, credits, rebates and co-pay assistance directly related to the sale of IO Royalty Products, accrued, paid or deducted pursuant to agreements (including managed care agreements) or governmental regulations;</w:t>
      </w:r>
    </w:p>
    <w:p>
      <w:pPr>
        <w:spacing w:after="0" w:line="90" w:lineRule="exact"/>
        <w:rPr>
          <w:rFonts w:ascii="Arial" w:cs="Arial" w:eastAsia="Arial" w:hAnsi="Arial"/>
          <w:sz w:val="19"/>
          <w:szCs w:val="19"/>
          <w:color w:val="auto"/>
        </w:rPr>
      </w:pPr>
    </w:p>
    <w:p>
      <w:pPr>
        <w:ind w:left="260" w:right="140" w:firstLine="1288"/>
        <w:spacing w:after="0" w:line="358" w:lineRule="auto"/>
        <w:tabs>
          <w:tab w:leader="none" w:pos="1988" w:val="left"/>
        </w:tabs>
        <w:numPr>
          <w:ilvl w:val="0"/>
          <w:numId w:val="75"/>
        </w:numPr>
        <w:rPr>
          <w:rFonts w:ascii="Arial" w:cs="Arial" w:eastAsia="Arial" w:hAnsi="Arial"/>
          <w:sz w:val="19"/>
          <w:szCs w:val="19"/>
          <w:color w:val="auto"/>
        </w:rPr>
      </w:pPr>
      <w:r>
        <w:rPr>
          <w:rFonts w:ascii="Arial" w:cs="Arial" w:eastAsia="Arial" w:hAnsi="Arial"/>
          <w:sz w:val="19"/>
          <w:szCs w:val="19"/>
          <w:color w:val="auto"/>
        </w:rPr>
        <w:t>freight, postage, shipment and insurance costs (or wholesaler fees in lieu of those costs) and customs duties incurred in delivering IO Royalty Products that are separately identified on the invoice or other documentation;</w:t>
      </w:r>
    </w:p>
    <w:p>
      <w:pPr>
        <w:spacing w:after="0" w:line="90" w:lineRule="exact"/>
        <w:rPr>
          <w:rFonts w:ascii="Arial" w:cs="Arial" w:eastAsia="Arial" w:hAnsi="Arial"/>
          <w:sz w:val="19"/>
          <w:szCs w:val="19"/>
          <w:color w:val="auto"/>
        </w:rPr>
      </w:pPr>
    </w:p>
    <w:p>
      <w:pPr>
        <w:ind w:left="260" w:right="300" w:firstLine="1288"/>
        <w:spacing w:after="0" w:line="260" w:lineRule="auto"/>
        <w:tabs>
          <w:tab w:leader="none" w:pos="1988" w:val="left"/>
        </w:tabs>
        <w:numPr>
          <w:ilvl w:val="0"/>
          <w:numId w:val="75"/>
        </w:numPr>
        <w:rPr>
          <w:rFonts w:ascii="Arial" w:cs="Arial" w:eastAsia="Arial" w:hAnsi="Arial"/>
          <w:sz w:val="22"/>
          <w:szCs w:val="22"/>
          <w:color w:val="auto"/>
        </w:rPr>
      </w:pPr>
      <w:r>
        <w:rPr>
          <w:rFonts w:ascii="Arial" w:cs="Arial" w:eastAsia="Arial" w:hAnsi="Arial"/>
          <w:sz w:val="22"/>
          <w:szCs w:val="22"/>
          <w:color w:val="auto"/>
        </w:rPr>
        <w:t>sales taxes, excess duties, or other consumption taxes and compulsory payments to Governmental Authorities or other governmental charges imposed on the sale of IO Royalty Products, which are separately identified on the invoice or other documentation;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631" w:right="259" w:bottom="1440" w:gutter="0" w:footer="0" w:header="0"/>
        </w:sectPr>
      </w:pPr>
    </w:p>
    <w:bookmarkStart w:id="169" w:name="page170"/>
    <w:bookmarkEnd w:id="169"/>
    <w:p>
      <w:pPr>
        <w:ind w:left="260" w:right="340" w:firstLine="1288"/>
        <w:spacing w:after="0" w:line="260" w:lineRule="auto"/>
        <w:tabs>
          <w:tab w:leader="none" w:pos="1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agreed by the Parties, any other specifically identifiable costs or charges included in the gross invoiced sales price of such IO Royalty Product falling within categories substantially equivalent to those listed above and ultimately credited to customers or a Governmental Authority or agency thereof; and</w:t>
      </w:r>
    </w:p>
    <w:p>
      <w:pPr>
        <w:spacing w:after="0" w:line="177" w:lineRule="exact"/>
        <w:rPr>
          <w:rFonts w:ascii="Arial" w:cs="Arial" w:eastAsia="Arial" w:hAnsi="Arial"/>
          <w:sz w:val="22"/>
          <w:szCs w:val="22"/>
          <w:color w:val="auto"/>
        </w:rPr>
      </w:pPr>
    </w:p>
    <w:p>
      <w:pPr>
        <w:ind w:left="260" w:right="380" w:firstLine="1288"/>
        <w:spacing w:after="0" w:line="276" w:lineRule="auto"/>
        <w:tabs>
          <w:tab w:leader="none" w:pos="19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invoiced amounts that are written off as uncollectible in accordance with Regeneron’s or its Affiliates’ or sublicensees’ respective accounting principles as applied consistently.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Net Sales in currency other than Dollars shall be translated into Dollars according to the provisions of Section 4.5.</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Sales between the Parties, or between Regeneron and its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an IO Royalty Product for consideration other than cash, such as barter or countertrade, Net Sales shall be calculated on the fair market value of the consideration received as agreed by the Parties. Solely for purposes of calculating Net Sales, if Regeneron or its Affiliates or sublicensee sells such IO Royalty Products in the form of a combination product containing any IO Royalty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21"/>
          <w:szCs w:val="21"/>
          <w:u w:val="single" w:color="auto"/>
          <w:color w:val="auto"/>
        </w:rPr>
        <w:t>Combination Product</w:t>
      </w:r>
      <w:r>
        <w:rPr>
          <w:rFonts w:ascii="Arial" w:cs="Arial" w:eastAsia="Arial" w:hAnsi="Arial"/>
          <w:sz w:val="21"/>
          <w:szCs w:val="21"/>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w:t>
      </w:r>
    </w:p>
    <w:p>
      <w:pPr>
        <w:spacing w:after="0" w:line="18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Non-IO Indication</w:t>
      </w:r>
      <w:r>
        <w:rPr>
          <w:rFonts w:ascii="Arial" w:cs="Arial" w:eastAsia="Arial" w:hAnsi="Arial"/>
          <w:sz w:val="19"/>
          <w:szCs w:val="19"/>
          <w:color w:val="auto"/>
        </w:rPr>
        <w:t>” shall mean any Indication that is [***]. For clarity, any [***] a Non-IO Indication.</w:t>
      </w:r>
    </w:p>
    <w:p>
      <w:pPr>
        <w:spacing w:after="0" w:line="23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Non-Prosecuting Party</w:t>
      </w:r>
      <w:r>
        <w:rPr>
          <w:rFonts w:ascii="Arial" w:cs="Arial" w:eastAsia="Arial" w:hAnsi="Arial"/>
          <w:sz w:val="19"/>
          <w:szCs w:val="19"/>
          <w:color w:val="auto"/>
        </w:rPr>
        <w:t>” shall have the meaning set forth in Section 6.2(c).</w:t>
      </w:r>
    </w:p>
    <w:p>
      <w:pPr>
        <w:spacing w:after="0" w:line="233" w:lineRule="exact"/>
        <w:rPr>
          <w:sz w:val="20"/>
          <w:szCs w:val="20"/>
          <w:color w:val="auto"/>
        </w:rPr>
      </w:pPr>
    </w:p>
    <w:p>
      <w:pPr>
        <w:ind w:right="540" w:firstLine="648"/>
        <w:spacing w:after="0" w:line="276" w:lineRule="auto"/>
        <w:rPr>
          <w:sz w:val="20"/>
          <w:szCs w:val="20"/>
          <w:color w:val="auto"/>
        </w:rPr>
      </w:pPr>
      <w:r>
        <w:rPr>
          <w:rFonts w:ascii="Arial" w:cs="Arial" w:eastAsia="Arial" w:hAnsi="Arial"/>
          <w:sz w:val="22"/>
          <w:szCs w:val="22"/>
          <w:color w:val="auto"/>
        </w:rPr>
        <w:t>1.106 “</w:t>
      </w:r>
      <w:r>
        <w:rPr>
          <w:rFonts w:ascii="Arial" w:cs="Arial" w:eastAsia="Arial" w:hAnsi="Arial"/>
          <w:sz w:val="22"/>
          <w:szCs w:val="22"/>
          <w:u w:val="single" w:color="auto"/>
          <w:color w:val="auto"/>
        </w:rPr>
        <w:t>Opt-In Notice</w:t>
      </w:r>
      <w:r>
        <w:rPr>
          <w:rFonts w:ascii="Arial" w:cs="Arial" w:eastAsia="Arial" w:hAnsi="Arial"/>
          <w:sz w:val="22"/>
          <w:szCs w:val="22"/>
          <w:color w:val="auto"/>
        </w:rPr>
        <w:t xml:space="preserve">” shall mean a written notice, delivered by Sanofi in the form annexed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that Sanofi is exercising its Opt-In Rights with respect to a Product Candidate Family.</w:t>
      </w:r>
    </w:p>
    <w:p>
      <w:pPr>
        <w:spacing w:after="0" w:line="161" w:lineRule="exact"/>
        <w:rPr>
          <w:sz w:val="20"/>
          <w:szCs w:val="20"/>
          <w:color w:val="auto"/>
        </w:rPr>
      </w:pPr>
    </w:p>
    <w:p>
      <w:pPr>
        <w:ind w:right="700" w:firstLine="648"/>
        <w:spacing w:after="0" w:line="276"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Opt-In Period</w:t>
      </w:r>
      <w:r>
        <w:rPr>
          <w:rFonts w:ascii="Arial" w:cs="Arial" w:eastAsia="Arial" w:hAnsi="Arial"/>
          <w:sz w:val="22"/>
          <w:szCs w:val="22"/>
          <w:color w:val="auto"/>
        </w:rPr>
        <w:t>” shall mean Initial Opt-In Period, Deferred Opt-In Period, or Breakthrough Opt-In Period, as applicable.</w:t>
      </w:r>
    </w:p>
    <w:p>
      <w:pPr>
        <w:spacing w:after="0" w:line="161" w:lineRule="exact"/>
        <w:rPr>
          <w:sz w:val="20"/>
          <w:szCs w:val="20"/>
          <w:color w:val="auto"/>
        </w:rPr>
      </w:pPr>
    </w:p>
    <w:p>
      <w:pPr>
        <w:ind w:right="600" w:firstLine="648"/>
        <w:spacing w:after="0" w:line="276" w:lineRule="auto"/>
        <w:rPr>
          <w:sz w:val="20"/>
          <w:szCs w:val="20"/>
          <w:color w:val="auto"/>
        </w:rPr>
      </w:pPr>
      <w:r>
        <w:rPr>
          <w:rFonts w:ascii="Arial" w:cs="Arial" w:eastAsia="Arial" w:hAnsi="Arial"/>
          <w:sz w:val="22"/>
          <w:szCs w:val="22"/>
          <w:color w:val="auto"/>
        </w:rPr>
        <w:t>1.108 “</w:t>
      </w:r>
      <w:r>
        <w:rPr>
          <w:rFonts w:ascii="Arial" w:cs="Arial" w:eastAsia="Arial" w:hAnsi="Arial"/>
          <w:sz w:val="22"/>
          <w:szCs w:val="22"/>
          <w:u w:val="single" w:color="auto"/>
          <w:color w:val="auto"/>
        </w:rPr>
        <w:t>Opt-In Report</w:t>
      </w:r>
      <w:r>
        <w:rPr>
          <w:rFonts w:ascii="Arial" w:cs="Arial" w:eastAsia="Arial" w:hAnsi="Arial"/>
          <w:sz w:val="22"/>
          <w:szCs w:val="22"/>
          <w:color w:val="auto"/>
        </w:rPr>
        <w:t>” shall mean Initial Opt-In Report, Deferred Opt-In Report, or Breakthrough Opt-In Report, as applicable.</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1.109 “</w:t>
      </w:r>
      <w:r>
        <w:rPr>
          <w:rFonts w:ascii="Arial" w:cs="Arial" w:eastAsia="Arial" w:hAnsi="Arial"/>
          <w:sz w:val="22"/>
          <w:szCs w:val="22"/>
          <w:u w:val="single" w:color="auto"/>
          <w:color w:val="auto"/>
        </w:rPr>
        <w:t>Opt-In Rights</w:t>
      </w:r>
      <w:r>
        <w:rPr>
          <w:rFonts w:ascii="Arial" w:cs="Arial" w:eastAsia="Arial" w:hAnsi="Arial"/>
          <w:sz w:val="22"/>
          <w:szCs w:val="22"/>
          <w:color w:val="auto"/>
        </w:rPr>
        <w:t>” shall mean, with respect to a Product Candidate Family, Sanofi’s right to elect, pursuant to Section 5.2(b), Section 5.2(c) or Section 5.2(d) to jointly (with Regeneron) develop and commercialize the members of such Product Candidate Family as IO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31" w:right="25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Licensed Products under the terms and conditions set forth in the IO License and Collaboration Agreement.</w:t>
      </w:r>
    </w:p>
    <w:p>
      <w:pPr>
        <w:spacing w:after="0" w:line="22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Opt-Out</w:t>
      </w:r>
      <w:r>
        <w:rPr>
          <w:rFonts w:ascii="Arial" w:cs="Arial" w:eastAsia="Arial" w:hAnsi="Arial"/>
          <w:sz w:val="19"/>
          <w:szCs w:val="19"/>
          <w:color w:val="auto"/>
        </w:rPr>
        <w:t>” shall have the meaning set forth in Section 5.3.</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Opt-Out Product</w:t>
      </w:r>
      <w:r>
        <w:rPr>
          <w:rFonts w:ascii="Arial" w:cs="Arial" w:eastAsia="Arial" w:hAnsi="Arial"/>
          <w:sz w:val="19"/>
          <w:szCs w:val="19"/>
          <w:color w:val="auto"/>
        </w:rPr>
        <w:t>” shall have the meaning ascribed to such term in the IO License and Collaboration Agreement.</w:t>
      </w:r>
    </w:p>
    <w:p>
      <w:pPr>
        <w:spacing w:after="0" w:line="233" w:lineRule="exact"/>
        <w:rPr>
          <w:sz w:val="20"/>
          <w:szCs w:val="20"/>
          <w:color w:val="auto"/>
        </w:rPr>
      </w:pPr>
    </w:p>
    <w:p>
      <w:pPr>
        <w:ind w:right="420" w:firstLine="648"/>
        <w:spacing w:after="0" w:line="358"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u w:val="single" w:color="auto"/>
          <w:color w:val="auto"/>
        </w:rPr>
        <w:t>Other Product</w:t>
      </w:r>
      <w:r>
        <w:rPr>
          <w:rFonts w:ascii="Arial" w:cs="Arial" w:eastAsia="Arial" w:hAnsi="Arial"/>
          <w:sz w:val="19"/>
          <w:szCs w:val="19"/>
          <w:color w:val="auto"/>
        </w:rPr>
        <w:t>” shall mean (a) any Other Proprietary Product, (b) any product that is owned or controlled by a Third Party (for clarity, whether or not such product is an IO Antibody), and (c) any product that is in the public domain.</w:t>
      </w:r>
    </w:p>
    <w:p>
      <w:pPr>
        <w:spacing w:after="0" w:line="91"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u w:val="single" w:color="auto"/>
          <w:color w:val="auto"/>
        </w:rPr>
        <w:t>Other Proprietary Product</w:t>
      </w:r>
      <w:r>
        <w:rPr>
          <w:rFonts w:ascii="Arial" w:cs="Arial" w:eastAsia="Arial" w:hAnsi="Arial"/>
          <w:sz w:val="22"/>
          <w:szCs w:val="22"/>
          <w:color w:val="auto"/>
        </w:rPr>
        <w:t>” shall mean (a) an IO Licensed Product, (b) an Existing Collaboration Product, and (c) an Ex-Collaboration Product.</w:t>
      </w:r>
    </w:p>
    <w:p>
      <w:pPr>
        <w:spacing w:after="0" w:line="161" w:lineRule="exact"/>
        <w:rPr>
          <w:sz w:val="20"/>
          <w:szCs w:val="20"/>
          <w:color w:val="auto"/>
        </w:rPr>
      </w:pPr>
    </w:p>
    <w:p>
      <w:pPr>
        <w:ind w:right="700" w:firstLine="648"/>
        <w:spacing w:after="0" w:line="276" w:lineRule="auto"/>
        <w:rPr>
          <w:sz w:val="20"/>
          <w:szCs w:val="20"/>
          <w:color w:val="auto"/>
        </w:rPr>
      </w:pPr>
      <w:r>
        <w:rPr>
          <w:rFonts w:ascii="Arial" w:cs="Arial" w:eastAsia="Arial" w:hAnsi="Arial"/>
          <w:sz w:val="22"/>
          <w:szCs w:val="22"/>
          <w:color w:val="auto"/>
        </w:rPr>
        <w:t>1.114 “</w:t>
      </w:r>
      <w:r>
        <w:rPr>
          <w:rFonts w:ascii="Arial" w:cs="Arial" w:eastAsia="Arial" w:hAnsi="Arial"/>
          <w:sz w:val="22"/>
          <w:szCs w:val="22"/>
          <w:u w:val="single" w:color="auto"/>
          <w:color w:val="auto"/>
        </w:rPr>
        <w:t>Other Shared Expenses</w:t>
      </w:r>
      <w:r>
        <w:rPr>
          <w:rFonts w:ascii="Arial" w:cs="Arial" w:eastAsia="Arial" w:hAnsi="Arial"/>
          <w:sz w:val="22"/>
          <w:szCs w:val="22"/>
          <w:color w:val="auto"/>
        </w:rPr>
        <w:t>” shall have the meaning ascribed to such term in the IO License and Collaboration Agreement.</w:t>
      </w:r>
    </w:p>
    <w:p>
      <w:pPr>
        <w:spacing w:after="0" w:line="161" w:lineRule="exact"/>
        <w:rPr>
          <w:sz w:val="20"/>
          <w:szCs w:val="20"/>
          <w:color w:val="auto"/>
        </w:rPr>
      </w:pPr>
    </w:p>
    <w:p>
      <w:pPr>
        <w:jc w:val="both"/>
        <w:ind w:right="340" w:firstLine="648"/>
        <w:spacing w:after="0" w:line="320" w:lineRule="auto"/>
        <w:rPr>
          <w:sz w:val="20"/>
          <w:szCs w:val="20"/>
          <w:color w:val="auto"/>
        </w:rPr>
      </w:pPr>
      <w:r>
        <w:rPr>
          <w:rFonts w:ascii="Arial" w:cs="Arial" w:eastAsia="Arial" w:hAnsi="Arial"/>
          <w:sz w:val="19"/>
          <w:szCs w:val="19"/>
          <w:color w:val="auto"/>
        </w:rPr>
        <w:t>1.115 “</w:t>
      </w:r>
      <w:r>
        <w:rPr>
          <w:rFonts w:ascii="Arial" w:cs="Arial" w:eastAsia="Arial" w:hAnsi="Arial"/>
          <w:sz w:val="19"/>
          <w:szCs w:val="19"/>
          <w:u w:val="single" w:color="auto"/>
          <w:color w:val="auto"/>
        </w:rPr>
        <w:t>Out-of-Pocket Costs</w:t>
      </w:r>
      <w:r>
        <w:rPr>
          <w:rFonts w:ascii="Arial" w:cs="Arial" w:eastAsia="Arial" w:hAnsi="Arial"/>
          <w:sz w:val="19"/>
          <w:szCs w:val="19"/>
          <w:color w:val="auto"/>
        </w:rPr>
        <w:t>” shall mean the costs and expenses paid to Third Parties (or payable to Third Parties and accrued in accordance with Regeneron’s Accounting Standards) by Regeneron (or its Affiliate) directly in connection with the performance of the IO Discovery Program, except as expressly provided under Section 2.10(c) or otherwise in this Agreement.</w:t>
      </w:r>
    </w:p>
    <w:p>
      <w:pPr>
        <w:spacing w:after="0" w:line="1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Application</w:t>
      </w:r>
      <w:r>
        <w:rPr>
          <w:rFonts w:ascii="Arial" w:cs="Arial" w:eastAsia="Arial" w:hAnsi="Arial"/>
          <w:sz w:val="19"/>
          <w:szCs w:val="19"/>
          <w:color w:val="auto"/>
        </w:rPr>
        <w:t>” shall mean any application for a Patent.</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shall mean unexpired Patents and Patent Applications.</w:t>
      </w:r>
    </w:p>
    <w:p>
      <w:pPr>
        <w:spacing w:after="0" w:line="233" w:lineRule="exact"/>
        <w:rPr>
          <w:sz w:val="20"/>
          <w:szCs w:val="20"/>
          <w:color w:val="auto"/>
        </w:rPr>
      </w:pPr>
    </w:p>
    <w:p>
      <w:pPr>
        <w:ind w:right="280" w:firstLine="648"/>
        <w:spacing w:after="0" w:line="254"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Patents</w:t>
      </w:r>
      <w:r>
        <w:rPr>
          <w:rFonts w:ascii="Arial" w:cs="Arial" w:eastAsia="Arial" w:hAnsi="Arial"/>
          <w:sz w:val="22"/>
          <w:szCs w:val="22"/>
          <w:color w:val="auto"/>
        </w:rPr>
        <w:t>” shall mean patents together with all substitutions, divisions, continuations, continuations-in-part, provisionals, converted provisionals and continued prosecution applications, reissues, reexaminations, extensions, registrations, patent term adjustments or extensions, supplemental protection certificates and renewals of any of the foregoing, and all counterparts thereof in any country in the Territory.</w:t>
      </w:r>
    </w:p>
    <w:p>
      <w:pPr>
        <w:spacing w:after="0" w:line="185"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1.120 “</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partnership</w:t>
      </w:r>
      <w:r>
        <w:rPr>
          <w:rFonts w:ascii="Arial" w:cs="Arial" w:eastAsia="Arial" w:hAnsi="Arial"/>
          <w:sz w:val="22"/>
          <w:szCs w:val="22"/>
          <w:i w:val="1"/>
          <w:iCs w:val="1"/>
          <w:color w:val="auto"/>
        </w:rPr>
        <w:t>,</w:t>
      </w:r>
      <w:r>
        <w:rPr>
          <w:rFonts w:ascii="Arial" w:cs="Arial" w:eastAsia="Arial" w:hAnsi="Arial"/>
          <w:sz w:val="22"/>
          <w:szCs w:val="22"/>
          <w:color w:val="auto"/>
        </w:rPr>
        <w:t xml:space="preserve"> joint venture, limited liability company, corporation, firm, trust, unincorporated organization and government or other department or agency thereof.</w:t>
      </w:r>
    </w:p>
    <w:p>
      <w:pPr>
        <w:spacing w:after="0" w:line="161" w:lineRule="exact"/>
        <w:rPr>
          <w:sz w:val="20"/>
          <w:szCs w:val="20"/>
          <w:color w:val="auto"/>
        </w:rPr>
      </w:pPr>
    </w:p>
    <w:p>
      <w:pPr>
        <w:ind w:firstLine="648"/>
        <w:spacing w:after="0" w:line="278" w:lineRule="auto"/>
        <w:rPr>
          <w:sz w:val="20"/>
          <w:szCs w:val="20"/>
          <w:color w:val="auto"/>
        </w:rPr>
      </w:pPr>
      <w:r>
        <w:rPr>
          <w:rFonts w:ascii="Arial" w:cs="Arial" w:eastAsia="Arial" w:hAnsi="Arial"/>
          <w:sz w:val="21"/>
          <w:szCs w:val="21"/>
          <w:color w:val="auto"/>
        </w:rPr>
        <w:t>1.121 “</w:t>
      </w:r>
      <w:r>
        <w:rPr>
          <w:rFonts w:ascii="Arial" w:cs="Arial" w:eastAsia="Arial" w:hAnsi="Arial"/>
          <w:sz w:val="21"/>
          <w:szCs w:val="21"/>
          <w:u w:val="single" w:color="auto"/>
          <w:color w:val="auto"/>
        </w:rPr>
        <w:t>Phase I Clinical Trial</w:t>
      </w:r>
      <w:r>
        <w:rPr>
          <w:rFonts w:ascii="Arial" w:cs="Arial" w:eastAsia="Arial" w:hAnsi="Arial"/>
          <w:sz w:val="21"/>
          <w:szCs w:val="21"/>
          <w:color w:val="auto"/>
        </w:rPr>
        <w:t>” shall mean the first (1st) clinical trial of an IO Discovery Program Antibody following IND Preparation or a clinical trial intended to determine the safety and recommended dosing regimen of an IO Discovery Program Antibody or a combination of an IO Discovery Program Antibody with another product or therapy.</w:t>
      </w:r>
    </w:p>
    <w:p>
      <w:pPr>
        <w:spacing w:after="0" w:line="160" w:lineRule="exact"/>
        <w:rPr>
          <w:sz w:val="20"/>
          <w:szCs w:val="20"/>
          <w:color w:val="auto"/>
        </w:rPr>
      </w:pPr>
    </w:p>
    <w:p>
      <w:pPr>
        <w:jc w:val="both"/>
        <w:ind w:right="460" w:firstLine="648"/>
        <w:spacing w:after="0" w:line="260"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Phase II Clinical Trial</w:t>
      </w:r>
      <w:r>
        <w:rPr>
          <w:rFonts w:ascii="Arial" w:cs="Arial" w:eastAsia="Arial" w:hAnsi="Arial"/>
          <w:sz w:val="22"/>
          <w:szCs w:val="22"/>
          <w:color w:val="auto"/>
        </w:rPr>
        <w:t>” shall mean a clinical trial under the IO Discovery Program that is intended to initially evaluate the effectiveness of an IO Discovery Program Antibody for a particular indication or indications in patients with the disease or indication under</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20"/>
          </w:cols>
          <w:pgMar w:left="240" w:top="631" w:right="339" w:bottom="1440" w:gutter="0" w:footer="0" w:header="0"/>
        </w:sectPr>
      </w:pPr>
    </w:p>
    <w:bookmarkStart w:id="171" w:name="page172"/>
    <w:bookmarkEnd w:id="171"/>
    <w:p>
      <w:pPr>
        <w:ind w:right="180"/>
        <w:spacing w:after="0" w:line="263" w:lineRule="auto"/>
        <w:rPr>
          <w:sz w:val="20"/>
          <w:szCs w:val="20"/>
          <w:color w:val="auto"/>
        </w:rPr>
      </w:pPr>
      <w:r>
        <w:rPr>
          <w:rFonts w:ascii="Arial" w:cs="Arial" w:eastAsia="Arial" w:hAnsi="Arial"/>
          <w:sz w:val="22"/>
          <w:szCs w:val="22"/>
          <w:color w:val="auto"/>
        </w:rPr>
        <w:t>study or would otherwise satisfy the requirements of 21 C.F.R. § 312.21(b) (or its equivalent under the Laws of any country in the Territory other than the United States).</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1.123 “</w:t>
      </w:r>
      <w:r>
        <w:rPr>
          <w:rFonts w:ascii="Arial" w:cs="Arial" w:eastAsia="Arial" w:hAnsi="Arial"/>
          <w:sz w:val="19"/>
          <w:szCs w:val="19"/>
          <w:u w:val="single" w:color="auto"/>
          <w:color w:val="auto"/>
        </w:rPr>
        <w:t>Phase III Clinical Trial</w:t>
      </w:r>
      <w:r>
        <w:rPr>
          <w:rFonts w:ascii="Arial" w:cs="Arial" w:eastAsia="Arial" w:hAnsi="Arial"/>
          <w:sz w:val="19"/>
          <w:szCs w:val="19"/>
          <w:color w:val="auto"/>
        </w:rPr>
        <w:t>” shall mean a clinical trial under the IO Discovery Program that is intended to gather further evidence of safety and efficacy of an IO Discovery Program Antibody as a monotherapy or in combination with one or more other IO Discovery Program Antibodies or other products or therapies (and to help evaluate its overall risks and benefits) for a particular indication or indications and is intended to support Marketing Approval for such IO Discovery Program Antibody for such indication or indications in one or more countries or that would otherwise satisfy the requirements of 21 C.F.R. § 312.21(c) (or its equivalent under the Laws of any country in the Territory other than the United States).</w:t>
      </w:r>
    </w:p>
    <w:p>
      <w:pPr>
        <w:spacing w:after="0" w:line="147"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1.124 “</w:t>
      </w:r>
      <w:r>
        <w:rPr>
          <w:rFonts w:ascii="Arial" w:cs="Arial" w:eastAsia="Arial" w:hAnsi="Arial"/>
          <w:sz w:val="22"/>
          <w:szCs w:val="22"/>
          <w:u w:val="single" w:color="auto"/>
          <w:color w:val="auto"/>
        </w:rPr>
        <w:t>Plans</w:t>
      </w:r>
      <w:r>
        <w:rPr>
          <w:rFonts w:ascii="Arial" w:cs="Arial" w:eastAsia="Arial" w:hAnsi="Arial"/>
          <w:sz w:val="22"/>
          <w:szCs w:val="22"/>
          <w:color w:val="auto"/>
        </w:rPr>
        <w:t>” shall mean, collectively, each POC Development Plan (if any), each Sanofi Funded Trial Plan (if any), or any of them, as the context requires.</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POC</w:t>
      </w:r>
      <w:r>
        <w:rPr>
          <w:rFonts w:ascii="Arial" w:cs="Arial" w:eastAsia="Arial" w:hAnsi="Arial"/>
          <w:sz w:val="19"/>
          <w:szCs w:val="19"/>
          <w:color w:val="auto"/>
        </w:rPr>
        <w:t>” shall mean, with respect to an IO Discovery Program Antibody [***].</w:t>
      </w:r>
    </w:p>
    <w:p>
      <w:pPr>
        <w:spacing w:after="0" w:line="233" w:lineRule="exact"/>
        <w:rPr>
          <w:sz w:val="20"/>
          <w:szCs w:val="20"/>
          <w:color w:val="auto"/>
        </w:rPr>
      </w:pPr>
    </w:p>
    <w:p>
      <w:pPr>
        <w:ind w:right="440" w:firstLine="648"/>
        <w:spacing w:after="0" w:line="260" w:lineRule="auto"/>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POC Development</w:t>
      </w:r>
      <w:r>
        <w:rPr>
          <w:rFonts w:ascii="Arial" w:cs="Arial" w:eastAsia="Arial" w:hAnsi="Arial"/>
          <w:sz w:val="22"/>
          <w:szCs w:val="22"/>
          <w:color w:val="auto"/>
        </w:rPr>
        <w:t>” shall mean any development activities with respect to an IO Discovery Program Antibody targeting a tumor type or hematological malignancy other than Phase III Clinical Trials with respect to such tumor type or hematological malignancy.</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POC Development Plan</w:t>
      </w:r>
      <w:r>
        <w:rPr>
          <w:rFonts w:ascii="Arial" w:cs="Arial" w:eastAsia="Arial" w:hAnsi="Arial"/>
          <w:sz w:val="19"/>
          <w:szCs w:val="19"/>
          <w:color w:val="auto"/>
        </w:rPr>
        <w:t>” shall have the meaning set forth in Section 2.2(a).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POC Opt-In Trigger</w:t>
      </w:r>
      <w:r>
        <w:rPr>
          <w:rFonts w:ascii="Arial" w:cs="Arial" w:eastAsia="Arial" w:hAnsi="Arial"/>
          <w:sz w:val="19"/>
          <w:szCs w:val="19"/>
          <w:color w:val="auto"/>
        </w:rPr>
        <w:t>” shall have the meaning set forth in Section 5.4(a).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Post-POC Development Plan</w:t>
      </w:r>
      <w:r>
        <w:rPr>
          <w:rFonts w:ascii="Arial" w:cs="Arial" w:eastAsia="Arial" w:hAnsi="Arial"/>
          <w:sz w:val="19"/>
          <w:szCs w:val="19"/>
          <w:color w:val="auto"/>
        </w:rPr>
        <w:t>” shall have the meaning set forth in Section 5.2(a).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Post-POC Plan Dispute</w:t>
      </w:r>
      <w:r>
        <w:rPr>
          <w:rFonts w:ascii="Arial" w:cs="Arial" w:eastAsia="Arial" w:hAnsi="Arial"/>
          <w:sz w:val="19"/>
          <w:szCs w:val="19"/>
          <w:color w:val="auto"/>
        </w:rPr>
        <w:t>” shall have the meaning set forth in Section 5.2(g)(iv).</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Post-POC Plan Dispute Notice</w:t>
      </w:r>
      <w:r>
        <w:rPr>
          <w:rFonts w:ascii="Arial" w:cs="Arial" w:eastAsia="Arial" w:hAnsi="Arial"/>
          <w:sz w:val="19"/>
          <w:szCs w:val="19"/>
          <w:color w:val="auto"/>
        </w:rPr>
        <w:t>” shall have the meaning set forth in Section 5.2(g)(iv).</w:t>
      </w:r>
    </w:p>
    <w:p>
      <w:pPr>
        <w:spacing w:after="0" w:line="233" w:lineRule="exact"/>
        <w:rPr>
          <w:sz w:val="20"/>
          <w:szCs w:val="20"/>
          <w:color w:val="auto"/>
        </w:rPr>
      </w:pPr>
    </w:p>
    <w:p>
      <w:pPr>
        <w:ind w:right="600" w:firstLine="648"/>
        <w:spacing w:after="0" w:line="276"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Post-POC Principal Party</w:t>
      </w:r>
      <w:r>
        <w:rPr>
          <w:rFonts w:ascii="Arial" w:cs="Arial" w:eastAsia="Arial" w:hAnsi="Arial"/>
          <w:sz w:val="22"/>
          <w:szCs w:val="22"/>
          <w:color w:val="auto"/>
        </w:rPr>
        <w:t>” shall have the meaning ascribed to such term in the IO License and Collaboration Agreement.</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Pre-Payment</w:t>
      </w:r>
      <w:r>
        <w:rPr>
          <w:rFonts w:ascii="Arial" w:cs="Arial" w:eastAsia="Arial" w:hAnsi="Arial"/>
          <w:sz w:val="19"/>
          <w:szCs w:val="19"/>
          <w:color w:val="auto"/>
        </w:rPr>
        <w:t>” shall have the meaning set forth in Section 4.1(a).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 Candidate Family</w:t>
      </w:r>
      <w:r>
        <w:rPr>
          <w:rFonts w:ascii="Arial" w:cs="Arial" w:eastAsia="Arial" w:hAnsi="Arial"/>
          <w:sz w:val="19"/>
          <w:szCs w:val="19"/>
          <w:color w:val="auto"/>
        </w:rPr>
        <w:t>” shall have the meaning set forth in Section 5.2(a).</w:t>
      </w:r>
    </w:p>
    <w:p>
      <w:pPr>
        <w:spacing w:after="0" w:line="23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u w:val="single" w:color="auto"/>
          <w:color w:val="auto"/>
        </w:rPr>
        <w:t>Product Patent Rights</w:t>
      </w:r>
      <w:r>
        <w:rPr>
          <w:rFonts w:ascii="Arial" w:cs="Arial" w:eastAsia="Arial" w:hAnsi="Arial"/>
          <w:sz w:val="22"/>
          <w:szCs w:val="22"/>
          <w:color w:val="auto"/>
        </w:rPr>
        <w:t>” shall mean any Patent or Patent Application having a specification which supports a claim that may be infringed by making, using, selling, importing or exporting an IO Discovery Program Antibody, including any derivatives, fragments, compositions of matter or uses thereof.</w:t>
      </w:r>
    </w:p>
    <w:p>
      <w:pPr>
        <w:spacing w:after="0" w:line="177" w:lineRule="exact"/>
        <w:rPr>
          <w:sz w:val="20"/>
          <w:szCs w:val="20"/>
          <w:color w:val="auto"/>
        </w:rPr>
      </w:pPr>
    </w:p>
    <w:p>
      <w:pPr>
        <w:jc w:val="both"/>
        <w:ind w:right="440" w:firstLine="648"/>
        <w:spacing w:after="0" w:line="260" w:lineRule="auto"/>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Program Costs</w:t>
      </w:r>
      <w:r>
        <w:rPr>
          <w:rFonts w:ascii="Arial" w:cs="Arial" w:eastAsia="Arial" w:hAnsi="Arial"/>
          <w:sz w:val="22"/>
          <w:szCs w:val="22"/>
          <w:color w:val="auto"/>
        </w:rPr>
        <w:t>” shall mean, with respect to an IO Discovery Program, all Out-of-Pocket Costs, FTE Costs and Manufacturing Costs incurred by Regeneron or its Affiliates directly in connection with the performance of such IO Discovery Program for IO Indications.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72" w:name="page173"/>
    <w:bookmarkEnd w:id="172"/>
    <w:p>
      <w:pPr>
        <w:ind w:right="100" w:firstLine="648"/>
        <w:spacing w:after="0" w:line="276" w:lineRule="auto"/>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Program Costs Cap</w:t>
      </w:r>
      <w:r>
        <w:rPr>
          <w:rFonts w:ascii="Arial" w:cs="Arial" w:eastAsia="Arial" w:hAnsi="Arial"/>
          <w:sz w:val="22"/>
          <w:szCs w:val="22"/>
          <w:color w:val="auto"/>
        </w:rPr>
        <w:t>” shall mean the BCMAxCD3 Program Costs Cap or the MUC16xCD3 Program Costs Cap, as applicable.</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Prosecuting Party</w:t>
      </w:r>
      <w:r>
        <w:rPr>
          <w:rFonts w:ascii="Arial" w:cs="Arial" w:eastAsia="Arial" w:hAnsi="Arial"/>
          <w:sz w:val="19"/>
          <w:szCs w:val="19"/>
          <w:color w:val="auto"/>
        </w:rPr>
        <w:t>” shall have the meaning set forth in Section 6.2(c).</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Publishing Party</w:t>
      </w:r>
      <w:r>
        <w:rPr>
          <w:rFonts w:ascii="Arial" w:cs="Arial" w:eastAsia="Arial" w:hAnsi="Arial"/>
          <w:sz w:val="19"/>
          <w:szCs w:val="19"/>
          <w:color w:val="auto"/>
        </w:rPr>
        <w:t>” shall have the meaning set forth in Section 9.3.</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have the meaning set forth in Section 9.1.</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Refused Candidate</w:t>
      </w:r>
      <w:r>
        <w:rPr>
          <w:rFonts w:ascii="Arial" w:cs="Arial" w:eastAsia="Arial" w:hAnsi="Arial"/>
          <w:sz w:val="19"/>
          <w:szCs w:val="19"/>
          <w:color w:val="auto"/>
        </w:rPr>
        <w:t>” shall have the meaning set forth in Section 5.3(a).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Indemnitees</w:t>
      </w:r>
      <w:r>
        <w:rPr>
          <w:rFonts w:ascii="Arial" w:cs="Arial" w:eastAsia="Arial" w:hAnsi="Arial"/>
          <w:sz w:val="19"/>
          <w:szCs w:val="19"/>
          <w:color w:val="auto"/>
        </w:rPr>
        <w:t>” shall have the meaning set forth in Section 10.1(a).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Intellectual Property</w:t>
      </w:r>
      <w:r>
        <w:rPr>
          <w:rFonts w:ascii="Arial" w:cs="Arial" w:eastAsia="Arial" w:hAnsi="Arial"/>
          <w:sz w:val="19"/>
          <w:szCs w:val="19"/>
          <w:color w:val="auto"/>
        </w:rPr>
        <w:t>” shall mean the Regeneron Patent Rights and the Regeneron Know-How.</w:t>
      </w:r>
    </w:p>
    <w:p>
      <w:pPr>
        <w:spacing w:after="0" w:line="233"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1.145 “</w:t>
      </w:r>
      <w:r>
        <w:rPr>
          <w:rFonts w:ascii="Arial" w:cs="Arial" w:eastAsia="Arial" w:hAnsi="Arial"/>
          <w:sz w:val="22"/>
          <w:szCs w:val="22"/>
          <w:u w:val="single" w:color="auto"/>
          <w:color w:val="auto"/>
        </w:rPr>
        <w:t>Regeneron Know-How</w:t>
      </w:r>
      <w:r>
        <w:rPr>
          <w:rFonts w:ascii="Arial" w:cs="Arial" w:eastAsia="Arial" w:hAnsi="Arial"/>
          <w:sz w:val="22"/>
          <w:szCs w:val="22"/>
          <w:color w:val="auto"/>
        </w:rPr>
        <w:t>” shall mean any and all Know-How as of the Effective Date or thereafter during the Term that is owned by, licensed to or otherwise held by Regeneron or any of its Affiliates (other than Sanofi Know-How and Know-How included in Joint Inventions) with the right to license or sublicense the same necessary or useful for the performance of the IO Discovery Program or any Sanofi Funded Trial.</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u w:val="single" w:color="auto"/>
          <w:color w:val="auto"/>
        </w:rPr>
        <w:t>Regeneron Patent Rights</w:t>
      </w:r>
      <w:r>
        <w:rPr>
          <w:rFonts w:ascii="Arial" w:cs="Arial" w:eastAsia="Arial" w:hAnsi="Arial"/>
          <w:sz w:val="22"/>
          <w:szCs w:val="22"/>
          <w:color w:val="auto"/>
        </w:rPr>
        <w:t>” shall mean those Patent Rights as of the Effective Date or thereafter during the Term that are owned by, licensed to or otherwise held by Regeneron or any of its Affiliates (other than Sanofi Patent Rights and Patent Rights included in Joint Inventions) with the right to license or sublicense the same and which include at least one (1) claim which, absent a license from Regeneron or any of its Affiliates, would be infringed by the research, development, manufacture, commercialization or use of any IO Discovery Program Antibody or IO Discovery Program Target Profile (or any Target contained therein) by Sanofi.</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shall have the meaning set forth in Section 6.1(a).</w:t>
      </w:r>
    </w:p>
    <w:p>
      <w:pPr>
        <w:spacing w:after="0" w:line="233" w:lineRule="exact"/>
        <w:rPr>
          <w:sz w:val="20"/>
          <w:szCs w:val="20"/>
          <w:color w:val="auto"/>
        </w:rPr>
      </w:pPr>
    </w:p>
    <w:p>
      <w:pPr>
        <w:ind w:right="200" w:firstLine="648"/>
        <w:spacing w:after="0" w:line="320" w:lineRule="auto"/>
        <w:rPr>
          <w:sz w:val="20"/>
          <w:szCs w:val="20"/>
          <w:color w:val="auto"/>
        </w:rPr>
      </w:pPr>
      <w:r>
        <w:rPr>
          <w:rFonts w:ascii="Arial" w:cs="Arial" w:eastAsia="Arial" w:hAnsi="Arial"/>
          <w:sz w:val="19"/>
          <w:szCs w:val="19"/>
          <w:color w:val="auto"/>
        </w:rPr>
        <w:t>1.148 “</w:t>
      </w:r>
      <w:r>
        <w:rPr>
          <w:rFonts w:ascii="Arial" w:cs="Arial" w:eastAsia="Arial" w:hAnsi="Arial"/>
          <w:sz w:val="19"/>
          <w:szCs w:val="19"/>
          <w:u w:val="single" w:color="auto"/>
          <w:color w:val="auto"/>
        </w:rPr>
        <w:t>Regeneron Target IP</w:t>
      </w:r>
      <w:r>
        <w:rPr>
          <w:rFonts w:ascii="Arial" w:cs="Arial" w:eastAsia="Arial" w:hAnsi="Arial"/>
          <w:sz w:val="19"/>
          <w:szCs w:val="19"/>
          <w:color w:val="auto"/>
        </w:rPr>
        <w:t>” shall mean only those claims in Patent Rights within the Regeneron Patent Rights in existence on the expiration or termination of this Agreement, that, absent a license from Regeneron or any of its Affiliates, would be infringed by the making, using, developing, selling, or importing by Sanofi of an IO Discovery Program Antibody [***].</w:t>
      </w:r>
    </w:p>
    <w:p>
      <w:pPr>
        <w:spacing w:after="0" w:line="12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1.149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anywhere in the world with authority over the activities conducted under the IO Discovery Program.</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Target Profiles</w:t>
      </w:r>
      <w:r>
        <w:rPr>
          <w:rFonts w:ascii="Arial" w:cs="Arial" w:eastAsia="Arial" w:hAnsi="Arial"/>
          <w:sz w:val="19"/>
          <w:szCs w:val="19"/>
          <w:color w:val="auto"/>
        </w:rPr>
        <w:t xml:space="preserve">” shall mean the IO Target Profiles listed on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Royalty Term</w:t>
      </w:r>
      <w:r>
        <w:rPr>
          <w:rFonts w:ascii="Arial" w:cs="Arial" w:eastAsia="Arial" w:hAnsi="Arial"/>
          <w:sz w:val="19"/>
          <w:szCs w:val="19"/>
          <w:color w:val="auto"/>
        </w:rPr>
        <w:t>” shall have the meaning set forth in Section 4.4.</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632" w:right="259" w:bottom="1440" w:gutter="0" w:footer="0" w:header="0"/>
        </w:sectPr>
      </w:pPr>
    </w:p>
    <w:bookmarkStart w:id="173" w:name="page174"/>
    <w:bookmarkEnd w:id="173"/>
    <w:p>
      <w:pPr>
        <w:ind w:left="660"/>
        <w:spacing w:after="0"/>
        <w:tabs>
          <w:tab w:leader="none" w:pos="1300" w:val="left"/>
        </w:tabs>
        <w:rPr>
          <w:sz w:val="20"/>
          <w:szCs w:val="20"/>
          <w:color w:val="auto"/>
        </w:rPr>
      </w:pPr>
      <w:r>
        <w:rPr>
          <w:rFonts w:ascii="Arial" w:cs="Arial" w:eastAsia="Arial" w:hAnsi="Arial"/>
          <w:sz w:val="22"/>
          <w:szCs w:val="22"/>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w:t>
      </w:r>
      <w:r>
        <w:rPr>
          <w:rFonts w:ascii="Arial" w:cs="Arial" w:eastAsia="Arial" w:hAnsi="Arial"/>
          <w:sz w:val="19"/>
          <w:szCs w:val="19"/>
          <w:color w:val="auto"/>
        </w:rPr>
        <w:t>” shall have the meaning set forth in the preamble.</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Funded Trial</w:t>
      </w:r>
      <w:r>
        <w:rPr>
          <w:rFonts w:ascii="Arial" w:cs="Arial" w:eastAsia="Arial" w:hAnsi="Arial"/>
          <w:sz w:val="19"/>
          <w:szCs w:val="19"/>
          <w:color w:val="auto"/>
        </w:rPr>
        <w:t>” shall have the meaning set forth in Section 2.2(c).</w:t>
      </w:r>
    </w:p>
    <w:p>
      <w:pPr>
        <w:spacing w:after="0" w:line="233" w:lineRule="exact"/>
        <w:rPr>
          <w:sz w:val="20"/>
          <w:szCs w:val="20"/>
          <w:color w:val="auto"/>
        </w:rPr>
      </w:pPr>
    </w:p>
    <w:p>
      <w:pPr>
        <w:ind w:right="480" w:firstLine="648"/>
        <w:spacing w:after="0" w:line="276" w:lineRule="auto"/>
        <w:rPr>
          <w:sz w:val="20"/>
          <w:szCs w:val="20"/>
          <w:color w:val="auto"/>
        </w:rPr>
      </w:pPr>
      <w:r>
        <w:rPr>
          <w:rFonts w:ascii="Arial" w:cs="Arial" w:eastAsia="Arial" w:hAnsi="Arial"/>
          <w:sz w:val="22"/>
          <w:szCs w:val="22"/>
          <w:color w:val="auto"/>
        </w:rPr>
        <w:t>1.154 “</w:t>
      </w:r>
      <w:r>
        <w:rPr>
          <w:rFonts w:ascii="Arial" w:cs="Arial" w:eastAsia="Arial" w:hAnsi="Arial"/>
          <w:sz w:val="22"/>
          <w:szCs w:val="22"/>
          <w:u w:val="single" w:color="auto"/>
          <w:color w:val="auto"/>
        </w:rPr>
        <w:t>Sanofi Funded Trial Costs</w:t>
      </w:r>
      <w:r>
        <w:rPr>
          <w:rFonts w:ascii="Arial" w:cs="Arial" w:eastAsia="Arial" w:hAnsi="Arial"/>
          <w:sz w:val="22"/>
          <w:szCs w:val="22"/>
          <w:color w:val="auto"/>
        </w:rPr>
        <w:t>” shall mean Program Costs incurred by either Party or their respective Affiliates in connection with a Sanofi Funded Trial.</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1.155</w:t>
      </w:r>
      <w:r>
        <w:rPr>
          <w:sz w:val="20"/>
          <w:szCs w:val="20"/>
          <w:color w:val="auto"/>
        </w:rPr>
        <w:tab/>
      </w:r>
      <w:r>
        <w:rPr>
          <w:rFonts w:ascii="Arial" w:cs="Arial" w:eastAsia="Arial" w:hAnsi="Arial"/>
          <w:sz w:val="22"/>
          <w:szCs w:val="22"/>
          <w:u w:val="single" w:color="auto"/>
          <w:color w:val="auto"/>
        </w:rPr>
        <w:t>[***]</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Funded Trial Plan</w:t>
      </w:r>
      <w:r>
        <w:rPr>
          <w:rFonts w:ascii="Arial" w:cs="Arial" w:eastAsia="Arial" w:hAnsi="Arial"/>
          <w:sz w:val="19"/>
          <w:szCs w:val="19"/>
          <w:color w:val="auto"/>
        </w:rPr>
        <w:t>” shall have the meaning set forth in Section 2.2(c).</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Indemnitees</w:t>
      </w:r>
      <w:r>
        <w:rPr>
          <w:rFonts w:ascii="Arial" w:cs="Arial" w:eastAsia="Arial" w:hAnsi="Arial"/>
          <w:sz w:val="19"/>
          <w:szCs w:val="19"/>
          <w:color w:val="auto"/>
        </w:rPr>
        <w:t>” shall have the meaning set forth in Section 10.1(b).</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Intellectual Property</w:t>
      </w:r>
      <w:r>
        <w:rPr>
          <w:rFonts w:ascii="Arial" w:cs="Arial" w:eastAsia="Arial" w:hAnsi="Arial"/>
          <w:sz w:val="19"/>
          <w:szCs w:val="19"/>
          <w:color w:val="auto"/>
        </w:rPr>
        <w:t>” shall mean the Sanofi Patent Rights and the Sanofi Know-How.</w:t>
      </w:r>
    </w:p>
    <w:p>
      <w:pPr>
        <w:spacing w:after="0" w:line="233"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1.159 “</w:t>
      </w:r>
      <w:r>
        <w:rPr>
          <w:rFonts w:ascii="Arial" w:cs="Arial" w:eastAsia="Arial" w:hAnsi="Arial"/>
          <w:sz w:val="19"/>
          <w:szCs w:val="19"/>
          <w:u w:val="single" w:color="auto"/>
          <w:color w:val="auto"/>
        </w:rPr>
        <w:t>Sanofi Know-How</w:t>
      </w:r>
      <w:r>
        <w:rPr>
          <w:rFonts w:ascii="Arial" w:cs="Arial" w:eastAsia="Arial" w:hAnsi="Arial"/>
          <w:sz w:val="19"/>
          <w:szCs w:val="19"/>
          <w:color w:val="auto"/>
        </w:rPr>
        <w:t>” shall mean any and all Know-How as of the A&amp;R Agreement Effective Date or thereafter during the Term that is owned by, licensed to or otherwise held by Sanofi or any of its Affiliates (other than Regeneron Know-How and Know-How included in Joint Inventions) with the right to license or sublicense the same necessary or useful for the research, development, manufacture, commercialization or use of any IO Antibody or any IO Target Profile (or any Target contained therein) that is or was, at any time during the Term, an IO Discovery Program Antibody or IO Discovery Program Target Profile (or any Target contained therein), respectively, including any Refused Candidate that was, at any time during the Term, an IO Discovery Program Antibody or IO Discovery Program Target Profile (or any Target contained therein).</w:t>
      </w:r>
    </w:p>
    <w:p>
      <w:pPr>
        <w:spacing w:after="0" w:line="152"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1.160 “</w:t>
      </w:r>
      <w:r>
        <w:rPr>
          <w:rFonts w:ascii="Arial" w:cs="Arial" w:eastAsia="Arial" w:hAnsi="Arial"/>
          <w:sz w:val="22"/>
          <w:szCs w:val="22"/>
          <w:u w:val="single" w:color="auto"/>
          <w:color w:val="auto"/>
        </w:rPr>
        <w:t>Sanofi Patent Rights</w:t>
      </w:r>
      <w:r>
        <w:rPr>
          <w:rFonts w:ascii="Arial" w:cs="Arial" w:eastAsia="Arial" w:hAnsi="Arial"/>
          <w:sz w:val="22"/>
          <w:szCs w:val="22"/>
          <w:color w:val="auto"/>
        </w:rPr>
        <w:t>” shall mean those Patent Rights as of the A&amp;R Agreement Effective Date or thereafter during the Term that are owned by, licensed to or otherwise held by Sanofi or any of its Affiliates (other than Regeneron Patent Rights and Patent Rights included in Joint Inventions) with the right to license or sublicense the same and which include at least one (1) claim which, absent a license from Sanofi or any of its Affiliates, would be infringed by the research, development, manufacture, commercialization or use by Regeneron of any IO Antibody or any IO Target Profile (or any Target contained therein) that is or was, at any time during the Term, an IO Discovery Program Antibody or IO Discovery Program Target Profile (or any Target contained therein), respectively, including any Refused Candidate that was, at any time during the Term, an IO Discovery Program Antibody.</w:t>
      </w:r>
    </w:p>
    <w:p>
      <w:pPr>
        <w:spacing w:after="0" w:line="191"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Sanofi Proposed Combination Trial</w:t>
      </w:r>
      <w:r>
        <w:rPr>
          <w:rFonts w:ascii="Arial" w:cs="Arial" w:eastAsia="Arial" w:hAnsi="Arial"/>
          <w:sz w:val="22"/>
          <w:szCs w:val="22"/>
          <w:color w:val="auto"/>
        </w:rPr>
        <w:t>” shall mean a clinical trial of a Combination Therapy proposed by Sanofi as a Sanofi Funded Trial pursuant to Section 2.9(b)(i) or Section 2.9(c).</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Sanofi Sole Inventions</w:t>
      </w:r>
      <w:r>
        <w:rPr>
          <w:rFonts w:ascii="Arial" w:cs="Arial" w:eastAsia="Arial" w:hAnsi="Arial"/>
          <w:sz w:val="19"/>
          <w:szCs w:val="19"/>
          <w:color w:val="auto"/>
        </w:rPr>
        <w:t>” shall have the meaning set forth in Section 6.1(a).</w:t>
      </w:r>
    </w:p>
    <w:p>
      <w:pPr>
        <w:spacing w:after="0" w:line="233"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1.163 “</w:t>
      </w:r>
      <w:r>
        <w:rPr>
          <w:rFonts w:ascii="Arial" w:cs="Arial" w:eastAsia="Arial" w:hAnsi="Arial"/>
          <w:sz w:val="22"/>
          <w:szCs w:val="22"/>
          <w:u w:val="single" w:color="auto"/>
          <w:color w:val="auto"/>
        </w:rPr>
        <w:t>Sanofi Target IP</w:t>
      </w:r>
      <w:r>
        <w:rPr>
          <w:rFonts w:ascii="Arial" w:cs="Arial" w:eastAsia="Arial" w:hAnsi="Arial"/>
          <w:sz w:val="22"/>
          <w:szCs w:val="22"/>
          <w:color w:val="auto"/>
        </w:rPr>
        <w:t>” shall mean only those claims in Patent Rights within the Sanofi Patent Rights in existence on the expiration or termination of this Agreement that, absent a license from Sanofi or any of its Affiliates, would be infringed by the making, using, developing,</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631" w:right="279" w:bottom="1440" w:gutter="0" w:footer="0" w:header="0"/>
        </w:sectPr>
      </w:pPr>
    </w:p>
    <w:bookmarkStart w:id="174" w:name="page175"/>
    <w:bookmarkEnd w:id="174"/>
    <w:p>
      <w:pPr>
        <w:ind w:right="680"/>
        <w:spacing w:after="0" w:line="263" w:lineRule="auto"/>
        <w:rPr>
          <w:sz w:val="20"/>
          <w:szCs w:val="20"/>
          <w:color w:val="auto"/>
        </w:rPr>
      </w:pPr>
      <w:r>
        <w:rPr>
          <w:rFonts w:ascii="Arial" w:cs="Arial" w:eastAsia="Arial" w:hAnsi="Arial"/>
          <w:sz w:val="22"/>
          <w:szCs w:val="22"/>
          <w:color w:val="auto"/>
        </w:rPr>
        <w:t>selling, or importing by Regeneron of an IO Antibody that is or was, at any time during the Term, an IO Discovery Program Antibody, that was worked on under the IO Discovery Program [***]. [***].</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Sole Inventions</w:t>
      </w:r>
      <w:r>
        <w:rPr>
          <w:rFonts w:ascii="Arial" w:cs="Arial" w:eastAsia="Arial" w:hAnsi="Arial"/>
          <w:sz w:val="19"/>
          <w:szCs w:val="19"/>
          <w:color w:val="auto"/>
        </w:rPr>
        <w:t>” shall have the meaning set forth in Section 6.1(a).</w:t>
      </w:r>
    </w:p>
    <w:p>
      <w:pPr>
        <w:spacing w:after="0" w:line="233" w:lineRule="exact"/>
        <w:rPr>
          <w:sz w:val="20"/>
          <w:szCs w:val="20"/>
          <w:color w:val="auto"/>
        </w:rPr>
      </w:pPr>
    </w:p>
    <w:p>
      <w:pPr>
        <w:jc w:val="both"/>
        <w:ind w:right="160" w:firstLine="648"/>
        <w:spacing w:after="0" w:line="260" w:lineRule="auto"/>
        <w:rPr>
          <w:sz w:val="20"/>
          <w:szCs w:val="20"/>
          <w:color w:val="auto"/>
        </w:rPr>
      </w:pPr>
      <w:r>
        <w:rPr>
          <w:rFonts w:ascii="Arial" w:cs="Arial" w:eastAsia="Arial" w:hAnsi="Arial"/>
          <w:sz w:val="22"/>
          <w:szCs w:val="22"/>
          <w:color w:val="auto"/>
        </w:rPr>
        <w:t>1.165 “</w:t>
      </w:r>
      <w:r>
        <w:rPr>
          <w:rFonts w:ascii="Arial" w:cs="Arial" w:eastAsia="Arial" w:hAnsi="Arial"/>
          <w:sz w:val="22"/>
          <w:szCs w:val="22"/>
          <w:u w:val="single" w:color="auto"/>
          <w:color w:val="auto"/>
        </w:rPr>
        <w:t>Target</w:t>
      </w:r>
      <w:r>
        <w:rPr>
          <w:rFonts w:ascii="Arial" w:cs="Arial" w:eastAsia="Arial" w:hAnsi="Arial"/>
          <w:sz w:val="22"/>
          <w:szCs w:val="22"/>
          <w:color w:val="auto"/>
        </w:rPr>
        <w:t>” shall mean any gene, receptor, ligand, or other molecule (a) potentially associated with a disease activity, and (b) that potentially has a biological activity that is modified by direct interaction with an Antibody, including any MTC, or (c) to which an Antibody, including any MTC, binds.</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w:t>
      </w:r>
      <w:r>
        <w:rPr>
          <w:rFonts w:ascii="Arial" w:cs="Arial" w:eastAsia="Arial" w:hAnsi="Arial"/>
          <w:sz w:val="19"/>
          <w:szCs w:val="19"/>
          <w:color w:val="auto"/>
        </w:rPr>
        <w:t>” shall have the meaning set forth in Section 12.1.</w:t>
      </w:r>
    </w:p>
    <w:p>
      <w:pPr>
        <w:spacing w:after="0" w:line="233"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Terminated IO Discovery Program</w:t>
      </w:r>
      <w:r>
        <w:rPr>
          <w:rFonts w:ascii="Arial" w:cs="Arial" w:eastAsia="Arial" w:hAnsi="Arial"/>
          <w:sz w:val="22"/>
          <w:szCs w:val="22"/>
          <w:color w:val="auto"/>
        </w:rPr>
        <w:t>” shall mean all discovery, research and development activities performed by or on behalf of either Party or their Affiliates under the Original Agreement with respect to IO Target Profiles (other than the IO Discovery Program Target Profiles) and IO Antibodies (other than the IO Discovery Program Antibodies) as from the Effective Date until immediately prior to the A&amp;R Agreement Effective Date.</w:t>
      </w:r>
    </w:p>
    <w:p>
      <w:pPr>
        <w:spacing w:after="0" w:line="185" w:lineRule="exact"/>
        <w:rPr>
          <w:sz w:val="20"/>
          <w:szCs w:val="20"/>
          <w:color w:val="auto"/>
        </w:rPr>
      </w:pPr>
    </w:p>
    <w:p>
      <w:pPr>
        <w:ind w:right="420" w:firstLine="648"/>
        <w:spacing w:after="0" w:line="254" w:lineRule="auto"/>
        <w:rPr>
          <w:sz w:val="20"/>
          <w:szCs w:val="20"/>
          <w:color w:val="auto"/>
        </w:rPr>
      </w:pPr>
      <w:r>
        <w:rPr>
          <w:rFonts w:ascii="Arial" w:cs="Arial" w:eastAsia="Arial" w:hAnsi="Arial"/>
          <w:sz w:val="22"/>
          <w:szCs w:val="22"/>
          <w:color w:val="auto"/>
        </w:rPr>
        <w:t>1.168 “</w:t>
      </w:r>
      <w:r>
        <w:rPr>
          <w:rFonts w:ascii="Arial" w:cs="Arial" w:eastAsia="Arial" w:hAnsi="Arial"/>
          <w:sz w:val="22"/>
          <w:szCs w:val="22"/>
          <w:u w:val="single" w:color="auto"/>
          <w:color w:val="auto"/>
        </w:rPr>
        <w:t>Terminated IO Discovery Program Antibody</w:t>
      </w:r>
      <w:r>
        <w:rPr>
          <w:rFonts w:ascii="Arial" w:cs="Arial" w:eastAsia="Arial" w:hAnsi="Arial"/>
          <w:sz w:val="22"/>
          <w:szCs w:val="22"/>
          <w:color w:val="auto"/>
        </w:rPr>
        <w:t>” shall mean each of the IO Antibodies that were the subject of discovery, research or development under the Terminated IO Discovery Program, including IO Royalty Products in existence immediately prior to the A&amp;R Agreement Effective Date. For clarity, IO Discovery Program Antibodies are not Terminated IO Discovery Program Antibodies.</w:t>
      </w:r>
    </w:p>
    <w:p>
      <w:pPr>
        <w:spacing w:after="0" w:line="185" w:lineRule="exact"/>
        <w:rPr>
          <w:sz w:val="20"/>
          <w:szCs w:val="20"/>
          <w:color w:val="auto"/>
        </w:rPr>
      </w:pPr>
    </w:p>
    <w:p>
      <w:pPr>
        <w:ind w:firstLine="648"/>
        <w:spacing w:after="0" w:line="278" w:lineRule="auto"/>
        <w:rPr>
          <w:sz w:val="20"/>
          <w:szCs w:val="20"/>
          <w:color w:val="auto"/>
        </w:rPr>
      </w:pPr>
      <w:r>
        <w:rPr>
          <w:rFonts w:ascii="Arial" w:cs="Arial" w:eastAsia="Arial" w:hAnsi="Arial"/>
          <w:sz w:val="21"/>
          <w:szCs w:val="21"/>
          <w:color w:val="auto"/>
        </w:rPr>
        <w:t>1.169 “</w:t>
      </w:r>
      <w:r>
        <w:rPr>
          <w:rFonts w:ascii="Arial" w:cs="Arial" w:eastAsia="Arial" w:hAnsi="Arial"/>
          <w:sz w:val="21"/>
          <w:szCs w:val="21"/>
          <w:u w:val="single" w:color="auto"/>
          <w:color w:val="auto"/>
        </w:rPr>
        <w:t>Terminated IO Discovery Program Costs</w:t>
      </w:r>
      <w:r>
        <w:rPr>
          <w:rFonts w:ascii="Arial" w:cs="Arial" w:eastAsia="Arial" w:hAnsi="Arial"/>
          <w:sz w:val="21"/>
          <w:szCs w:val="21"/>
          <w:color w:val="auto"/>
        </w:rPr>
        <w:t>” shall mean all Out-of-Pocket Costs, FTE Costs and Manufacturing Costs incurred by Regeneron or its Affiliates until immediately prior to the A&amp;R Effective Date directly in connection with the performance of the IO Discovery Program (as defined in the Original Agreement) without regard to this Agreement.</w:t>
      </w:r>
    </w:p>
    <w:p>
      <w:pPr>
        <w:spacing w:after="0" w:line="16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2"/>
          <w:szCs w:val="22"/>
          <w:color w:val="auto"/>
        </w:rPr>
        <w:t>1.170 “</w:t>
      </w:r>
      <w:r>
        <w:rPr>
          <w:rFonts w:ascii="Arial" w:cs="Arial" w:eastAsia="Arial" w:hAnsi="Arial"/>
          <w:sz w:val="22"/>
          <w:szCs w:val="22"/>
          <w:u w:val="single" w:color="auto"/>
          <w:color w:val="auto"/>
        </w:rPr>
        <w:t>Terminated IO Discovery Program Target Profile</w:t>
      </w:r>
      <w:r>
        <w:rPr>
          <w:rFonts w:ascii="Arial" w:cs="Arial" w:eastAsia="Arial" w:hAnsi="Arial"/>
          <w:sz w:val="22"/>
          <w:szCs w:val="22"/>
          <w:color w:val="auto"/>
        </w:rPr>
        <w:t>” shall mean each of the IO Target Profiles that were the subject of discovery, research or development under the Terminated IO Discovery Program. For clarity, IO Discovery Program Target Profiles are not Terminated IO Discovery Program Target Profiles.</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the countries and territories of the world.</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Sanofi or Regeneron or any Affiliate of either Party.</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 Claim</w:t>
      </w:r>
      <w:r>
        <w:rPr>
          <w:rFonts w:ascii="Arial" w:cs="Arial" w:eastAsia="Arial" w:hAnsi="Arial"/>
          <w:sz w:val="19"/>
          <w:szCs w:val="19"/>
          <w:color w:val="auto"/>
        </w:rPr>
        <w:t>” shall have the meaning set forth in Section 10.1(a).</w:t>
      </w:r>
    </w:p>
    <w:p>
      <w:pPr>
        <w:spacing w:after="0" w:line="233" w:lineRule="exact"/>
        <w:rPr>
          <w:sz w:val="20"/>
          <w:szCs w:val="20"/>
          <w:color w:val="auto"/>
        </w:rPr>
      </w:pPr>
    </w:p>
    <w:p>
      <w:pPr>
        <w:ind w:right="80" w:firstLine="648"/>
        <w:spacing w:after="0" w:line="254" w:lineRule="auto"/>
        <w:rPr>
          <w:sz w:val="20"/>
          <w:szCs w:val="20"/>
          <w:color w:val="auto"/>
        </w:rPr>
      </w:pPr>
      <w:r>
        <w:rPr>
          <w:rFonts w:ascii="Arial" w:cs="Arial" w:eastAsia="Arial" w:hAnsi="Arial"/>
          <w:sz w:val="22"/>
          <w:szCs w:val="22"/>
          <w:color w:val="auto"/>
        </w:rPr>
        <w:t>1.174 “</w:t>
      </w:r>
      <w:r>
        <w:rPr>
          <w:rFonts w:ascii="Arial" w:cs="Arial" w:eastAsia="Arial" w:hAnsi="Arial"/>
          <w:sz w:val="22"/>
          <w:szCs w:val="22"/>
          <w:u w:val="single" w:color="auto"/>
          <w:color w:val="auto"/>
        </w:rPr>
        <w:t>Valid Claim</w:t>
      </w:r>
      <w:r>
        <w:rPr>
          <w:rFonts w:ascii="Arial" w:cs="Arial" w:eastAsia="Arial" w:hAnsi="Arial"/>
          <w:sz w:val="22"/>
          <w:szCs w:val="22"/>
          <w:color w:val="auto"/>
        </w:rPr>
        <w:t>” shall mean a claim of an issued and unexpired Patent (including the term of any patent term extension, supplemental protection certificate, renewal or other extension) that has not been held unpatentable, invalid or unenforceable in a final decision of a court or other Government Authority of competent jurisdiction from which no appeal may be or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632" w:right="259" w:bottom="1440" w:gutter="0" w:footer="0" w:header="0"/>
        </w:sectPr>
      </w:pPr>
    </w:p>
    <w:bookmarkStart w:id="175" w:name="page176"/>
    <w:bookmarkEnd w:id="175"/>
    <w:p>
      <w:pPr>
        <w:ind w:right="720"/>
        <w:spacing w:after="0" w:line="263" w:lineRule="auto"/>
        <w:rPr>
          <w:sz w:val="20"/>
          <w:szCs w:val="20"/>
          <w:color w:val="auto"/>
        </w:rPr>
      </w:pPr>
      <w:r>
        <w:rPr>
          <w:rFonts w:ascii="Arial" w:cs="Arial" w:eastAsia="Arial" w:hAnsi="Arial"/>
          <w:sz w:val="22"/>
          <w:szCs w:val="22"/>
          <w:color w:val="auto"/>
        </w:rPr>
        <w:t>has been taken, and that has not been admitted to be invalid or unenforceable through reissue, re-examination, disclaimer or otherwise.</w:t>
      </w:r>
    </w:p>
    <w:p>
      <w:pPr>
        <w:spacing w:after="0" w:line="16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PURPOSE –IO DISCOVERY PROGRAM – POC DEVELOPMENT PLAN</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w:t>
      </w:r>
    </w:p>
    <w:p>
      <w:pPr>
        <w:spacing w:after="0" w:line="233" w:lineRule="exact"/>
        <w:rPr>
          <w:sz w:val="20"/>
          <w:szCs w:val="20"/>
          <w:color w:val="auto"/>
        </w:rPr>
      </w:pPr>
    </w:p>
    <w:p>
      <w:pPr>
        <w:ind w:left="1940" w:hanging="419"/>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Partial Termination - Effect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60" w:firstLine="1679"/>
        <w:spacing w:after="0" w:line="291" w:lineRule="auto"/>
        <w:tabs>
          <w:tab w:leader="none" w:pos="2332" w:val="left"/>
        </w:tabs>
        <w:numPr>
          <w:ilvl w:val="1"/>
          <w:numId w:val="77"/>
        </w:numPr>
        <w:rPr>
          <w:rFonts w:ascii="Arial" w:cs="Arial" w:eastAsia="Arial" w:hAnsi="Arial"/>
          <w:sz w:val="19"/>
          <w:szCs w:val="19"/>
          <w:color w:val="auto"/>
        </w:rPr>
      </w:pPr>
      <w:r>
        <w:rPr>
          <w:rFonts w:ascii="Arial" w:cs="Arial" w:eastAsia="Arial" w:hAnsi="Arial"/>
          <w:sz w:val="19"/>
          <w:szCs w:val="19"/>
          <w:color w:val="auto"/>
        </w:rPr>
        <w:t>Subject to Section 2.1(a)(ii), the Original Agreement is hereby terminated as of the A&amp;R Agreement Effective Date other than with respect to the IO Discovery Program Antibodies, for which the Parties’ rights and obligations shall be amended and restated as set forth hereunder from and after the A&amp;R Agreement Effective Date. For clarity, this Agreement is a continuation of the Original Agreement (amended and restated) solely with respect to each of the IO Discovery Program Antibodies and each of the IO Discovery Program Target Profiles, it being understood that from and after the A&amp;R Agreement Effective Date, except as otherwise provided herein, the terms hereof rather than the terms of the Original Agreement shall control with respect thereto. The Parties acknowledge and agree that any products that would have been IO Royalty Products under the Original Agreement shall not be considered IO Royalty Products under the Original Agreement but instead will be IO Royalty Products under this Agreement.</w:t>
      </w:r>
    </w:p>
    <w:p>
      <w:pPr>
        <w:spacing w:after="0" w:line="154" w:lineRule="exact"/>
        <w:rPr>
          <w:rFonts w:ascii="Arial" w:cs="Arial" w:eastAsia="Arial" w:hAnsi="Arial"/>
          <w:sz w:val="19"/>
          <w:szCs w:val="19"/>
          <w:color w:val="auto"/>
        </w:rPr>
      </w:pPr>
    </w:p>
    <w:p>
      <w:pPr>
        <w:ind w:left="260" w:right="760" w:firstLine="1679"/>
        <w:spacing w:after="0" w:line="276" w:lineRule="auto"/>
        <w:tabs>
          <w:tab w:leader="none" w:pos="23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Section 12.7 of the Original Agreement shall apply with respect to the terminated aspects of the Original Agreement; provided that:</w:t>
      </w:r>
    </w:p>
    <w:p>
      <w:pPr>
        <w:spacing w:after="0" w:line="160" w:lineRule="exact"/>
        <w:rPr>
          <w:rFonts w:ascii="Arial" w:cs="Arial" w:eastAsia="Arial" w:hAnsi="Arial"/>
          <w:sz w:val="22"/>
          <w:szCs w:val="22"/>
          <w:color w:val="auto"/>
        </w:rPr>
      </w:pPr>
    </w:p>
    <w:p>
      <w:pPr>
        <w:ind w:left="3240" w:right="240" w:hanging="639"/>
        <w:spacing w:after="0" w:line="250" w:lineRule="auto"/>
        <w:tabs>
          <w:tab w:leader="none" w:pos="3240" w:val="left"/>
        </w:tabs>
        <w:numPr>
          <w:ilvl w:val="2"/>
          <w:numId w:val="77"/>
        </w:numPr>
        <w:rPr>
          <w:rFonts w:ascii="Arial" w:cs="Arial" w:eastAsia="Arial" w:hAnsi="Arial"/>
          <w:sz w:val="22"/>
          <w:szCs w:val="22"/>
          <w:color w:val="auto"/>
        </w:rPr>
      </w:pPr>
      <w:r>
        <w:rPr>
          <w:rFonts w:ascii="Arial" w:cs="Arial" w:eastAsia="Arial" w:hAnsi="Arial"/>
          <w:sz w:val="22"/>
          <w:szCs w:val="22"/>
          <w:color w:val="auto"/>
        </w:rPr>
        <w:t>Sanofi shall not have a surviving obligation under the Original Agreement with respect to Terminated IO Discovery Program Costs incurred by Regeneron under the Terminated IO Discovery Program from October 1, 2018 through December 31, 2018, which costs shall be reimbursed in accordance with Section 4.1;</w:t>
      </w:r>
    </w:p>
    <w:p>
      <w:pPr>
        <w:spacing w:after="0" w:line="188" w:lineRule="exact"/>
        <w:rPr>
          <w:rFonts w:ascii="Arial" w:cs="Arial" w:eastAsia="Arial" w:hAnsi="Arial"/>
          <w:sz w:val="22"/>
          <w:szCs w:val="22"/>
          <w:color w:val="auto"/>
        </w:rPr>
      </w:pPr>
    </w:p>
    <w:p>
      <w:pPr>
        <w:ind w:left="3240" w:right="80" w:hanging="639"/>
        <w:spacing w:after="0" w:line="250" w:lineRule="auto"/>
        <w:tabs>
          <w:tab w:leader="none" w:pos="3240"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the licenses granted to Sanofi under the Original Agreement (other than in Section 2.8 thereof) are hereby terminated as of the A&amp;R Agreement Effective Date and the licenses granted by Sanofi under Section 2.7 of the Original Agreement are revised to read as set forth in Section 2.6 of this Agreement;</w:t>
      </w:r>
    </w:p>
    <w:p>
      <w:pPr>
        <w:spacing w:after="0" w:line="188" w:lineRule="exact"/>
        <w:rPr>
          <w:rFonts w:ascii="Arial" w:cs="Arial" w:eastAsia="Arial" w:hAnsi="Arial"/>
          <w:sz w:val="22"/>
          <w:szCs w:val="22"/>
          <w:color w:val="auto"/>
        </w:rPr>
      </w:pPr>
    </w:p>
    <w:p>
      <w:pPr>
        <w:ind w:left="3240" w:right="200" w:hanging="639"/>
        <w:spacing w:after="0" w:line="302" w:lineRule="auto"/>
        <w:tabs>
          <w:tab w:leader="none" w:pos="3240" w:val="left"/>
        </w:tabs>
        <w:numPr>
          <w:ilvl w:val="2"/>
          <w:numId w:val="77"/>
        </w:numPr>
        <w:rPr>
          <w:rFonts w:ascii="Arial" w:cs="Arial" w:eastAsia="Arial" w:hAnsi="Arial"/>
          <w:sz w:val="19"/>
          <w:szCs w:val="19"/>
          <w:color w:val="auto"/>
        </w:rPr>
      </w:pPr>
      <w:r>
        <w:rPr>
          <w:rFonts w:ascii="Arial" w:cs="Arial" w:eastAsia="Arial" w:hAnsi="Arial"/>
          <w:sz w:val="19"/>
          <w:szCs w:val="19"/>
          <w:color w:val="auto"/>
        </w:rPr>
        <w:t>Sanofi hereby grants to Regeneron a non-exclusive, fully paid-up (other than with respect to IO Royalty Products), non-transferable, royalty-free (other than with respect to IO Royalty Products), worldwide, license, with the right to sublicense, under the “Sanofi Target IP” (as such term is defined in the Original Agreement) that was “Sanofi Target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176" w:name="page177"/>
    <w:bookmarkEnd w:id="176"/>
    <w:p>
      <w:pPr>
        <w:ind w:left="2040" w:right="80"/>
        <w:spacing w:after="0" w:line="253" w:lineRule="auto"/>
        <w:rPr>
          <w:sz w:val="20"/>
          <w:szCs w:val="20"/>
          <w:color w:val="auto"/>
        </w:rPr>
      </w:pPr>
      <w:r>
        <w:rPr>
          <w:rFonts w:ascii="Arial" w:cs="Arial" w:eastAsia="Arial" w:hAnsi="Arial"/>
          <w:sz w:val="22"/>
          <w:szCs w:val="22"/>
          <w:color w:val="auto"/>
        </w:rPr>
        <w:t>IP” immediately prior to the A&amp;R Agreement Effective Date solely for use to research, develop, manufacture, commercialize or otherwise exploit Terminated IO Discovery Program Antibodies;</w:t>
      </w:r>
    </w:p>
    <w:p>
      <w:pPr>
        <w:spacing w:after="0" w:line="186" w:lineRule="exact"/>
        <w:rPr>
          <w:sz w:val="20"/>
          <w:szCs w:val="20"/>
          <w:color w:val="auto"/>
        </w:rPr>
      </w:pPr>
    </w:p>
    <w:p>
      <w:pPr>
        <w:ind w:left="2040" w:right="120" w:hanging="639"/>
        <w:spacing w:after="0" w:line="246" w:lineRule="auto"/>
        <w:tabs>
          <w:tab w:leader="none" w:pos="2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period for the survival of obligations with respect to Confidential Information (as defined in the Original Agreement) under Article 9 of the Original Agreement that relates only to the Terminated IO Discovery Program shall end five (5) years after the A&amp;R Agreement Effective Date and the period for the survival of such obligations with respect to other Confidential Information (as defined in the Original Agreement) under Article 9 of the Original Agreement shall end five (5) years after the termination or expiration of this Agreement;</w:t>
      </w:r>
    </w:p>
    <w:p>
      <w:pPr>
        <w:spacing w:after="0" w:line="197" w:lineRule="exact"/>
        <w:rPr>
          <w:rFonts w:ascii="Arial" w:cs="Arial" w:eastAsia="Arial" w:hAnsi="Arial"/>
          <w:sz w:val="22"/>
          <w:szCs w:val="22"/>
          <w:color w:val="auto"/>
        </w:rPr>
      </w:pPr>
    </w:p>
    <w:p>
      <w:pPr>
        <w:ind w:left="2040" w:hanging="639"/>
        <w:spacing w:after="0" w:line="290" w:lineRule="auto"/>
        <w:tabs>
          <w:tab w:leader="none" w:pos="20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extent a Receiving Party (as defined in the Original Agreement) is in possession of Confidential Information (as defined in the Original Agreement) of a Disclosing Party (as defined in the Original Agreement) that is no longer relevant to the Receiving Party’s rights or obligations under this Agreement, the Receiving Party shall return or, at the Disclosing Party’s request, destroy all documents or other tangible materials representing such Confidential Information as provided in Section 12.8 of the Original Agreement; provided, that one (1) copy may be maintained in the confidential files of the Receiving Party for the purpose of complying with the terms of the Original Agreement;</w:t>
      </w:r>
    </w:p>
    <w:p>
      <w:pPr>
        <w:spacing w:after="0" w:line="156" w:lineRule="exact"/>
        <w:rPr>
          <w:rFonts w:ascii="Arial" w:cs="Arial" w:eastAsia="Arial" w:hAnsi="Arial"/>
          <w:sz w:val="19"/>
          <w:szCs w:val="19"/>
          <w:color w:val="auto"/>
        </w:rPr>
      </w:pPr>
    </w:p>
    <w:p>
      <w:pPr>
        <w:ind w:left="2040" w:right="80" w:hanging="639"/>
        <w:spacing w:after="0" w:line="248" w:lineRule="auto"/>
        <w:tabs>
          <w:tab w:leader="none" w:pos="2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following Sections of the Original Agreement shall not survive such termination: Section 4.2(e), Section 12.7(c) (for clarity, Regeneron shall not have any royalty obligations under Article 4 of the Original Agreement with respect to any IO Royalty Product (as defined in the Original Agreement) which shall instead be subject to Article 4 of this Agreement), and Section 12.10;</w:t>
      </w:r>
    </w:p>
    <w:p>
      <w:pPr>
        <w:spacing w:after="0" w:line="192" w:lineRule="exact"/>
        <w:rPr>
          <w:rFonts w:ascii="Arial" w:cs="Arial" w:eastAsia="Arial" w:hAnsi="Arial"/>
          <w:sz w:val="22"/>
          <w:szCs w:val="22"/>
          <w:color w:val="auto"/>
        </w:rPr>
      </w:pPr>
    </w:p>
    <w:p>
      <w:pPr>
        <w:ind w:left="2040" w:right="80" w:hanging="639"/>
        <w:spacing w:after="0" w:line="271" w:lineRule="auto"/>
        <w:tabs>
          <w:tab w:leader="none" w:pos="20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for clarity, Article 10 of the Original Agreement will survive with respect to matters other than those with respect to IO Discovery Program Antibodies or IO Discovery Program Target Profiles, which will remain subject to Article 10 of this Agreement; and</w:t>
      </w:r>
    </w:p>
    <w:p>
      <w:pPr>
        <w:spacing w:after="0" w:line="167" w:lineRule="exact"/>
        <w:rPr>
          <w:rFonts w:ascii="Arial" w:cs="Arial" w:eastAsia="Arial" w:hAnsi="Arial"/>
          <w:sz w:val="21"/>
          <w:szCs w:val="21"/>
          <w:color w:val="auto"/>
        </w:rPr>
      </w:pPr>
    </w:p>
    <w:p>
      <w:pPr>
        <w:ind w:left="2040" w:right="20" w:hanging="639"/>
        <w:spacing w:after="0" w:line="263" w:lineRule="auto"/>
        <w:tabs>
          <w:tab w:leader="none" w:pos="2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light of the Confidential Information disclosed under the Original Agreement, including the written reports</w:t>
      </w: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20"/>
          </w:cols>
          <w:pgMar w:left="1440" w:top="631" w:right="239" w:bottom="1440" w:gutter="0" w:footer="0" w:header="0"/>
        </w:sectPr>
      </w:pPr>
    </w:p>
    <w:bookmarkStart w:id="177" w:name="page178"/>
    <w:bookmarkEnd w:id="177"/>
    <w:p>
      <w:pPr>
        <w:jc w:val="both"/>
        <w:ind w:left="2980" w:right="200"/>
        <w:spacing w:after="0" w:line="312" w:lineRule="auto"/>
        <w:rPr>
          <w:sz w:val="20"/>
          <w:szCs w:val="20"/>
          <w:color w:val="auto"/>
        </w:rPr>
      </w:pPr>
      <w:r>
        <w:rPr>
          <w:rFonts w:ascii="Arial" w:cs="Arial" w:eastAsia="Arial" w:hAnsi="Arial"/>
          <w:sz w:val="19"/>
          <w:szCs w:val="19"/>
          <w:color w:val="auto"/>
        </w:rPr>
        <w:t>summarizing the material activities undertaken and any material information with respect to the Terminated IO Discovery Program Antibodies, Sanofi shall abide by the restrictions set forth in this Agreement (including Section 2.5(c)) with respect to Restricted Target Profiles.</w:t>
      </w:r>
    </w:p>
    <w:p>
      <w:pPr>
        <w:spacing w:after="0" w:line="134" w:lineRule="exact"/>
        <w:rPr>
          <w:sz w:val="20"/>
          <w:szCs w:val="20"/>
          <w:color w:val="auto"/>
        </w:rPr>
      </w:pPr>
    </w:p>
    <w:p>
      <w:pPr>
        <w:ind w:firstLine="1679"/>
        <w:spacing w:after="0" w:line="260" w:lineRule="auto"/>
        <w:tabs>
          <w:tab w:leader="none" w:pos="2192" w:val="left"/>
        </w:tabs>
        <w:numPr>
          <w:ilvl w:val="2"/>
          <w:numId w:val="79"/>
        </w:numPr>
        <w:rPr>
          <w:rFonts w:ascii="Arial" w:cs="Arial" w:eastAsia="Arial" w:hAnsi="Arial"/>
          <w:sz w:val="21"/>
          <w:szCs w:val="21"/>
          <w:color w:val="auto"/>
        </w:rPr>
      </w:pPr>
      <w:r>
        <w:rPr>
          <w:rFonts w:ascii="Arial" w:cs="Arial" w:eastAsia="Arial" w:hAnsi="Arial"/>
          <w:sz w:val="21"/>
          <w:szCs w:val="21"/>
          <w:color w:val="auto"/>
        </w:rPr>
        <w:t>Fifty percent (50%) of Terminated IO Discovery Program Costs attributable to clinical development (i.e., in connection with the conduct of clinical trials, including clinical supply therefor, but excluding, e.g., toxicology, process development and formulation development) of Terminated IO Discovery Program Antibodies incurred until immediately prior to the A&amp;R Agreement Effective Date shall be considered IO Development Balance Costs and be added to the IO Development Balance under the IO License and Collaboration Agreement, solely to the extent that Sanofi made an “IO Reimbursement Payment” (as such terms are defined in the Original Agreement) in respect of such Program Costs pursuant to Section 4.1 of the Original Agreement or Section 4.1 of this Agreement. For clarity, no costs and expenses of a Sanofi Funded Trial conducted pursuant to Section 2.1(c) of the Original Agreement shall be added to the IO Development Balance except as provided in Section 4.3(b) of the Original Agreement.</w:t>
      </w:r>
    </w:p>
    <w:p>
      <w:pPr>
        <w:spacing w:after="0" w:line="184" w:lineRule="exact"/>
        <w:rPr>
          <w:rFonts w:ascii="Arial" w:cs="Arial" w:eastAsia="Arial" w:hAnsi="Arial"/>
          <w:sz w:val="21"/>
          <w:szCs w:val="21"/>
          <w:color w:val="auto"/>
        </w:rPr>
      </w:pPr>
    </w:p>
    <w:p>
      <w:pPr>
        <w:ind w:left="400" w:right="80" w:firstLine="1293"/>
        <w:spacing w:after="0" w:line="260" w:lineRule="auto"/>
        <w:tabs>
          <w:tab w:leader="none" w:pos="2188" w:val="left"/>
        </w:tabs>
        <w:numPr>
          <w:ilvl w:val="2"/>
          <w:numId w:val="79"/>
        </w:numPr>
        <w:rPr>
          <w:rFonts w:ascii="Arial" w:cs="Arial" w:eastAsia="Arial" w:hAnsi="Arial"/>
          <w:sz w:val="21"/>
          <w:szCs w:val="21"/>
          <w:color w:val="auto"/>
        </w:rPr>
      </w:pPr>
      <w:r>
        <w:rPr>
          <w:rFonts w:ascii="Arial" w:cs="Arial" w:eastAsia="Arial" w:hAnsi="Arial"/>
          <w:sz w:val="21"/>
          <w:szCs w:val="21"/>
          <w:color w:val="auto"/>
        </w:rPr>
        <w:t>As of the A&amp;R Agreement Effective Date, Regeneron shall retain the exclusive rights to (A) research, develop (alone or in combination), manufacture, commercialize and otherwise exploit Terminated IO Discovery Program Antibodies, subject to Section 4.3 (IO Royalty Products) and (B) any data or other Know-How or Patent Rights invented or created by or for Regeneron under the Terminated IO Discovery Program. For clarity, Regeneron shall have the right to research, develop, manufacture, commercialize and otherwise exploit either directly, or with or through any Third Party, outside this Agreement or the IO License and Collaboration Agreement and without restriction, Terminated IO Discovery Program Antibodies, including for use with one (1) or more IO Antibodies (including Competing IO Antibodies and Refused Candidates) or any product that is not an IO Antibody; provided however that, subject to Section 2.5, Sanofi shall have the right to [***].</w:t>
      </w:r>
    </w:p>
    <w:p>
      <w:pPr>
        <w:spacing w:after="0" w:line="184" w:lineRule="exact"/>
        <w:rPr>
          <w:rFonts w:ascii="Arial" w:cs="Arial" w:eastAsia="Arial" w:hAnsi="Arial"/>
          <w:sz w:val="21"/>
          <w:szCs w:val="21"/>
          <w:color w:val="auto"/>
        </w:rPr>
      </w:pPr>
    </w:p>
    <w:p>
      <w:pPr>
        <w:ind w:left="1720" w:hanging="432"/>
        <w:spacing w:after="0"/>
        <w:tabs>
          <w:tab w:leader="none" w:pos="17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IO Discovery Program – Commercially Reasonable Efforts</w:t>
      </w:r>
      <w:r>
        <w:rPr>
          <w:rFonts w:ascii="Arial" w:cs="Arial" w:eastAsia="Arial" w:hAnsi="Arial"/>
          <w:sz w:val="22"/>
          <w:szCs w:val="22"/>
          <w:color w:val="auto"/>
        </w:rPr>
        <w:t>. During the Term:</w:t>
      </w:r>
    </w:p>
    <w:p>
      <w:pPr>
        <w:spacing w:after="0" w:line="233" w:lineRule="exact"/>
        <w:rPr>
          <w:rFonts w:ascii="Arial" w:cs="Arial" w:eastAsia="Arial" w:hAnsi="Arial"/>
          <w:sz w:val="22"/>
          <w:szCs w:val="22"/>
          <w:color w:val="auto"/>
        </w:rPr>
      </w:pPr>
    </w:p>
    <w:p>
      <w:pPr>
        <w:ind w:left="400" w:right="20" w:firstLine="1293"/>
        <w:spacing w:after="0" w:line="262" w:lineRule="auto"/>
        <w:tabs>
          <w:tab w:leader="none" w:pos="2080" w:val="left"/>
        </w:tabs>
        <w:numPr>
          <w:ilvl w:val="1"/>
          <w:numId w:val="80"/>
        </w:numPr>
        <w:rPr>
          <w:rFonts w:ascii="Arial" w:cs="Arial" w:eastAsia="Arial" w:hAnsi="Arial"/>
          <w:sz w:val="21"/>
          <w:szCs w:val="21"/>
          <w:color w:val="auto"/>
        </w:rPr>
      </w:pPr>
      <w:r>
        <w:rPr>
          <w:rFonts w:ascii="Arial" w:cs="Arial" w:eastAsia="Arial" w:hAnsi="Arial"/>
          <w:sz w:val="21"/>
          <w:szCs w:val="21"/>
          <w:color w:val="auto"/>
        </w:rPr>
        <w:t>Regeneron shall use Commercially Reasonable Efforts to achieve POC for an IO Discovery Program Antibody targeting each of the IO Discovery Program Target Profiles; provided that (A) the foregoing obligation to use Commercially Reasonable Efforts shall not require Regeneron or its Affiliates to incur Program Costs with respect to a Bi-Specific Program in excess of the Program Costs Cap applicable to such Bi-Specific Program [***] and (B) any decision by Regeneron to discontinue or temporarily suspend the development of one or more IO Discovery Program Antibodies targeting an IO Discovery Program Target Profile shall not constitute a failure to use Commercially Reasonable Efforts unless such discontinuance or suspension is a failure to</w:t>
      </w:r>
    </w:p>
    <w:p>
      <w:pPr>
        <w:spacing w:after="0" w:line="200" w:lineRule="exact"/>
        <w:rPr>
          <w:sz w:val="20"/>
          <w:szCs w:val="20"/>
          <w:color w:val="auto"/>
        </w:rPr>
      </w:pP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40"/>
          </w:cols>
          <w:pgMar w:left="500" w:top="632" w:right="259" w:bottom="1440" w:gutter="0" w:footer="0" w:header="0"/>
        </w:sectPr>
      </w:pPr>
    </w:p>
    <w:bookmarkStart w:id="178" w:name="page179"/>
    <w:bookmarkEnd w:id="178"/>
    <w:p>
      <w:pPr>
        <w:ind w:left="400" w:right="780"/>
        <w:spacing w:after="0" w:line="263" w:lineRule="auto"/>
        <w:rPr>
          <w:sz w:val="20"/>
          <w:szCs w:val="20"/>
          <w:color w:val="auto"/>
        </w:rPr>
      </w:pPr>
      <w:r>
        <w:rPr>
          <w:rFonts w:ascii="Arial" w:cs="Arial" w:eastAsia="Arial" w:hAnsi="Arial"/>
          <w:sz w:val="22"/>
          <w:szCs w:val="22"/>
          <w:color w:val="auto"/>
        </w:rPr>
        <w:t>use Commercially Reasonable Efforts with respect to such IO Discovery Program Antibodies or such IO Discovery Program Target Profile; and</w:t>
      </w:r>
    </w:p>
    <w:p>
      <w:pPr>
        <w:spacing w:after="0" w:line="175" w:lineRule="exact"/>
        <w:rPr>
          <w:sz w:val="20"/>
          <w:szCs w:val="20"/>
          <w:color w:val="auto"/>
        </w:rPr>
      </w:pPr>
    </w:p>
    <w:p>
      <w:pPr>
        <w:ind w:left="400" w:firstLine="1293"/>
        <w:spacing w:after="0" w:line="276" w:lineRule="auto"/>
        <w:tabs>
          <w:tab w:leader="none" w:pos="2141"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Regeneron shall be obligated to offer any IO Discovery Program Antibody or Product Candidate Family for license to Sanofi pursuant to the Opt-In Rights set forth herein.</w:t>
      </w:r>
    </w:p>
    <w:p>
      <w:pPr>
        <w:spacing w:after="0" w:line="161"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POC Development</w:t>
      </w:r>
      <w:r>
        <w:rPr>
          <w:rFonts w:ascii="Arial" w:cs="Arial" w:eastAsia="Arial" w:hAnsi="Arial"/>
          <w:sz w:val="19"/>
          <w:szCs w:val="19"/>
          <w:color w:val="auto"/>
        </w:rPr>
        <w:t>.</w:t>
      </w:r>
    </w:p>
    <w:p>
      <w:pPr>
        <w:spacing w:after="0" w:line="233" w:lineRule="exact"/>
        <w:rPr>
          <w:sz w:val="20"/>
          <w:szCs w:val="20"/>
          <w:color w:val="auto"/>
        </w:rPr>
      </w:pPr>
    </w:p>
    <w:p>
      <w:pPr>
        <w:ind w:firstLine="1288"/>
        <w:spacing w:after="0" w:line="259" w:lineRule="auto"/>
        <w:tabs>
          <w:tab w:leader="none" w:pos="1716"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POC Development Plan.</w:t>
      </w:r>
      <w:r>
        <w:rPr>
          <w:rFonts w:ascii="Arial" w:cs="Arial" w:eastAsia="Arial" w:hAnsi="Arial"/>
          <w:sz w:val="21"/>
          <w:szCs w:val="21"/>
          <w:color w:val="auto"/>
        </w:rPr>
        <w:t xml:space="preserve"> Within [***] after the A&amp;R Agreement Effective Date, Regeneron will prepare and deliver to the IOSC a POC Development plan for each IO Discovery Program Antibody (each, a “</w:t>
      </w:r>
      <w:r>
        <w:rPr>
          <w:rFonts w:ascii="Arial" w:cs="Arial" w:eastAsia="Arial" w:hAnsi="Arial"/>
          <w:sz w:val="21"/>
          <w:szCs w:val="21"/>
          <w:u w:val="single" w:color="auto"/>
          <w:color w:val="auto"/>
        </w:rPr>
        <w:t>POC Development Plan</w:t>
      </w:r>
      <w:r>
        <w:rPr>
          <w:rFonts w:ascii="Arial" w:cs="Arial" w:eastAsia="Arial" w:hAnsi="Arial"/>
          <w:sz w:val="21"/>
          <w:szCs w:val="21"/>
          <w:color w:val="auto"/>
        </w:rPr>
        <w:t>”), which shall set forth the overall strategy and plan for developing an IO Discovery Program Antibody during the IO Discovery Program from completion of IND Preparation and IND filing through POC Development for such IO Discovery Program Antibody. Each POC Development Plan will specify, in a reasonable level of detail, the tumor types or hematological malignancies to be evaluated as well as an estimated timeline and budget for achieving POC across such proposed tumor types or hematological malignancies and shall be designed with [***] subject to the applicable Program Costs Cap. Regeneron shall have the right to amend each POC Development Plan from time to time in its sole discretion. Regeneron will promptly present to the IOSC any material updates to the POC Development Plan with respect to an IO Discovery Program Antibody (and any material changes in the estimated budget) until such time as such IO Discovery Program Antibody becomes a Refused Candidate or an IO Licensed Product.</w:t>
      </w:r>
    </w:p>
    <w:p>
      <w:pPr>
        <w:spacing w:after="0" w:line="185" w:lineRule="exact"/>
        <w:rPr>
          <w:rFonts w:ascii="Arial" w:cs="Arial" w:eastAsia="Arial" w:hAnsi="Arial"/>
          <w:sz w:val="21"/>
          <w:szCs w:val="21"/>
          <w:color w:val="auto"/>
        </w:rPr>
      </w:pPr>
    </w:p>
    <w:p>
      <w:pPr>
        <w:ind w:right="80" w:firstLine="1288"/>
        <w:spacing w:after="0" w:line="291" w:lineRule="auto"/>
        <w:tabs>
          <w:tab w:leader="none" w:pos="172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Conduct and Consultation</w:t>
      </w:r>
      <w:r>
        <w:rPr>
          <w:rFonts w:ascii="Arial" w:cs="Arial" w:eastAsia="Arial" w:hAnsi="Arial"/>
          <w:sz w:val="19"/>
          <w:szCs w:val="19"/>
          <w:color w:val="auto"/>
        </w:rPr>
        <w:t>. Upon the terms and subject to the conditions hereof, Regeneron will have sole responsibility, consistent with the POC Development Plan, for the design and conduct of all activities (except for Sanofi Funded Trials conducted by Sanofi in accordance with Section 2.2(c), for which Sanofi will have sole responsibility) under the IO Discovery Program, including decisions relating to initiation and termination of programs and activities, manufacturing activities, and staffing and resource allocation between different programs and activities in the IO Discovery Program. Sanofi, through the IOSC, will provide consultation and advice to support Regeneron’s efforts under the IO Discovery Program, which consultation and advice shall be considered in good faith by Regeneron. For avoidance of doubt, except as otherwise agreed by the Parties in accordance with Section 5.7, Regeneron may, at its own cost and outside the IO Discovery Program, develop each IO Discovery Program Antibody in Non-IO Indications only until such IO Discovery Program Antibody is ready for IND filing.</w:t>
      </w:r>
    </w:p>
    <w:p>
      <w:pPr>
        <w:spacing w:after="0" w:line="154" w:lineRule="exact"/>
        <w:rPr>
          <w:rFonts w:ascii="Arial" w:cs="Arial" w:eastAsia="Arial" w:hAnsi="Arial"/>
          <w:sz w:val="19"/>
          <w:szCs w:val="19"/>
          <w:color w:val="auto"/>
        </w:rPr>
      </w:pPr>
    </w:p>
    <w:p>
      <w:pPr>
        <w:ind w:firstLine="1288"/>
        <w:spacing w:after="0" w:line="264" w:lineRule="auto"/>
        <w:tabs>
          <w:tab w:leader="none" w:pos="1716"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Sanofi Funded Trials</w:t>
      </w:r>
      <w:r>
        <w:rPr>
          <w:rFonts w:ascii="Arial" w:cs="Arial" w:eastAsia="Arial" w:hAnsi="Arial"/>
          <w:sz w:val="21"/>
          <w:szCs w:val="21"/>
          <w:color w:val="auto"/>
        </w:rPr>
        <w:t>. Sanofi may provide written notice to Regeneron that Sanofi wishes to fund a clinical trial for any IO Discovery Program Antibody, [***]. Subject to Section 2.9, in the event that Sanofi proposes any such clinical trial [***] as provided in the foregoing sentence, and Regeneron declines to conduct such clinical trial [***], Sanofi may provide written notice to Regeneron that Sanofi wishes to fund such clinical trial. Such notice shall include [***]. Upon Sanofi’s written notice to Regeneron that it wishes to fund such clinical trial for an IO Discovery Program Antibody or a Sanofi Proposed Combination Trial and, [***], Sanofi shall have the right to conduct such clinical</w:t>
      </w:r>
    </w:p>
    <w:p>
      <w:pPr>
        <w:spacing w:after="0" w:line="200" w:lineRule="exact"/>
        <w:rPr>
          <w:sz w:val="20"/>
          <w:szCs w:val="20"/>
          <w:color w:val="auto"/>
        </w:rPr>
      </w:pPr>
    </w:p>
    <w:p>
      <w:pPr>
        <w:spacing w:after="0" w:line="21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60"/>
          </w:cols>
          <w:pgMar w:left="500" w:top="631" w:right="239" w:bottom="1440" w:gutter="0" w:footer="0" w:header="0"/>
        </w:sectPr>
      </w:pPr>
    </w:p>
    <w:bookmarkStart w:id="179" w:name="page180"/>
    <w:bookmarkEnd w:id="179"/>
    <w:p>
      <w:pPr>
        <w:ind w:left="260" w:right="20"/>
        <w:spacing w:after="0" w:line="288" w:lineRule="auto"/>
        <w:rPr>
          <w:sz w:val="20"/>
          <w:szCs w:val="20"/>
          <w:color w:val="auto"/>
        </w:rPr>
      </w:pPr>
      <w:r>
        <w:rPr>
          <w:rFonts w:ascii="Arial" w:cs="Arial" w:eastAsia="Arial" w:hAnsi="Arial"/>
          <w:sz w:val="19"/>
          <w:szCs w:val="19"/>
          <w:color w:val="auto"/>
        </w:rPr>
        <w:t>trial initially proposed by Sanofi using the IO Discovery Program Antibody (which Regeneron shall supply). Each clinical trial conducted pursuant to the foregoing sentence shall be a “</w:t>
      </w:r>
      <w:r>
        <w:rPr>
          <w:rFonts w:ascii="Arial" w:cs="Arial" w:eastAsia="Arial" w:hAnsi="Arial"/>
          <w:sz w:val="19"/>
          <w:szCs w:val="19"/>
          <w:u w:val="single" w:color="auto"/>
          <w:color w:val="auto"/>
        </w:rPr>
        <w:t>Sanofi Funded Trial</w:t>
      </w:r>
      <w:r>
        <w:rPr>
          <w:rFonts w:ascii="Arial" w:cs="Arial" w:eastAsia="Arial" w:hAnsi="Arial"/>
          <w:sz w:val="19"/>
          <w:szCs w:val="19"/>
          <w:color w:val="auto"/>
        </w:rPr>
        <w:t>.” In the event of any dispute between the Parties as to whether a proposed Sanofi Funded Trial is not reasonably likely to have a material negative impact on the IO Discovery Program or the development or commercialization of any IO Discovery Program Antibody or IO Licensed Product or supply of any IO Discovery Program Antibody or IO Licensed Product [***]. Each permitted Sanofi Funded Trial shall become part of the IO Discovery Program, be conducted pursuant to a Sanofi Funded Trial Plan as reviewed, discussed and agreed on by the IOSC, and [***]; provided that in no event shall [***]. Notwithstanding the foregoing, unless otherwise agreed to by the Parties in writing, in no event shall any Sanofi Funded Trial operate to (y) delay or extend the timing of any Opt-In Report to be delivered by Regeneron with respect to any IO Discovery Program Antibody pursuant to ARTICLE 5, or (z) delay or extend any Opt-In Period with respect to any IO Discovery Program Antibody. For clarity, the [***] in a Sanofi Funded Trial shall not be [***] and Regeneron shall be under no obligation to consider the [***].</w:t>
      </w:r>
    </w:p>
    <w:p>
      <w:pPr>
        <w:spacing w:after="0" w:line="155"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hereby covenants and agrees to comply with applicable Laws in performing all activities connected with the IO Discovery Program.</w:t>
      </w:r>
    </w:p>
    <w:p>
      <w:pPr>
        <w:spacing w:after="0" w:line="16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Exclusivity – Rights to IO Antibodies</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88" w:lineRule="auto"/>
        <w:tabs>
          <w:tab w:leader="none" w:pos="197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Except to the extent otherwise expressly specified in this Section 2.5 or, to the extent applicable, in the IO License and Collaboration Agreement, as from the A&amp;R Agreement Effective Date, each Party shall be free to identify, discover, develop, manufacture and commercialize, either directly, or with or through any Third Party, outside this Agreement or the IO License and Collaboration Agreement, IO Antibodies alone or in combination with other compounds or products, including for use with one (1) or more Refused Candidates (solely with respect to Regeneron), [***] or any product that is not an</w:t>
      </w:r>
    </w:p>
    <w:p>
      <w:pPr>
        <w:spacing w:after="0" w:line="3"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IO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180" w:name="page181"/>
    <w:bookmarkEnd w:id="180"/>
    <w:p>
      <w:pPr>
        <w:ind w:right="140"/>
        <w:spacing w:after="0" w:line="343" w:lineRule="auto"/>
        <w:rPr>
          <w:sz w:val="20"/>
          <w:szCs w:val="20"/>
          <w:color w:val="auto"/>
        </w:rPr>
      </w:pPr>
      <w:r>
        <w:rPr>
          <w:rFonts w:ascii="Arial" w:cs="Arial" w:eastAsia="Arial" w:hAnsi="Arial"/>
          <w:sz w:val="19"/>
          <w:szCs w:val="19"/>
          <w:color w:val="auto"/>
        </w:rPr>
        <w:t>Antibody. For avoidance of doubt, neither Party shall have any obligation from and after the A&amp;R Agreement Effective Date to offer any IO Antibodies to be included in the IO Discovery Program under Section 2.5(b) of the Original Agreement.</w:t>
      </w:r>
    </w:p>
    <w:p>
      <w:pPr>
        <w:spacing w:after="0" w:line="105" w:lineRule="exact"/>
        <w:rPr>
          <w:sz w:val="20"/>
          <w:szCs w:val="20"/>
          <w:color w:val="auto"/>
        </w:rPr>
      </w:pPr>
    </w:p>
    <w:p>
      <w:pPr>
        <w:ind w:right="60" w:firstLine="1288"/>
        <w:spacing w:after="0" w:line="251" w:lineRule="auto"/>
        <w:tabs>
          <w:tab w:leader="none" w:pos="172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Competing IO Antibodies</w:t>
      </w:r>
      <w:r>
        <w:rPr>
          <w:rFonts w:ascii="Arial" w:cs="Arial" w:eastAsia="Arial" w:hAnsi="Arial"/>
          <w:sz w:val="22"/>
          <w:szCs w:val="22"/>
          <w:color w:val="auto"/>
        </w:rPr>
        <w:t>. Except as expressly permitted by this Agreement, including by Section 2.9, any agreement regarding development and commercialization of BCMAxCD3 Program Antibodies [***] reached pursuant to Section 5.7, or the IO License and Collaboration Agreement, during the Term, neither Party nor any of their respective Affiliates will, either directly, or with or through any Third Party, work to discover, develop or commercialize any Competing IO Antibody; [***].</w:t>
      </w:r>
    </w:p>
    <w:p>
      <w:pPr>
        <w:spacing w:after="0" w:line="189" w:lineRule="exact"/>
        <w:rPr>
          <w:rFonts w:ascii="Arial" w:cs="Arial" w:eastAsia="Arial" w:hAnsi="Arial"/>
          <w:sz w:val="22"/>
          <w:szCs w:val="22"/>
          <w:color w:val="auto"/>
        </w:rPr>
      </w:pPr>
    </w:p>
    <w:p>
      <w:pPr>
        <w:ind w:left="1700" w:hanging="412"/>
        <w:spacing w:after="0"/>
        <w:tabs>
          <w:tab w:leader="none" w:pos="17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Restricted Target Profiles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firstLine="1293"/>
        <w:spacing w:after="0" w:line="290" w:lineRule="auto"/>
        <w:tabs>
          <w:tab w:leader="none" w:pos="2080" w:val="left"/>
        </w:tabs>
        <w:numPr>
          <w:ilvl w:val="1"/>
          <w:numId w:val="84"/>
        </w:numPr>
        <w:rPr>
          <w:rFonts w:ascii="Arial" w:cs="Arial" w:eastAsia="Arial" w:hAnsi="Arial"/>
          <w:sz w:val="19"/>
          <w:szCs w:val="19"/>
          <w:color w:val="auto"/>
        </w:rPr>
      </w:pPr>
      <w:r>
        <w:rPr>
          <w:rFonts w:ascii="Arial" w:cs="Arial" w:eastAsia="Arial" w:hAnsi="Arial"/>
          <w:sz w:val="19"/>
          <w:szCs w:val="19"/>
          <w:color w:val="auto"/>
        </w:rPr>
        <w:t>Except as may be otherwise agreed in writing by the Parties, until the earlier of (A) [***] and (B) the expiration or termination of this Agreement in its entirety pursuant to ARTICLE 12, neither Sanofi nor its Affiliates will, either directly, or with or through any Third Party, work to discover, develop or commercialize IO Antibodies targeting a Restricted Target Profile; provided, however, that Sanofi or its Affiliates shall have the right during such period, outside of this Agreement and the IO License and Collaboration Agreement, at Sanofi’s own expense, to discover and develop, independently using its own proprietary technology or through using the proprietary technology of, or otherwise in collaboration with, one or more Third Parties, any IO Antibody targeting any of the Restricted Target Profiles until such IO Antibody [***]; and provided further that, subject to Section 2.5(c)(iii), Sanofi shall have the right outside this Agreement and the IO License and Collaboration Agreement to develop any of its Ex-Collaboration Products for use in connection with IO Antibodies [***], whether or not targeting a Restricted Target Profile.</w:t>
      </w:r>
    </w:p>
    <w:p>
      <w:pPr>
        <w:spacing w:after="0" w:line="155" w:lineRule="exact"/>
        <w:rPr>
          <w:rFonts w:ascii="Arial" w:cs="Arial" w:eastAsia="Arial" w:hAnsi="Arial"/>
          <w:sz w:val="19"/>
          <w:szCs w:val="19"/>
          <w:color w:val="auto"/>
        </w:rPr>
      </w:pPr>
    </w:p>
    <w:p>
      <w:pPr>
        <w:ind w:left="400" w:right="80" w:firstLine="1293"/>
        <w:spacing w:after="0" w:line="264" w:lineRule="auto"/>
        <w:tabs>
          <w:tab w:leader="none" w:pos="2141" w:val="left"/>
        </w:tabs>
        <w:numPr>
          <w:ilvl w:val="1"/>
          <w:numId w:val="84"/>
        </w:numPr>
        <w:rPr>
          <w:rFonts w:ascii="Arial" w:cs="Arial" w:eastAsia="Arial" w:hAnsi="Arial"/>
          <w:sz w:val="21"/>
          <w:szCs w:val="21"/>
          <w:color w:val="auto"/>
        </w:rPr>
      </w:pPr>
      <w:r>
        <w:rPr>
          <w:rFonts w:ascii="Arial" w:cs="Arial" w:eastAsia="Arial" w:hAnsi="Arial"/>
          <w:sz w:val="21"/>
          <w:szCs w:val="21"/>
          <w:color w:val="auto"/>
        </w:rPr>
        <w:t>For clarity, from and after the earlier of (A) [***] and (B) the termination or expiration of this Agreement in its entirety pursuant to ARTICLE 12, Sanofi and its respective Affiliates shall have the right to discover, develop, manufacture and commercialize without restriction any IO Antibodies [***] that target a Restricted Target Profile, including for use with one (1) or more other products [***]; provided, however, that Sanofi shall have no right under this Agreement to perform such identification, discovery, development, manufacturing or commercialization with respect to Terminated IO Discovery Program Antibodies or Refused Candidates.</w:t>
      </w:r>
    </w:p>
    <w:p>
      <w:pPr>
        <w:spacing w:after="0" w:line="175" w:lineRule="exact"/>
        <w:rPr>
          <w:rFonts w:ascii="Arial" w:cs="Arial" w:eastAsia="Arial" w:hAnsi="Arial"/>
          <w:sz w:val="21"/>
          <w:szCs w:val="21"/>
          <w:color w:val="auto"/>
        </w:rPr>
      </w:pPr>
    </w:p>
    <w:p>
      <w:pPr>
        <w:ind w:left="400" w:right="140" w:firstLine="1293"/>
        <w:spacing w:after="0" w:line="254" w:lineRule="auto"/>
        <w:tabs>
          <w:tab w:leader="none" w:pos="2201" w:val="left"/>
        </w:tabs>
        <w:numPr>
          <w:ilvl w:val="1"/>
          <w:numId w:val="84"/>
        </w:numPr>
        <w:rPr>
          <w:rFonts w:ascii="Arial" w:cs="Arial" w:eastAsia="Arial" w:hAnsi="Arial"/>
          <w:sz w:val="22"/>
          <w:szCs w:val="22"/>
          <w:color w:val="auto"/>
        </w:rPr>
      </w:pPr>
      <w:r>
        <w:rPr>
          <w:rFonts w:ascii="Arial" w:cs="Arial" w:eastAsia="Arial" w:hAnsi="Arial"/>
          <w:sz w:val="22"/>
          <w:szCs w:val="22"/>
          <w:color w:val="auto"/>
        </w:rPr>
        <w:t>Notwithstanding subsection (i) above, until the earlier of (A) [***] and (B) the expiration or termination of this Agreement in its entirety pursuant to ARTICLE 12, should Sanofi desire to [***]. Any information disclosed by either Party in connection with such discussions shall be the Confidential Information of such Party subject to Section 9.1.</w:t>
      </w:r>
    </w:p>
    <w:p>
      <w:pPr>
        <w:spacing w:after="0" w:line="185" w:lineRule="exact"/>
        <w:rPr>
          <w:rFonts w:ascii="Arial" w:cs="Arial" w:eastAsia="Arial" w:hAnsi="Arial"/>
          <w:sz w:val="22"/>
          <w:szCs w:val="22"/>
          <w:color w:val="auto"/>
        </w:rPr>
      </w:pPr>
    </w:p>
    <w:p>
      <w:pPr>
        <w:ind w:right="520" w:firstLine="1288"/>
        <w:spacing w:after="0" w:line="276" w:lineRule="auto"/>
        <w:tabs>
          <w:tab w:leader="none" w:pos="172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Refused Candidates</w:t>
      </w:r>
      <w:r>
        <w:rPr>
          <w:rFonts w:ascii="Arial" w:cs="Arial" w:eastAsia="Arial" w:hAnsi="Arial"/>
          <w:sz w:val="22"/>
          <w:szCs w:val="22"/>
          <w:color w:val="auto"/>
        </w:rPr>
        <w:t>. Sanofi shall be subject to the restrictions set forth in Section 5.3(c) with respect to Refused Candidates under this Agreement.</w:t>
      </w:r>
    </w:p>
    <w:p>
      <w:pPr>
        <w:spacing w:after="0" w:line="200" w:lineRule="exact"/>
        <w:rPr>
          <w:sz w:val="20"/>
          <w:szCs w:val="20"/>
          <w:color w:val="auto"/>
        </w:rPr>
      </w:pP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60"/>
          </w:cols>
          <w:pgMar w:left="500" w:top="631" w:right="239" w:bottom="1440" w:gutter="0" w:footer="0" w:header="0"/>
        </w:sectPr>
      </w:pPr>
    </w:p>
    <w:bookmarkStart w:id="181" w:name="page182"/>
    <w:bookmarkEnd w:id="181"/>
    <w:p>
      <w:pPr>
        <w:ind w:left="260" w:right="160" w:firstLine="1288"/>
        <w:spacing w:after="0" w:line="264" w:lineRule="auto"/>
        <w:tabs>
          <w:tab w:leader="none" w:pos="1976"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Acquired Competing IO Antibodies</w:t>
      </w:r>
      <w:r>
        <w:rPr>
          <w:rFonts w:ascii="Arial" w:cs="Arial" w:eastAsia="Arial" w:hAnsi="Arial"/>
          <w:sz w:val="21"/>
          <w:szCs w:val="21"/>
          <w:color w:val="auto"/>
        </w:rPr>
        <w:t>. If during the Term a Party (or its Affiliates) acquires an Acquired Competing IO Antibody, then, such Party shall at its sole discretion elect to either divest [***] or discontinue development of such Acquired Competing IO Antibody within [***] from the acquisition. For the avoidance of doubt, the Party acquiring an Acquired Competing IO Antibody and its Affiliates shall not be precluded under this Section 2.5(e) from conducting any activities, including winding down activities, (either directly, or with or through any Third Party) with respect to such Acquired Competing IO Antibody during such [***] period.</w:t>
      </w:r>
    </w:p>
    <w:p>
      <w:pPr>
        <w:spacing w:after="0" w:line="175" w:lineRule="exact"/>
        <w:rPr>
          <w:rFonts w:ascii="Arial" w:cs="Arial" w:eastAsia="Arial" w:hAnsi="Arial"/>
          <w:sz w:val="21"/>
          <w:szCs w:val="21"/>
          <w:color w:val="auto"/>
        </w:rPr>
      </w:pPr>
    </w:p>
    <w:p>
      <w:pPr>
        <w:jc w:val="both"/>
        <w:ind w:left="260" w:firstLine="1288"/>
        <w:spacing w:after="0" w:line="307" w:lineRule="auto"/>
        <w:tabs>
          <w:tab w:leader="none" w:pos="195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Technology Licenses</w:t>
      </w:r>
      <w:r>
        <w:rPr>
          <w:rFonts w:ascii="Arial" w:cs="Arial" w:eastAsia="Arial" w:hAnsi="Arial"/>
          <w:sz w:val="19"/>
          <w:szCs w:val="19"/>
          <w:color w:val="auto"/>
        </w:rPr>
        <w:t>. Regeneron shall have the right to grant non-exclusive licenses to its Mice and other technologies and other Regeneron Intellectual Property related to the Mice and other technologies to Third Parties, including universities and for profit and not-for-profit Third Parties; provided, that [***]. Regeneron may receive contract fees, milestones, and royalties based on future sales of IO Antibodies discovered by such Third Party licensees.</w:t>
      </w:r>
    </w:p>
    <w:p>
      <w:pPr>
        <w:spacing w:after="0" w:line="13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Program Licenses; Licenses Generally</w:t>
      </w:r>
      <w:r>
        <w:rPr>
          <w:rFonts w:ascii="Arial" w:cs="Arial" w:eastAsia="Arial" w:hAnsi="Arial"/>
          <w:sz w:val="19"/>
          <w:szCs w:val="19"/>
          <w:color w:val="auto"/>
        </w:rPr>
        <w:t>. Each Party hereby grants to the other Party and its Affiliates a non-exclusive, non-transferable, worldwide, royalty-free (except as provided in Section 4.4) license, with the right to sublicense, under the Regeneron Intellectual Property and the Sanofi Intellectual Property, respectively, solely to perform the IO Discovery Program and, with respect to Sanofi as grantor, to research, develop, manufacture, commercialize or use the Mice or any IO Target Profile (or any Target contained therein) to exploit IO Discovery Program Antibodies that become IO Royalty Products hereunder. In addition, Sanofi hereby grants to Regeneron and its Affiliates a non-exclusive, non-transferable, worldwide, royalty-bearing license, with the right to sublicense, under the Sanofi Target IP that is Sanofi Target IP immediately prior to the A&amp;R Agreement Effective Date to research, develop, manufacture, commercialize or use IO Royalty Products that are not IO Discovery Program Antibodies (i.e., IO Royalty Products that are Terminated IO Discovery Program Antibodies). Except as expressly provided for herein, nothing in this Agreement grants either Party any right, title or interest in and to the intellectual property rights of the other Party (either expressly or by implication or estoppel). Except as expressly provided for in this Section 2.6 or elsewhere in this Agreement, neither Party will be deemed by this Agreement to have been granted any license or other rights to the other Party’s Patent Rights or Know-How, either expressly or by implication, estoppel or otherwise.</w:t>
      </w:r>
    </w:p>
    <w:p>
      <w:pPr>
        <w:spacing w:after="0" w:line="200" w:lineRule="exact"/>
        <w:rPr>
          <w:sz w:val="20"/>
          <w:szCs w:val="20"/>
          <w:color w:val="auto"/>
        </w:rPr>
      </w:pPr>
    </w:p>
    <w:p>
      <w:pPr>
        <w:spacing w:after="0" w:line="21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Non-Exclusive License to Sanofi</w:t>
      </w:r>
      <w:r>
        <w:rPr>
          <w:rFonts w:ascii="Arial" w:cs="Arial" w:eastAsia="Arial" w:hAnsi="Arial"/>
          <w:sz w:val="19"/>
          <w:szCs w:val="19"/>
          <w:color w:val="auto"/>
        </w:rPr>
        <w:t>. Regeneron hereby grants Sanofi and its Affiliates a perpetual, worldwide, non-exclusive, non-transferable, royalty-free license, without the right to sublicense, under Regeneron Intellectual Property discovered directly in connection with the performance of the IO Discovery Program claiming (i) an IO Discovery Program Target Profile, or</w:t>
      </w:r>
    </w:p>
    <w:p>
      <w:pPr>
        <w:spacing w:after="0" w:line="1" w:lineRule="exact"/>
        <w:rPr>
          <w:sz w:val="20"/>
          <w:szCs w:val="20"/>
          <w:color w:val="auto"/>
        </w:rPr>
      </w:pPr>
    </w:p>
    <w:p>
      <w:pPr>
        <w:jc w:val="both"/>
        <w:ind w:right="160" w:firstLine="8"/>
        <w:spacing w:after="0" w:line="245" w:lineRule="auto"/>
        <w:tabs>
          <w:tab w:leader="none" w:pos="318" w:val="left"/>
        </w:tabs>
        <w:numPr>
          <w:ilvl w:val="0"/>
          <w:numId w:val="86"/>
        </w:numPr>
        <w:rPr>
          <w:rFonts w:ascii="Arial" w:cs="Arial" w:eastAsia="Arial" w:hAnsi="Arial"/>
          <w:sz w:val="22"/>
          <w:szCs w:val="22"/>
          <w:color w:val="auto"/>
        </w:rPr>
      </w:pPr>
      <w:r>
        <w:rPr>
          <w:rFonts w:ascii="Arial" w:cs="Arial" w:eastAsia="Arial" w:hAnsi="Arial"/>
          <w:sz w:val="22"/>
          <w:szCs w:val="22"/>
          <w:color w:val="auto"/>
        </w:rPr>
        <w:t>methods of use related to the inhibition or use of such IO Discovery Program Target Profile for use by Sanofi and its Affiliates in connection with the manufacture, use, sale, offer to sell, and import of small molecule drug and diagnostic products (other than diagnostics intended for use as companion diagnostics with any IO Antibody).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82" w:name="page183"/>
    <w:bookmarkEnd w:id="182"/>
    <w:p>
      <w:pPr>
        <w:ind w:right="40" w:firstLine="648"/>
        <w:spacing w:after="0" w:line="250"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Invention Assignment</w:t>
      </w:r>
      <w:r>
        <w:rPr>
          <w:rFonts w:ascii="Arial" w:cs="Arial" w:eastAsia="Arial" w:hAnsi="Arial"/>
          <w:sz w:val="22"/>
          <w:szCs w:val="22"/>
          <w:color w:val="auto"/>
        </w:rPr>
        <w:t>. All of the employees, officers and consultants of each Party who are supporting the performance of such Party’s obligations under this Agreement shall have executed agreements or have existing obligations under Law requiring, in the case of employees and officers, assignment to such Party of all inventions made during the course of and as the result of their association with such Party and, in the case of employees, officers and consultants, obligating the individual to maintain as confidential such Party’s Confidential Information which such Party may receive, to the extent required to support such Party’s obligations under this Agreement.</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Combination Therapy</w:t>
      </w:r>
      <w:r>
        <w:rPr>
          <w:rFonts w:ascii="Arial" w:cs="Arial" w:eastAsia="Arial" w:hAnsi="Arial"/>
          <w:sz w:val="19"/>
          <w:szCs w:val="19"/>
          <w:color w:val="auto"/>
        </w:rPr>
        <w:t>.</w:t>
      </w:r>
    </w:p>
    <w:p>
      <w:pPr>
        <w:spacing w:after="0" w:line="233" w:lineRule="exact"/>
        <w:rPr>
          <w:sz w:val="20"/>
          <w:szCs w:val="20"/>
          <w:color w:val="auto"/>
        </w:rPr>
      </w:pPr>
    </w:p>
    <w:p>
      <w:pPr>
        <w:ind w:left="260" w:right="200" w:firstLine="1288"/>
        <w:spacing w:after="0" w:line="266" w:lineRule="auto"/>
        <w:tabs>
          <w:tab w:leader="none" w:pos="1976"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IOSC shall discuss whether to include in the IO Discovery Program the development of IO Discovery Program Antibodies for use with Other Products (each, a “</w:t>
      </w:r>
      <w:r>
        <w:rPr>
          <w:rFonts w:ascii="Arial" w:cs="Arial" w:eastAsia="Arial" w:hAnsi="Arial"/>
          <w:sz w:val="21"/>
          <w:szCs w:val="21"/>
          <w:u w:val="single" w:color="auto"/>
          <w:color w:val="auto"/>
        </w:rPr>
        <w:t>Combination Therapy</w:t>
      </w:r>
      <w:r>
        <w:rPr>
          <w:rFonts w:ascii="Arial" w:cs="Arial" w:eastAsia="Arial" w:hAnsi="Arial"/>
          <w:sz w:val="21"/>
          <w:szCs w:val="21"/>
          <w:color w:val="auto"/>
        </w:rPr>
        <w:t>”), including Other Proprietary Products and Other Products that are owned or controlled by a Third Party or that are in the public domain. Subject to this Section 2.9 and Section 2.5, each Party shall have the right to propose to the IOSC Other Products for co-development with IO Discovery Program Antibodies under the IO Discovery Program.</w:t>
      </w:r>
    </w:p>
    <w:p>
      <w:pPr>
        <w:spacing w:after="0" w:line="174" w:lineRule="exact"/>
        <w:rPr>
          <w:rFonts w:ascii="Arial" w:cs="Arial" w:eastAsia="Arial" w:hAnsi="Arial"/>
          <w:sz w:val="21"/>
          <w:szCs w:val="21"/>
          <w:color w:val="auto"/>
        </w:rPr>
      </w:pPr>
    </w:p>
    <w:p>
      <w:pPr>
        <w:ind w:left="260" w:firstLine="1288"/>
        <w:spacing w:after="0" w:line="260" w:lineRule="auto"/>
        <w:tabs>
          <w:tab w:leader="none" w:pos="1988"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Combination Therapies with Other Proprietary Products</w:t>
      </w:r>
      <w:r>
        <w:rPr>
          <w:rFonts w:ascii="Arial" w:cs="Arial" w:eastAsia="Arial" w:hAnsi="Arial"/>
          <w:sz w:val="21"/>
          <w:szCs w:val="21"/>
          <w:color w:val="auto"/>
        </w:rPr>
        <w:t>. No development of a Combination Therapy of an IO Discovery Program Antibody with an Other Proprietary Product may be pursued as part of the IO Discovery Program without [***]; provided that [***]. With respect to a Combination Therapy of an IO Discovery Program Antibody with an IO Licensed Product, [***]. The Parties acknowledge and agree that [***]. The “</w:t>
      </w:r>
      <w:r>
        <w:rPr>
          <w:rFonts w:ascii="Arial" w:cs="Arial" w:eastAsia="Arial" w:hAnsi="Arial"/>
          <w:sz w:val="21"/>
          <w:szCs w:val="21"/>
          <w:u w:val="single" w:color="auto"/>
          <w:color w:val="auto"/>
        </w:rPr>
        <w:t>Controlling Party</w:t>
      </w:r>
      <w:r>
        <w:rPr>
          <w:rFonts w:ascii="Arial" w:cs="Arial" w:eastAsia="Arial" w:hAnsi="Arial"/>
          <w:sz w:val="21"/>
          <w:szCs w:val="21"/>
          <w:color w:val="auto"/>
        </w:rPr>
        <w:t>” with respect to an Other Proprietary Product shall be determined as follows: (A) if such product is an IO Licensed Product under the IO License and Collaboration Agreement, the [***] shall be the Controlling Party (subject to the terms of the IO License and Collaboration Agreement), (B) if such product is an Existing Collaboration Product, then [***] shall be the Controlling Party ([***]), and (C) if such Other Proprietary Product is an Ex-Collaboration Product, the [***] shall be the Controlling Party. For clarity, references hereunder to the Party that is or is not the Controlling Party (including to the non-Controlling Party) with respect to an Other Proprietary Product shall refer to [***].</w:t>
      </w:r>
    </w:p>
    <w:p>
      <w:pPr>
        <w:spacing w:after="0" w:line="179" w:lineRule="exact"/>
        <w:rPr>
          <w:rFonts w:ascii="Arial" w:cs="Arial" w:eastAsia="Arial" w:hAnsi="Arial"/>
          <w:sz w:val="21"/>
          <w:szCs w:val="21"/>
          <w:color w:val="auto"/>
        </w:rPr>
      </w:pPr>
    </w:p>
    <w:p>
      <w:pPr>
        <w:ind w:left="660" w:right="20" w:firstLine="1293"/>
        <w:spacing w:after="0" w:line="247" w:lineRule="auto"/>
        <w:tabs>
          <w:tab w:leader="none" w:pos="2340"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Combination Therapies with IO Licensed Products</w:t>
      </w:r>
      <w:r>
        <w:rPr>
          <w:rFonts w:ascii="Arial" w:cs="Arial" w:eastAsia="Arial" w:hAnsi="Arial"/>
          <w:sz w:val="22"/>
          <w:szCs w:val="22"/>
          <w:color w:val="auto"/>
        </w:rPr>
        <w:t>. If the Parties agree to the development of a Combination Therapy of an IO Discovery Program Antibody with an IO Licensed Product, the development of such Combination Therapy shall be conducted [***], and [***] percent ([***]%) of the costs and expenses associated with developing such IO Licensed Product in combination with the proposed IO Discovery Program Antibody, including ([***]%) of Manufacturing Costs for clinical supply thereof, shall be [***]; provided, that [***]. If Sanofi proposes to conduct a clinical trial to develop a Combination Therapy of an IO Discovery Program Antibody with an IO Licensed Product and [***], Sanofi shall have the right to propose to conduct a clinical trial of such Combination Therapy as a Sanofi Funded Trial pursuant to Section 2.2(c) (which clinical trial, for clarity, shall constitute a Sanofi Proposed Combination Trial).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2" w:right="239" w:bottom="1440" w:gutter="0" w:footer="0" w:header="0"/>
        </w:sectPr>
      </w:pPr>
    </w:p>
    <w:bookmarkStart w:id="183" w:name="page184"/>
    <w:bookmarkEnd w:id="183"/>
    <w:p>
      <w:pPr>
        <w:ind w:left="2140" w:hanging="447"/>
        <w:spacing w:after="0"/>
        <w:tabs>
          <w:tab w:leader="none" w:pos="214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Combination Therapies with Existing Collaboration Products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60" w:right="120" w:firstLine="1968"/>
        <w:spacing w:after="0" w:line="294" w:lineRule="auto"/>
        <w:tabs>
          <w:tab w:leader="none" w:pos="2798" w:val="left"/>
        </w:tabs>
        <w:numPr>
          <w:ilvl w:val="2"/>
          <w:numId w:val="88"/>
        </w:numPr>
        <w:rPr>
          <w:rFonts w:ascii="Arial" w:cs="Arial" w:eastAsia="Arial" w:hAnsi="Arial"/>
          <w:sz w:val="19"/>
          <w:szCs w:val="19"/>
          <w:color w:val="auto"/>
        </w:rPr>
      </w:pPr>
      <w:r>
        <w:rPr>
          <w:rFonts w:ascii="Arial" w:cs="Arial" w:eastAsia="Arial" w:hAnsi="Arial"/>
          <w:sz w:val="19"/>
          <w:szCs w:val="19"/>
          <w:color w:val="auto"/>
        </w:rPr>
        <w:t>If the Parties agree to the development of a Combination Therapy of an IO Discovery Program Antibody with an Existing Collaboration Product, unless otherwise agreed by the Parties, the development of such Combination Therapy shall be conducted [***]. Unless the Parties otherwise agree, [***] percent ([***]%) of the costs and expenses associated with developing the proposed Existing Collaboration Product in combination with the proposed IO Discovery Program Antibody, including the cost of clinical supply of the Existing Collaboration Product, which shall be provided by the Controlling Party to the developing party pursuant to the terms of the applicable Existing Agreement at Manufacturing Cost, shall be [***] and [***] percent ([***]%) of such costs and expenses shall be [***].</w:t>
      </w:r>
    </w:p>
    <w:p>
      <w:pPr>
        <w:spacing w:after="0" w:line="152" w:lineRule="exact"/>
        <w:rPr>
          <w:rFonts w:ascii="Arial" w:cs="Arial" w:eastAsia="Arial" w:hAnsi="Arial"/>
          <w:sz w:val="19"/>
          <w:szCs w:val="19"/>
          <w:color w:val="auto"/>
        </w:rPr>
      </w:pPr>
    </w:p>
    <w:p>
      <w:pPr>
        <w:ind w:left="360" w:right="180" w:firstLine="1968"/>
        <w:spacing w:after="0" w:line="276" w:lineRule="auto"/>
        <w:tabs>
          <w:tab w:leader="none" w:pos="2786" w:val="left"/>
        </w:tabs>
        <w:numPr>
          <w:ilvl w:val="2"/>
          <w:numId w:val="88"/>
        </w:numPr>
        <w:rPr>
          <w:rFonts w:ascii="Arial" w:cs="Arial" w:eastAsia="Arial" w:hAnsi="Arial"/>
          <w:sz w:val="22"/>
          <w:szCs w:val="22"/>
          <w:color w:val="auto"/>
        </w:rPr>
      </w:pPr>
      <w:r>
        <w:rPr>
          <w:rFonts w:ascii="Arial" w:cs="Arial" w:eastAsia="Arial" w:hAnsi="Arial"/>
          <w:sz w:val="22"/>
          <w:szCs w:val="22"/>
          <w:color w:val="auto"/>
        </w:rPr>
        <w:t>If the [***], the [***] shall have the right, subject to the terms and conditions of the applicable Existing Agreement(s), to [***].</w:t>
      </w:r>
    </w:p>
    <w:p>
      <w:pPr>
        <w:spacing w:after="0" w:line="160" w:lineRule="exact"/>
        <w:rPr>
          <w:rFonts w:ascii="Arial" w:cs="Arial" w:eastAsia="Arial" w:hAnsi="Arial"/>
          <w:sz w:val="22"/>
          <w:szCs w:val="22"/>
          <w:color w:val="auto"/>
        </w:rPr>
      </w:pPr>
    </w:p>
    <w:p>
      <w:pPr>
        <w:ind w:left="2800" w:hanging="472"/>
        <w:spacing w:after="0"/>
        <w:tabs>
          <w:tab w:leader="none" w:pos="2800" w:val="left"/>
        </w:tabs>
        <w:numPr>
          <w:ilvl w:val="2"/>
          <w:numId w:val="88"/>
        </w:numPr>
        <w:rPr>
          <w:rFonts w:ascii="Arial" w:cs="Arial" w:eastAsia="Arial" w:hAnsi="Arial"/>
          <w:sz w:val="21"/>
          <w:szCs w:val="21"/>
          <w:color w:val="auto"/>
        </w:rPr>
      </w:pPr>
      <w:r>
        <w:rPr>
          <w:rFonts w:ascii="Arial" w:cs="Arial" w:eastAsia="Arial" w:hAnsi="Arial"/>
          <w:sz w:val="21"/>
          <w:szCs w:val="21"/>
          <w:color w:val="auto"/>
        </w:rPr>
        <w:t>If [***], [***] shall have the right, notwithstanding anything to the contrary in the Existing</w:t>
      </w:r>
    </w:p>
    <w:p>
      <w:pPr>
        <w:spacing w:after="0" w:line="33" w:lineRule="exact"/>
        <w:rPr>
          <w:rFonts w:ascii="Arial" w:cs="Arial" w:eastAsia="Arial" w:hAnsi="Arial"/>
          <w:sz w:val="21"/>
          <w:szCs w:val="21"/>
          <w:color w:val="auto"/>
        </w:rPr>
      </w:pPr>
    </w:p>
    <w:p>
      <w:pPr>
        <w:ind w:left="360"/>
        <w:spacing w:after="0"/>
        <w:rPr>
          <w:rFonts w:ascii="Arial" w:cs="Arial" w:eastAsia="Arial" w:hAnsi="Arial"/>
          <w:sz w:val="21"/>
          <w:szCs w:val="21"/>
          <w:color w:val="auto"/>
        </w:rPr>
      </w:pPr>
      <w:r>
        <w:rPr>
          <w:rFonts w:ascii="Arial" w:cs="Arial" w:eastAsia="Arial" w:hAnsi="Arial"/>
          <w:sz w:val="22"/>
          <w:szCs w:val="22"/>
          <w:color w:val="auto"/>
        </w:rPr>
        <w:t>Agreement(s), [***].</w:t>
      </w:r>
    </w:p>
    <w:p>
      <w:pPr>
        <w:spacing w:after="0" w:line="215" w:lineRule="exact"/>
        <w:rPr>
          <w:rFonts w:ascii="Arial" w:cs="Arial" w:eastAsia="Arial" w:hAnsi="Arial"/>
          <w:sz w:val="21"/>
          <w:szCs w:val="21"/>
          <w:color w:val="auto"/>
        </w:rPr>
      </w:pPr>
    </w:p>
    <w:p>
      <w:pPr>
        <w:ind w:left="360" w:right="160" w:firstLine="1968"/>
        <w:spacing w:after="0" w:line="260" w:lineRule="auto"/>
        <w:tabs>
          <w:tab w:leader="none" w:pos="2798" w:val="left"/>
        </w:tabs>
        <w:numPr>
          <w:ilvl w:val="2"/>
          <w:numId w:val="88"/>
        </w:numPr>
        <w:rPr>
          <w:rFonts w:ascii="Arial" w:cs="Arial" w:eastAsia="Arial" w:hAnsi="Arial"/>
          <w:sz w:val="22"/>
          <w:szCs w:val="22"/>
          <w:color w:val="auto"/>
        </w:rPr>
      </w:pPr>
      <w:r>
        <w:rPr>
          <w:rFonts w:ascii="Arial" w:cs="Arial" w:eastAsia="Arial" w:hAnsi="Arial"/>
          <w:sz w:val="22"/>
          <w:szCs w:val="22"/>
          <w:color w:val="auto"/>
        </w:rPr>
        <w:t>For clarity, nothing in this Section 2.9(b) is intended or shall be construed to limit Regeneron’s right to develop Combination Therapies with Other Products that are not Other Proprietary Products, which shall be governed by Section 2.9(c).</w:t>
      </w:r>
    </w:p>
    <w:p>
      <w:pPr>
        <w:spacing w:after="0" w:line="177" w:lineRule="exact"/>
        <w:rPr>
          <w:rFonts w:ascii="Arial" w:cs="Arial" w:eastAsia="Arial" w:hAnsi="Arial"/>
          <w:sz w:val="22"/>
          <w:szCs w:val="22"/>
          <w:color w:val="auto"/>
        </w:rPr>
      </w:pPr>
    </w:p>
    <w:p>
      <w:pPr>
        <w:ind w:left="400" w:right="20" w:firstLine="1293"/>
        <w:spacing w:after="0" w:line="294" w:lineRule="auto"/>
        <w:tabs>
          <w:tab w:leader="none" w:pos="2201"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Combination Therapies with Ex-Collaboration Products</w:t>
      </w:r>
      <w:r>
        <w:rPr>
          <w:rFonts w:ascii="Arial" w:cs="Arial" w:eastAsia="Arial" w:hAnsi="Arial"/>
          <w:sz w:val="19"/>
          <w:szCs w:val="19"/>
          <w:color w:val="auto"/>
        </w:rPr>
        <w:t>. If the Parties agree to the development of a Combination Therapy of an IO Discovery Program Antibody with an Ex-Collaboration Product (including with respect to Regeneron, the Terminated IO Discovery Program Antibodies), unless otherwise agreed by the Parties, the development of such Combination Therapy shall be conducted [***], and [***] shall be responsible for [***] percent ([***]%) of the costs and expenses [***] associated with developing the proposed Ex-Collaboration Product in combination with the proposed IO Discovery Program Antibody, including the cost of clinical supply, which shall be [***]. Without limitation to the obligations of either Party under Section 2.5, if the [***], the [***] shall be free to [***].</w:t>
      </w:r>
    </w:p>
    <w:p>
      <w:pPr>
        <w:spacing w:after="0" w:line="152" w:lineRule="exact"/>
        <w:rPr>
          <w:rFonts w:ascii="Arial" w:cs="Arial" w:eastAsia="Arial" w:hAnsi="Arial"/>
          <w:sz w:val="19"/>
          <w:szCs w:val="19"/>
          <w:color w:val="auto"/>
        </w:rPr>
      </w:pPr>
    </w:p>
    <w:p>
      <w:pPr>
        <w:ind w:firstLine="1288"/>
        <w:spacing w:after="0" w:line="292" w:lineRule="auto"/>
        <w:tabs>
          <w:tab w:leader="none" w:pos="171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Combination Therapies with Third Party Other Products</w:t>
      </w:r>
      <w:r>
        <w:rPr>
          <w:rFonts w:ascii="Arial" w:cs="Arial" w:eastAsia="Arial" w:hAnsi="Arial"/>
          <w:sz w:val="19"/>
          <w:szCs w:val="19"/>
          <w:color w:val="auto"/>
        </w:rPr>
        <w:t>. With respect to any Combination Therapy of an IO Discovery Program Antibody that does not involve an Other Proprietary Product (e.g., an Other Product owned or controlled by a Third Party or that is in the public domain), the applicable IO Antibody in such Combination Therapy shall be treated as [***], and the development of such Combination Therapy shall be conducted [***] under the IO Discovery Program, and [***] percent ([***]%) of the costs and expenses associated with developing such Combination Therapy, including ([***]%) of Manufacturing Costs for clinical supply thereof, shall be [***]; provided, that [***]. If Sanofi proposes to conduct a clinical trial to develop a Combination Therapy of an IO Discovery Program Antibody that does not involve an Other Proprietary Product and [***], Sanofi shall have the right to propose to conduct a clinical trial of such Combination Therapy as a Sanofi Funded</w:t>
      </w:r>
    </w:p>
    <w:p>
      <w:pPr>
        <w:spacing w:after="0" w:line="399"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160"/>
          </w:cols>
          <w:pgMar w:left="500" w:top="631" w:right="239" w:bottom="1440" w:gutter="0" w:footer="0" w:header="0"/>
        </w:sectPr>
      </w:pPr>
    </w:p>
    <w:bookmarkStart w:id="184" w:name="page185"/>
    <w:bookmarkEnd w:id="184"/>
    <w:p>
      <w:pPr>
        <w:ind w:left="260"/>
        <w:spacing w:after="0"/>
        <w:rPr>
          <w:sz w:val="20"/>
          <w:szCs w:val="20"/>
          <w:color w:val="auto"/>
        </w:rPr>
      </w:pPr>
      <w:r>
        <w:rPr>
          <w:rFonts w:ascii="Arial" w:cs="Arial" w:eastAsia="Arial" w:hAnsi="Arial"/>
          <w:sz w:val="21"/>
          <w:szCs w:val="21"/>
          <w:color w:val="auto"/>
        </w:rPr>
        <w:t>Trial pursuant to Section 2.2(c) (which clinical trial, for clarity, shall constitute a Sanofi Proposed Combination Trial).</w:t>
      </w:r>
    </w:p>
    <w:p>
      <w:pPr>
        <w:spacing w:after="0" w:line="231" w:lineRule="exact"/>
        <w:rPr>
          <w:sz w:val="20"/>
          <w:szCs w:val="20"/>
          <w:color w:val="auto"/>
        </w:rPr>
      </w:pPr>
    </w:p>
    <w:p>
      <w:pPr>
        <w:ind w:left="260" w:right="100" w:firstLine="1288"/>
        <w:spacing w:after="0" w:line="251" w:lineRule="auto"/>
        <w:tabs>
          <w:tab w:leader="none" w:pos="198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Without Limitation to Exclusivity</w:t>
      </w:r>
      <w:r>
        <w:rPr>
          <w:rFonts w:ascii="Arial" w:cs="Arial" w:eastAsia="Arial" w:hAnsi="Arial"/>
          <w:sz w:val="22"/>
          <w:szCs w:val="22"/>
          <w:color w:val="auto"/>
        </w:rPr>
        <w:t>. Except as expressly provided in this Section 2.9, nothing in this Section 2.9 is intended or shall be construed to modify the rights and obligations of the Parties under Section 2.5. For clarity, subject to the restrictions set forth in Section 2.5, nothing in this Section 2.9 shall prevent Sanofi from combining outside of this Agreement and the IO License and Collaboration Agreement its Ex-Collaboration Products with Competing Third Party Products.</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Third Party Licenses</w:t>
      </w:r>
      <w:r>
        <w:rPr>
          <w:rFonts w:ascii="Arial" w:cs="Arial" w:eastAsia="Arial" w:hAnsi="Arial"/>
          <w:sz w:val="19"/>
          <w:szCs w:val="19"/>
          <w:color w:val="auto"/>
        </w:rPr>
        <w:t>. The Parties acknowledge that, during the Term, one (1) or more licenses from one (1) or more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Third Parties [***]. In such an event, the following provisions shall apply:</w:t>
      </w:r>
    </w:p>
    <w:p>
      <w:pPr>
        <w:spacing w:after="0" w:line="215" w:lineRule="exact"/>
        <w:rPr>
          <w:sz w:val="20"/>
          <w:szCs w:val="20"/>
          <w:color w:val="auto"/>
        </w:rPr>
      </w:pPr>
    </w:p>
    <w:p>
      <w:pPr>
        <w:ind w:left="260" w:firstLine="1288"/>
        <w:spacing w:after="0" w:line="254" w:lineRule="auto"/>
        <w:tabs>
          <w:tab w:leader="none" w:pos="197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License by Regeneron</w:t>
      </w:r>
      <w:r>
        <w:rPr>
          <w:rFonts w:ascii="Arial" w:cs="Arial" w:eastAsia="Arial" w:hAnsi="Arial"/>
          <w:sz w:val="22"/>
          <w:szCs w:val="22"/>
          <w:color w:val="auto"/>
        </w:rPr>
        <w:t>. Regeneron shall determine, in its sole discretion, whether to, and shall have the right to, obtain and maintain any Third Party licenses to any Patent Rights relating to [***], including research necessary for [***]; provided, that Regeneron shall consult with Sanofi with respect thereto and shall consider in good faith Sanofi’s comments in connection therewith.</w:t>
      </w:r>
    </w:p>
    <w:p>
      <w:pPr>
        <w:spacing w:after="0" w:line="185" w:lineRule="exact"/>
        <w:rPr>
          <w:rFonts w:ascii="Arial" w:cs="Arial" w:eastAsia="Arial" w:hAnsi="Arial"/>
          <w:sz w:val="22"/>
          <w:szCs w:val="22"/>
          <w:color w:val="auto"/>
        </w:rPr>
      </w:pPr>
    </w:p>
    <w:p>
      <w:pPr>
        <w:ind w:left="260" w:right="140" w:firstLine="1288"/>
        <w:spacing w:after="0" w:line="276" w:lineRule="auto"/>
        <w:tabs>
          <w:tab w:leader="none" w:pos="198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License by Sanofi</w:t>
      </w:r>
      <w:r>
        <w:rPr>
          <w:rFonts w:ascii="Arial" w:cs="Arial" w:eastAsia="Arial" w:hAnsi="Arial"/>
          <w:sz w:val="22"/>
          <w:szCs w:val="22"/>
          <w:color w:val="auto"/>
        </w:rPr>
        <w:t>. In the event that Regeneron [***] or the Parties decide that [***], Sanofi shall have the right to obtain and maintain such Third Party licenses.</w:t>
      </w:r>
    </w:p>
    <w:p>
      <w:pPr>
        <w:spacing w:after="0" w:line="160" w:lineRule="exact"/>
        <w:rPr>
          <w:rFonts w:ascii="Arial" w:cs="Arial" w:eastAsia="Arial" w:hAnsi="Arial"/>
          <w:sz w:val="22"/>
          <w:szCs w:val="22"/>
          <w:color w:val="auto"/>
        </w:rPr>
      </w:pPr>
    </w:p>
    <w:p>
      <w:pPr>
        <w:ind w:left="260" w:right="440" w:firstLine="1288"/>
        <w:spacing w:after="0" w:line="276" w:lineRule="auto"/>
        <w:tabs>
          <w:tab w:leader="none" w:pos="197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If, as a result of either Party obtaining and maintaining such Third Party licenses, [***], such payments shall be [***] and shall not be [***] or [***].</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20"/>
          </w:cols>
          <w:pgMar w:left="240" w:top="631" w:right="339" w:bottom="1440" w:gutter="0" w:footer="0" w:header="0"/>
        </w:sectPr>
      </w:pPr>
    </w:p>
    <w:bookmarkStart w:id="185" w:name="page186"/>
    <w:bookmarkEnd w:id="185"/>
    <w:p>
      <w:pPr>
        <w:jc w:val="center"/>
        <w:ind w:right="42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u w:val="single" w:color="auto"/>
          <w:color w:val="auto"/>
        </w:rPr>
        <w:t>INFORMATION EXCHANGE AND UPDATES</w:t>
      </w:r>
    </w:p>
    <w:p>
      <w:pPr>
        <w:spacing w:after="0" w:line="21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Immuno-Oncology Steering Committee</w:t>
      </w:r>
      <w:r>
        <w:rPr>
          <w:rFonts w:ascii="Arial" w:cs="Arial" w:eastAsia="Arial" w:hAnsi="Arial"/>
          <w:sz w:val="19"/>
          <w:szCs w:val="19"/>
          <w:color w:val="auto"/>
        </w:rPr>
        <w:t>.</w:t>
      </w:r>
    </w:p>
    <w:p>
      <w:pPr>
        <w:spacing w:after="0" w:line="233" w:lineRule="exact"/>
        <w:rPr>
          <w:sz w:val="20"/>
          <w:szCs w:val="20"/>
          <w:color w:val="auto"/>
        </w:rPr>
      </w:pPr>
    </w:p>
    <w:p>
      <w:pPr>
        <w:ind w:firstLine="1288"/>
        <w:spacing w:after="0" w:line="288" w:lineRule="auto"/>
        <w:tabs>
          <w:tab w:leader="none" w:pos="171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Formation, Composition and Membership</w:t>
      </w:r>
      <w:r>
        <w:rPr>
          <w:rFonts w:ascii="Arial" w:cs="Arial" w:eastAsia="Arial" w:hAnsi="Arial"/>
          <w:sz w:val="19"/>
          <w:szCs w:val="19"/>
          <w:color w:val="auto"/>
        </w:rPr>
        <w:t>. The Parties will establish an Immuno-Oncology Steering Committee, or IOSC, which shall consist of at least three (3) senior representatives appointed by each of Regeneron and Sanofi having, in each case, the requisite experience and seniority to enable such person to make decisions on behalf of the Parties with respect to the issues falling within the jurisdiction of the IOSC. The IOSC established under this Agreement may have the same members as the IOSC established under the IO License and Collaboration Agreement, and such members may meet to simultaneously discuss matters within the jurisdiction of the IOSC under this Agreement and the IOSC under the IO License and Collaboration Agreement, respectively. Each Party may replace its IOSC members upon written notice to the other Party; provided, that (i) such replacement has comparable standing and authority within that Party’s organization as the person he or she is replacing (or is otherwise reasonably acceptable to the other Party) and (ii) unless otherwise agreed by the Parties, at all times, one of Sanofi’s representatives on the IOSC must be Sanofi’s President of Research and Development, or equivalent senior-most executive responsible for research and development, and one of Regeneron’s representatives on the IOSC must be Regeneron’s President of Research and Development, or equivalent senior-most executive responsible for research and development. The IOSC will have two (2) co-chairpersons, one designated by each of Regeneron and Sanofi.</w:t>
      </w:r>
    </w:p>
    <w:p>
      <w:pPr>
        <w:spacing w:after="0" w:line="156" w:lineRule="exact"/>
        <w:rPr>
          <w:rFonts w:ascii="Arial" w:cs="Arial" w:eastAsia="Arial" w:hAnsi="Arial"/>
          <w:sz w:val="19"/>
          <w:szCs w:val="19"/>
          <w:color w:val="auto"/>
        </w:rPr>
      </w:pPr>
    </w:p>
    <w:p>
      <w:pPr>
        <w:ind w:firstLine="1288"/>
        <w:spacing w:after="0" w:line="288" w:lineRule="auto"/>
        <w:tabs>
          <w:tab w:leader="none" w:pos="17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Meetings of the IOSC</w:t>
      </w:r>
      <w:r>
        <w:rPr>
          <w:rFonts w:ascii="Arial" w:cs="Arial" w:eastAsia="Arial" w:hAnsi="Arial"/>
          <w:sz w:val="19"/>
          <w:szCs w:val="19"/>
          <w:color w:val="auto"/>
        </w:rPr>
        <w:t>. The IOSC shall meet at least once every calendar quarter, unless the IOSC co-chairpersons otherwise agree in writing. All IOSC meetings may be conducted by telephone, video-conference or in person as determined by the IOSC co-chairpersons; provided, that the IOSC shall meet in person at least once each calendar year, unless the Parties mutually agree to meet by alternative means. Unless otherwise agreed by the Parties, all in-person meetings for IOSC shall be held on an alternating basis between Regeneron’s facilities and Sanofi’s facilities. Further, in addition to the regularly scheduled quarterly meetings, the IOSC shall meet upon the reasonable request of either Party’s co-chairperson. The co-chairpersons, with the assistance of the Alliance Managers, shall coordinate activities to prepare and circulate an agenda in advance of each meeting and prepare and issue draft minutes of each meeting within fourteen (14) days thereafter and final minutes within thirty (30) days thereafter. With the consent of the Parties (not to be unreasonably withheld, conditioned or delayed), a reasonable number of other representatives of a Party may attend any IOSC meeting as non-voting observers (provided, that such additional representatives are under obligations of confidentiality and non-use applicable to the Confidential Information of the other Party that are at least as stringent as those set forth in ARTICLE 9). Each Party shall be responsible for all of its own personnel and travel costs and expenses relating to participation in IOSC meetings.</w:t>
      </w:r>
    </w:p>
    <w:p>
      <w:pPr>
        <w:spacing w:after="0" w:line="400"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20"/>
          </w:cols>
          <w:pgMar w:left="500" w:top="625" w:right="279" w:bottom="1440" w:gutter="0" w:footer="0" w:header="0"/>
        </w:sectPr>
      </w:pPr>
    </w:p>
    <w:bookmarkStart w:id="186" w:name="page187"/>
    <w:bookmarkEnd w:id="186"/>
    <w:p>
      <w:pPr>
        <w:ind w:left="1960" w:hanging="412"/>
        <w:spacing w:after="0"/>
        <w:tabs>
          <w:tab w:leader="none" w:pos="19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The IOSC shall:</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93"/>
        </w:numPr>
        <w:rPr>
          <w:rFonts w:ascii="Arial" w:cs="Arial" w:eastAsia="Arial" w:hAnsi="Arial"/>
          <w:sz w:val="22"/>
          <w:szCs w:val="22"/>
          <w:color w:val="auto"/>
        </w:rPr>
      </w:pPr>
      <w:r>
        <w:rPr>
          <w:rFonts w:ascii="Arial" w:cs="Arial" w:eastAsia="Arial" w:hAnsi="Arial"/>
          <w:sz w:val="22"/>
          <w:szCs w:val="22"/>
          <w:color w:val="auto"/>
        </w:rPr>
        <w:t>review and discuss the IO Discovery Program, including any POC Development Plan;</w:t>
      </w:r>
    </w:p>
    <w:p>
      <w:pPr>
        <w:spacing w:after="0" w:line="233" w:lineRule="exact"/>
        <w:rPr>
          <w:rFonts w:ascii="Arial" w:cs="Arial" w:eastAsia="Arial" w:hAnsi="Arial"/>
          <w:sz w:val="22"/>
          <w:szCs w:val="22"/>
          <w:color w:val="auto"/>
        </w:rPr>
      </w:pPr>
    </w:p>
    <w:p>
      <w:pPr>
        <w:ind w:left="660" w:right="300" w:firstLine="1293"/>
        <w:spacing w:after="0" w:line="276" w:lineRule="auto"/>
        <w:tabs>
          <w:tab w:leader="none" w:pos="2401" w:val="left"/>
        </w:tabs>
        <w:numPr>
          <w:ilvl w:val="1"/>
          <w:numId w:val="93"/>
        </w:numPr>
        <w:rPr>
          <w:rFonts w:ascii="Arial" w:cs="Arial" w:eastAsia="Arial" w:hAnsi="Arial"/>
          <w:sz w:val="22"/>
          <w:szCs w:val="22"/>
          <w:color w:val="auto"/>
        </w:rPr>
      </w:pPr>
      <w:r>
        <w:rPr>
          <w:rFonts w:ascii="Arial" w:cs="Arial" w:eastAsia="Arial" w:hAnsi="Arial"/>
          <w:sz w:val="22"/>
          <w:szCs w:val="22"/>
          <w:color w:val="auto"/>
        </w:rPr>
        <w:t>in accordance with Section 2.2(c), review and discuss each Sanofi Funded Trial Plan for each Sanofi Funded Trial that is conducted under the IO Discovery Program;</w:t>
      </w:r>
    </w:p>
    <w:p>
      <w:pPr>
        <w:spacing w:after="0" w:line="160" w:lineRule="exact"/>
        <w:rPr>
          <w:rFonts w:ascii="Arial" w:cs="Arial" w:eastAsia="Arial" w:hAnsi="Arial"/>
          <w:sz w:val="22"/>
          <w:szCs w:val="22"/>
          <w:color w:val="auto"/>
        </w:rPr>
      </w:pPr>
    </w:p>
    <w:p>
      <w:pPr>
        <w:ind w:left="660" w:right="180" w:firstLine="1293"/>
        <w:spacing w:after="0" w:line="276" w:lineRule="auto"/>
        <w:tabs>
          <w:tab w:leader="none" w:pos="2461" w:val="left"/>
        </w:tabs>
        <w:numPr>
          <w:ilvl w:val="1"/>
          <w:numId w:val="93"/>
        </w:numPr>
        <w:rPr>
          <w:rFonts w:ascii="Arial" w:cs="Arial" w:eastAsia="Arial" w:hAnsi="Arial"/>
          <w:sz w:val="22"/>
          <w:szCs w:val="22"/>
          <w:color w:val="auto"/>
        </w:rPr>
      </w:pPr>
      <w:r>
        <w:rPr>
          <w:rFonts w:ascii="Arial" w:cs="Arial" w:eastAsia="Arial" w:hAnsi="Arial"/>
          <w:sz w:val="22"/>
          <w:szCs w:val="22"/>
          <w:color w:val="auto"/>
        </w:rPr>
        <w:t>review and discuss whether to develop IO Discovery Program Antibodies as Combination Therapies, including for use with Other Products (including Other Proprietary Products);</w:t>
      </w:r>
    </w:p>
    <w:p>
      <w:pPr>
        <w:spacing w:after="0" w:line="160" w:lineRule="exact"/>
        <w:rPr>
          <w:rFonts w:ascii="Arial" w:cs="Arial" w:eastAsia="Arial" w:hAnsi="Arial"/>
          <w:sz w:val="22"/>
          <w:szCs w:val="22"/>
          <w:color w:val="auto"/>
        </w:rPr>
      </w:pPr>
    </w:p>
    <w:p>
      <w:pPr>
        <w:ind w:left="660" w:right="140" w:firstLine="1293"/>
        <w:spacing w:after="0" w:line="358" w:lineRule="auto"/>
        <w:tabs>
          <w:tab w:leader="none" w:pos="2448" w:val="left"/>
        </w:tabs>
        <w:numPr>
          <w:ilvl w:val="1"/>
          <w:numId w:val="93"/>
        </w:numPr>
        <w:rPr>
          <w:rFonts w:ascii="Arial" w:cs="Arial" w:eastAsia="Arial" w:hAnsi="Arial"/>
          <w:sz w:val="19"/>
          <w:szCs w:val="19"/>
          <w:color w:val="auto"/>
        </w:rPr>
      </w:pPr>
      <w:r>
        <w:rPr>
          <w:rFonts w:ascii="Arial" w:cs="Arial" w:eastAsia="Arial" w:hAnsi="Arial"/>
          <w:sz w:val="19"/>
          <w:szCs w:val="19"/>
          <w:color w:val="auto"/>
        </w:rPr>
        <w:t>review and discuss whether to continue any POC Development for a Product Candidate Family under this Agreement after the date that Regeneron receives an Opt-In Notice from Sanofi for such Product Candidate Family;</w:t>
      </w:r>
    </w:p>
    <w:p>
      <w:pPr>
        <w:spacing w:after="0" w:line="90" w:lineRule="exact"/>
        <w:rPr>
          <w:rFonts w:ascii="Arial" w:cs="Arial" w:eastAsia="Arial" w:hAnsi="Arial"/>
          <w:sz w:val="19"/>
          <w:szCs w:val="19"/>
          <w:color w:val="auto"/>
        </w:rPr>
      </w:pPr>
    </w:p>
    <w:p>
      <w:pPr>
        <w:ind w:left="660" w:firstLine="1293"/>
        <w:spacing w:after="0" w:line="276" w:lineRule="auto"/>
        <w:tabs>
          <w:tab w:leader="none" w:pos="2389" w:val="left"/>
        </w:tabs>
        <w:numPr>
          <w:ilvl w:val="1"/>
          <w:numId w:val="93"/>
        </w:numPr>
        <w:rPr>
          <w:rFonts w:ascii="Arial" w:cs="Arial" w:eastAsia="Arial" w:hAnsi="Arial"/>
          <w:sz w:val="22"/>
          <w:szCs w:val="22"/>
          <w:color w:val="auto"/>
        </w:rPr>
      </w:pPr>
      <w:r>
        <w:rPr>
          <w:rFonts w:ascii="Arial" w:cs="Arial" w:eastAsia="Arial" w:hAnsi="Arial"/>
          <w:sz w:val="22"/>
          <w:szCs w:val="22"/>
          <w:color w:val="auto"/>
        </w:rPr>
        <w:t>review and discuss proposed endpoints for clinical trials conducted under the IO Discovery Program for an IO Discovery Program Antibody;</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93"/>
        </w:numPr>
        <w:rPr>
          <w:rFonts w:ascii="Arial" w:cs="Arial" w:eastAsia="Arial" w:hAnsi="Arial"/>
          <w:sz w:val="19"/>
          <w:szCs w:val="19"/>
          <w:color w:val="auto"/>
        </w:rPr>
      </w:pPr>
      <w:r>
        <w:rPr>
          <w:rFonts w:ascii="Arial" w:cs="Arial" w:eastAsia="Arial" w:hAnsi="Arial"/>
          <w:sz w:val="19"/>
          <w:szCs w:val="19"/>
          <w:color w:val="auto"/>
        </w:rPr>
        <w:t>review and discuss any draft Post-POC Development Plan proposed by Regeneron under Section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5.2(b);</w:t>
      </w:r>
    </w:p>
    <w:p>
      <w:pPr>
        <w:spacing w:after="0" w:line="215" w:lineRule="exact"/>
        <w:rPr>
          <w:sz w:val="20"/>
          <w:szCs w:val="20"/>
          <w:color w:val="auto"/>
        </w:rPr>
      </w:pPr>
    </w:p>
    <w:p>
      <w:pPr>
        <w:ind w:left="660" w:right="500" w:firstLine="1293"/>
        <w:spacing w:after="0" w:line="276" w:lineRule="auto"/>
        <w:tabs>
          <w:tab w:leader="none" w:pos="2509" w:val="left"/>
        </w:tabs>
        <w:numPr>
          <w:ilvl w:val="1"/>
          <w:numId w:val="94"/>
        </w:numPr>
        <w:rPr>
          <w:rFonts w:ascii="Arial" w:cs="Arial" w:eastAsia="Arial" w:hAnsi="Arial"/>
          <w:sz w:val="22"/>
          <w:szCs w:val="22"/>
          <w:color w:val="auto"/>
        </w:rPr>
      </w:pPr>
      <w:r>
        <w:rPr>
          <w:rFonts w:ascii="Arial" w:cs="Arial" w:eastAsia="Arial" w:hAnsi="Arial"/>
          <w:sz w:val="22"/>
          <w:szCs w:val="22"/>
          <w:color w:val="auto"/>
        </w:rPr>
        <w:t>review and discuss Sanofi’s suggestions for the IO Discovery Program, including proposals from Sanofi to conduct Sanofi Funded Trials;</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attempt in good faith to resolve any Post-POC Plan Disputes referred to the IOSC pursuant to 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5.2(f);</w:t>
      </w:r>
    </w:p>
    <w:p>
      <w:pPr>
        <w:spacing w:after="0" w:line="215" w:lineRule="exact"/>
        <w:rPr>
          <w:rFonts w:ascii="Arial" w:cs="Arial" w:eastAsia="Arial" w:hAnsi="Arial"/>
          <w:sz w:val="19"/>
          <w:szCs w:val="19"/>
          <w:color w:val="auto"/>
        </w:rPr>
      </w:pPr>
    </w:p>
    <w:p>
      <w:pPr>
        <w:ind w:left="2440" w:hanging="487"/>
        <w:spacing w:after="0"/>
        <w:tabs>
          <w:tab w:leader="none" w:pos="2440" w:val="left"/>
        </w:tabs>
        <w:numPr>
          <w:ilvl w:val="1"/>
          <w:numId w:val="94"/>
        </w:numPr>
        <w:rPr>
          <w:rFonts w:ascii="Arial" w:cs="Arial" w:eastAsia="Arial" w:hAnsi="Arial"/>
          <w:sz w:val="19"/>
          <w:szCs w:val="19"/>
          <w:color w:val="auto"/>
        </w:rPr>
      </w:pPr>
      <w:r>
        <w:rPr>
          <w:rFonts w:ascii="Arial" w:cs="Arial" w:eastAsia="Arial" w:hAnsi="Arial"/>
          <w:sz w:val="19"/>
          <w:szCs w:val="19"/>
          <w:color w:val="auto"/>
        </w:rPr>
        <w:t>consider and act upon such other matters as specified in this Agreement or as otherwise agreed to by</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Parties; and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380" w:hanging="427"/>
        <w:spacing w:after="0"/>
        <w:tabs>
          <w:tab w:leader="none" w:pos="2380" w:val="left"/>
        </w:tabs>
        <w:numPr>
          <w:ilvl w:val="1"/>
          <w:numId w:val="94"/>
        </w:numPr>
        <w:rPr>
          <w:rFonts w:ascii="Arial" w:cs="Arial" w:eastAsia="Arial" w:hAnsi="Arial"/>
          <w:sz w:val="22"/>
          <w:szCs w:val="22"/>
          <w:color w:val="auto"/>
        </w:rPr>
      </w:pPr>
      <w:r>
        <w:rPr>
          <w:rFonts w:ascii="Arial" w:cs="Arial" w:eastAsia="Arial" w:hAnsi="Arial"/>
          <w:sz w:val="22"/>
          <w:szCs w:val="22"/>
          <w:color w:val="auto"/>
        </w:rPr>
        <w:t>make any such decisions as are expressly allocated to the IOSC under this Agreement.</w:t>
      </w:r>
    </w:p>
    <w:p>
      <w:pPr>
        <w:spacing w:after="0" w:line="233" w:lineRule="exact"/>
        <w:rPr>
          <w:rFonts w:ascii="Arial" w:cs="Arial" w:eastAsia="Arial" w:hAnsi="Arial"/>
          <w:sz w:val="22"/>
          <w:szCs w:val="22"/>
          <w:color w:val="auto"/>
        </w:rPr>
      </w:pPr>
    </w:p>
    <w:p>
      <w:pPr>
        <w:ind w:left="260" w:firstLine="1288"/>
        <w:spacing w:after="0" w:line="248" w:lineRule="auto"/>
        <w:tabs>
          <w:tab w:leader="none" w:pos="198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Decision Making</w:t>
      </w:r>
      <w:r>
        <w:rPr>
          <w:rFonts w:ascii="Arial" w:cs="Arial" w:eastAsia="Arial" w:hAnsi="Arial"/>
          <w:sz w:val="22"/>
          <w:szCs w:val="22"/>
          <w:color w:val="auto"/>
        </w:rPr>
        <w:t>. The IOSC shall review and discuss the matters before it in good faith such that the perspectives of each Party’s representatives on the IOSC are given due consideration; provided, that, except as otherwise expressly set forth in this Agreement, (i) Sanofi’s chairperson of the IOSC (or his or her designee) shall have the right to make the final decision on any matter relating to [***], and (ii) Regeneron’s chairperson of the IOSC (or his or her designee) shall have the right, consistent with Regeneron’s obligations hereunder, to make the final decision on any other matter properly before the IOSC in accordance with this Agreement. For clarity, Regeneron’s final decision-making authority shall not extend to any Arbitrable Matter or Expert Panel Dispute.</w:t>
      </w:r>
    </w:p>
    <w:p>
      <w:pPr>
        <w:spacing w:after="0" w:line="196"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Alliance Management</w:t>
      </w:r>
      <w:r>
        <w:rPr>
          <w:rFonts w:ascii="Arial" w:cs="Arial" w:eastAsia="Arial" w:hAnsi="Arial"/>
          <w:sz w:val="22"/>
          <w:szCs w:val="22"/>
          <w:color w:val="auto"/>
        </w:rPr>
        <w:t>. Each of Sanofi and Regeneron shall appoint a senior representative who possesses a general understanding of research, clinical, and regulatory issues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80"/>
          </w:cols>
          <w:pgMar w:left="240" w:top="631" w:right="279" w:bottom="1440" w:gutter="0" w:footer="0" w:header="0"/>
        </w:sectPr>
      </w:pPr>
    </w:p>
    <w:bookmarkStart w:id="187" w:name="page188"/>
    <w:bookmarkEnd w:id="187"/>
    <w:p>
      <w:pPr>
        <w:spacing w:after="0" w:line="248" w:lineRule="auto"/>
        <w:rPr>
          <w:sz w:val="20"/>
          <w:szCs w:val="20"/>
          <w:color w:val="auto"/>
        </w:rPr>
      </w:pPr>
      <w:r>
        <w:rPr>
          <w:rFonts w:ascii="Arial" w:cs="Arial" w:eastAsia="Arial" w:hAnsi="Arial"/>
          <w:sz w:val="22"/>
          <w:szCs w:val="22"/>
          <w:color w:val="auto"/>
        </w:rPr>
        <w:t>to act as its Alliance Manager (“</w:t>
      </w:r>
      <w:r>
        <w:rPr>
          <w:rFonts w:ascii="Arial" w:cs="Arial" w:eastAsia="Arial" w:hAnsi="Arial"/>
          <w:sz w:val="22"/>
          <w:szCs w:val="22"/>
          <w:u w:val="single" w:color="auto"/>
          <w:color w:val="auto"/>
        </w:rPr>
        <w:t>Alliance Manager</w:t>
      </w:r>
      <w:r>
        <w:rPr>
          <w:rFonts w:ascii="Arial" w:cs="Arial" w:eastAsia="Arial" w:hAnsi="Arial"/>
          <w:sz w:val="22"/>
          <w:szCs w:val="22"/>
          <w:color w:val="auto"/>
        </w:rPr>
        <w:t>”). Each Alliance Manager shall be charged with creating and maintaining a collaborative work environment between the Parties. Each Alliance Manager will also be responsible for providing single-point communication for responding to reasonable information requests between quarterly IOSC meetings and seeking consensus both internally within the respective Party’s organization and with the other Party’s organization, including facilitating review of external corporate communications.</w:t>
      </w:r>
    </w:p>
    <w:p>
      <w:pPr>
        <w:spacing w:after="0" w:line="192"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Obligations of the Parties and their Affiliates</w:t>
      </w:r>
      <w:r>
        <w:rPr>
          <w:rFonts w:ascii="Arial" w:cs="Arial" w:eastAsia="Arial" w:hAnsi="Arial"/>
          <w:sz w:val="22"/>
          <w:szCs w:val="22"/>
          <w:color w:val="auto"/>
        </w:rPr>
        <w:t>. The Parties shall cause their respective designees on the IOSC to take the actions and make the decisions provided herein to be taken and made by such respective designees in the manner and within the applicable time periods provided herein.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Exchange of Information</w:t>
      </w:r>
      <w:r>
        <w:rPr>
          <w:rFonts w:ascii="Arial" w:cs="Arial" w:eastAsia="Arial" w:hAnsi="Arial"/>
          <w:sz w:val="19"/>
          <w:szCs w:val="19"/>
          <w:color w:val="auto"/>
        </w:rPr>
        <w:t>.</w:t>
      </w:r>
    </w:p>
    <w:p>
      <w:pPr>
        <w:spacing w:after="0" w:line="233" w:lineRule="exact"/>
        <w:rPr>
          <w:sz w:val="20"/>
          <w:szCs w:val="20"/>
          <w:color w:val="auto"/>
        </w:rPr>
      </w:pPr>
    </w:p>
    <w:p>
      <w:pPr>
        <w:ind w:left="260" w:right="240" w:firstLine="1288"/>
        <w:spacing w:after="0" w:line="251" w:lineRule="auto"/>
        <w:tabs>
          <w:tab w:leader="none" w:pos="1976" w:val="left"/>
        </w:tabs>
        <w:numPr>
          <w:ilvl w:val="1"/>
          <w:numId w:val="96"/>
        </w:numPr>
        <w:rPr>
          <w:rFonts w:ascii="Arial" w:cs="Arial" w:eastAsia="Arial" w:hAnsi="Arial"/>
          <w:sz w:val="22"/>
          <w:szCs w:val="22"/>
          <w:color w:val="auto"/>
        </w:rPr>
      </w:pPr>
      <w:r>
        <w:rPr>
          <w:rFonts w:ascii="Arial" w:cs="Arial" w:eastAsia="Arial" w:hAnsi="Arial"/>
          <w:sz w:val="22"/>
          <w:szCs w:val="22"/>
          <w:color w:val="auto"/>
        </w:rPr>
        <w:t>Each of Regeneron and, to the extent Sanofi conducts any Sanofi Funded Trials pursuant to Section 2.2(c), Sanofi, will provide regular and fulsome updates to the other Party, through the IOSC, concerning the progress of the IO Discovery Program, including to promptly notify the other Party of (a) any material correspondence with a Governmental Authority, (b) any submission to the FDA [***] and any decision of the FDA [***] and (c) any KRMs with respect to any clinical trials conducted by such Party under such Plan.</w:t>
      </w:r>
    </w:p>
    <w:p>
      <w:pPr>
        <w:spacing w:after="0" w:line="189" w:lineRule="exact"/>
        <w:rPr>
          <w:rFonts w:ascii="Arial" w:cs="Arial" w:eastAsia="Arial" w:hAnsi="Arial"/>
          <w:sz w:val="22"/>
          <w:szCs w:val="22"/>
          <w:color w:val="auto"/>
        </w:rPr>
      </w:pPr>
    </w:p>
    <w:p>
      <w:pPr>
        <w:ind w:left="260" w:right="240" w:firstLine="1288"/>
        <w:spacing w:after="0" w:line="293" w:lineRule="auto"/>
        <w:tabs>
          <w:tab w:leader="none" w:pos="1988" w:val="left"/>
        </w:tabs>
        <w:numPr>
          <w:ilvl w:val="1"/>
          <w:numId w:val="96"/>
        </w:numPr>
        <w:rPr>
          <w:rFonts w:ascii="Arial" w:cs="Arial" w:eastAsia="Arial" w:hAnsi="Arial"/>
          <w:sz w:val="19"/>
          <w:szCs w:val="19"/>
          <w:color w:val="auto"/>
        </w:rPr>
      </w:pPr>
      <w:r>
        <w:rPr>
          <w:rFonts w:ascii="Arial" w:cs="Arial" w:eastAsia="Arial" w:hAnsi="Arial"/>
          <w:sz w:val="19"/>
          <w:szCs w:val="19"/>
          <w:color w:val="auto"/>
        </w:rPr>
        <w:t>Without limiting the foregoing, each Party will provide to the other Party’s representatives on the IOSC a written report (in electronic form) summarizing the material activities undertaken and any material information with respect to each IO Discovery Program Antibody and IO Discovery Program Target Profile then being developed under a Plan, including</w:t>
      </w:r>
    </w:p>
    <w:p>
      <w:pPr>
        <w:spacing w:after="0" w:line="1" w:lineRule="exact"/>
        <w:rPr>
          <w:rFonts w:ascii="Arial" w:cs="Arial" w:eastAsia="Arial" w:hAnsi="Arial"/>
          <w:sz w:val="19"/>
          <w:szCs w:val="19"/>
          <w:color w:val="auto"/>
        </w:rPr>
      </w:pPr>
    </w:p>
    <w:p>
      <w:pPr>
        <w:ind w:left="560" w:hanging="309"/>
        <w:spacing w:after="0"/>
        <w:tabs>
          <w:tab w:leader="none" w:pos="5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any of the information set forth in clauses (a), (b) or (c) and </w:t>
      </w:r>
      <w:r>
        <w:rPr>
          <w:rFonts w:ascii="Arial" w:cs="Arial" w:eastAsia="Arial" w:hAnsi="Arial"/>
          <w:sz w:val="19"/>
          <w:szCs w:val="19"/>
          <w:u w:val="single" w:color="auto"/>
          <w:color w:val="auto"/>
        </w:rPr>
        <w:t>Schedule 5</w:t>
      </w:r>
      <w:r>
        <w:rPr>
          <w:rFonts w:ascii="Arial" w:cs="Arial" w:eastAsia="Arial" w:hAnsi="Arial"/>
          <w:sz w:val="19"/>
          <w:szCs w:val="19"/>
          <w:color w:val="auto"/>
        </w:rPr>
        <w:t>, to the extent not previously provided to the IOSC,</w:t>
      </w:r>
    </w:p>
    <w:p>
      <w:pPr>
        <w:spacing w:after="0" w:line="38" w:lineRule="exact"/>
        <w:rPr>
          <w:rFonts w:ascii="Arial" w:cs="Arial" w:eastAsia="Arial" w:hAnsi="Arial"/>
          <w:sz w:val="19"/>
          <w:szCs w:val="19"/>
          <w:color w:val="auto"/>
        </w:rPr>
      </w:pPr>
    </w:p>
    <w:p>
      <w:pPr>
        <w:ind w:left="260" w:right="100" w:hanging="9"/>
        <w:spacing w:after="0" w:line="295" w:lineRule="auto"/>
        <w:tabs>
          <w:tab w:leader="none" w:pos="566" w:val="left"/>
        </w:tabs>
        <w:numPr>
          <w:ilvl w:val="0"/>
          <w:numId w:val="97"/>
        </w:numPr>
        <w:rPr>
          <w:rFonts w:ascii="Arial" w:cs="Arial" w:eastAsia="Arial" w:hAnsi="Arial"/>
          <w:sz w:val="19"/>
          <w:szCs w:val="19"/>
          <w:color w:val="auto"/>
        </w:rPr>
      </w:pPr>
      <w:r>
        <w:rPr>
          <w:rFonts w:ascii="Arial" w:cs="Arial" w:eastAsia="Arial" w:hAnsi="Arial"/>
          <w:sz w:val="19"/>
          <w:szCs w:val="19"/>
          <w:color w:val="auto"/>
        </w:rPr>
        <w:t>updates to the POC Development Plan, if any, and (z) a summary of the results achieved by such Party under the IO Discovery Program, and each Party will use its Commercially Reasonable Efforts to provide such written report at least ten (10) days prior to each regular quarterly meeting of the IOSC during the Term or within ten (10) days from the end of the calendar quarter if the IOSC co-chairpersons have agreed in writing that there would be no IOSC meeting on that calendar quarter.</w:t>
      </w:r>
    </w:p>
    <w:p>
      <w:pPr>
        <w:spacing w:after="0" w:line="150" w:lineRule="exact"/>
        <w:rPr>
          <w:rFonts w:ascii="Arial" w:cs="Arial" w:eastAsia="Arial" w:hAnsi="Arial"/>
          <w:sz w:val="19"/>
          <w:szCs w:val="19"/>
          <w:color w:val="auto"/>
        </w:rPr>
      </w:pPr>
    </w:p>
    <w:p>
      <w:pPr>
        <w:ind w:left="260" w:right="40" w:firstLine="1288"/>
        <w:spacing w:after="0" w:line="254" w:lineRule="auto"/>
        <w:tabs>
          <w:tab w:leader="none" w:pos="1976" w:val="left"/>
        </w:tabs>
        <w:numPr>
          <w:ilvl w:val="1"/>
          <w:numId w:val="97"/>
        </w:numPr>
        <w:rPr>
          <w:rFonts w:ascii="Arial" w:cs="Arial" w:eastAsia="Arial" w:hAnsi="Arial"/>
          <w:sz w:val="22"/>
          <w:szCs w:val="22"/>
          <w:color w:val="auto"/>
        </w:rPr>
      </w:pPr>
      <w:r>
        <w:rPr>
          <w:rFonts w:ascii="Arial" w:cs="Arial" w:eastAsia="Arial" w:hAnsi="Arial"/>
          <w:sz w:val="22"/>
          <w:szCs w:val="22"/>
          <w:color w:val="auto"/>
        </w:rPr>
        <w:t>Together with the written reports in clause (b) above, Regeneron shall deliver electronically to Sanofi a written report setting forth in reasonable detail the Program Costs incurred by Regeneron or any of its Affiliates in such calendar quarter with respect to each Bi-Specific Program against the Program Costs Cap applicable to such Bi-Specific Program, which report shall be for informational purposes only.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188" w:name="page189"/>
    <w:bookmarkEnd w:id="188"/>
    <w:p>
      <w:pPr>
        <w:ind w:left="478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PAYMENTS</w:t>
      </w:r>
    </w:p>
    <w:p>
      <w:pPr>
        <w:spacing w:after="0" w:line="21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Payment to Regeneron</w:t>
      </w:r>
      <w:r>
        <w:rPr>
          <w:rFonts w:ascii="Arial" w:cs="Arial" w:eastAsia="Arial" w:hAnsi="Arial"/>
          <w:sz w:val="19"/>
          <w:szCs w:val="19"/>
          <w:color w:val="auto"/>
        </w:rPr>
        <w:t>.</w:t>
      </w:r>
    </w:p>
    <w:p>
      <w:pPr>
        <w:spacing w:after="0" w:line="233" w:lineRule="exact"/>
        <w:rPr>
          <w:sz w:val="20"/>
          <w:szCs w:val="20"/>
          <w:color w:val="auto"/>
        </w:rPr>
      </w:pPr>
    </w:p>
    <w:p>
      <w:pPr>
        <w:ind w:right="20" w:firstLine="1288"/>
        <w:spacing w:after="0" w:line="294" w:lineRule="auto"/>
        <w:tabs>
          <w:tab w:leader="none" w:pos="17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Sanofi shall pay to Regeneron a non-refundable, non-creditable amount of Four Hundred Sixty One Million, Nine Hundred Twelve Thousand, One Hundred and Six Dollars and Twenty-Seven Cents ($461,912,106.27) (the “</w:t>
      </w:r>
      <w:r>
        <w:rPr>
          <w:rFonts w:ascii="Arial" w:cs="Arial" w:eastAsia="Arial" w:hAnsi="Arial"/>
          <w:sz w:val="19"/>
          <w:szCs w:val="19"/>
          <w:u w:val="single" w:color="auto"/>
          <w:color w:val="auto"/>
        </w:rPr>
        <w:t>Payment</w:t>
      </w:r>
      <w:r>
        <w:rPr>
          <w:rFonts w:ascii="Arial" w:cs="Arial" w:eastAsia="Arial" w:hAnsi="Arial"/>
          <w:sz w:val="19"/>
          <w:szCs w:val="19"/>
          <w:color w:val="auto"/>
        </w:rPr>
        <w:t>”) as consideration for (x) the termination of the Original Agreement as provided in Section 2.1(a) (“</w:t>
      </w:r>
      <w:r>
        <w:rPr>
          <w:rFonts w:ascii="Arial" w:cs="Arial" w:eastAsia="Arial" w:hAnsi="Arial"/>
          <w:sz w:val="19"/>
          <w:szCs w:val="19"/>
          <w:u w:val="single" w:color="auto"/>
          <w:color w:val="auto"/>
        </w:rPr>
        <w:t>Termination Fee</w:t>
      </w:r>
      <w:r>
        <w:rPr>
          <w:rFonts w:ascii="Arial" w:cs="Arial" w:eastAsia="Arial" w:hAnsi="Arial"/>
          <w:sz w:val="19"/>
          <w:szCs w:val="19"/>
          <w:color w:val="auto"/>
        </w:rPr>
        <w:t>”), (y) the prepayment for focusing the performance of the IO Discovery Program on the IO Discovery Program Antibodies (“</w:t>
      </w:r>
      <w:r>
        <w:rPr>
          <w:rFonts w:ascii="Arial" w:cs="Arial" w:eastAsia="Arial" w:hAnsi="Arial"/>
          <w:sz w:val="19"/>
          <w:szCs w:val="19"/>
          <w:u w:val="single" w:color="auto"/>
          <w:color w:val="auto"/>
        </w:rPr>
        <w:t>Pre-Payment</w:t>
      </w:r>
      <w:r>
        <w:rPr>
          <w:rFonts w:ascii="Arial" w:cs="Arial" w:eastAsia="Arial" w:hAnsi="Arial"/>
          <w:sz w:val="19"/>
          <w:szCs w:val="19"/>
          <w:color w:val="auto"/>
        </w:rPr>
        <w:t>”) and (z) Terminated IO Discovery Program Costs incurred by Regeneron under the Terminated IO Discovery Program from October 1, 2018 through December 31, 2018, which clause (z) shall be considered as an “IO Reimbursement Payment” under the Original Agreement for the purposes of Section 2.1(a)(iii) of this Agreement.</w:t>
      </w:r>
    </w:p>
    <w:p>
      <w:pPr>
        <w:spacing w:after="0" w:line="152" w:lineRule="exact"/>
        <w:rPr>
          <w:rFonts w:ascii="Arial" w:cs="Arial" w:eastAsia="Arial" w:hAnsi="Arial"/>
          <w:sz w:val="19"/>
          <w:szCs w:val="19"/>
          <w:color w:val="auto"/>
        </w:rPr>
      </w:pPr>
    </w:p>
    <w:p>
      <w:pPr>
        <w:ind w:right="160" w:firstLine="1288"/>
        <w:spacing w:after="0" w:line="276" w:lineRule="auto"/>
        <w:tabs>
          <w:tab w:leader="none" w:pos="1728"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Payment shall be made within ten (10) Business Days of Sanofi’s receipt of invoices from Regeneron (which invoice may be delivered electronically) following the A&amp;R Agreement Effective Date.</w:t>
      </w:r>
    </w:p>
    <w:p>
      <w:pPr>
        <w:spacing w:after="0" w:line="160" w:lineRule="exact"/>
        <w:rPr>
          <w:rFonts w:ascii="Arial" w:cs="Arial" w:eastAsia="Arial" w:hAnsi="Arial"/>
          <w:sz w:val="22"/>
          <w:szCs w:val="22"/>
          <w:color w:val="auto"/>
        </w:rPr>
      </w:pPr>
    </w:p>
    <w:p>
      <w:pPr>
        <w:ind w:right="60" w:firstLine="1288"/>
        <w:spacing w:after="0" w:line="260" w:lineRule="auto"/>
        <w:tabs>
          <w:tab w:leader="none" w:pos="17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Parties acknowledge that the Program Costs are research and development expenses, as defined in the U.S. Internal Revenue Code Section 41, and agree that any and all credits or deductions to which either Party may be entitled on account of such Program Costs shall be allocated to Sanofi.</w:t>
      </w:r>
    </w:p>
    <w:p>
      <w:pPr>
        <w:spacing w:after="0" w:line="177" w:lineRule="exact"/>
        <w:rPr>
          <w:rFonts w:ascii="Arial" w:cs="Arial" w:eastAsia="Arial" w:hAnsi="Arial"/>
          <w:sz w:val="22"/>
          <w:szCs w:val="22"/>
          <w:color w:val="auto"/>
        </w:rPr>
      </w:pPr>
    </w:p>
    <w:p>
      <w:pPr>
        <w:ind w:left="1720" w:hanging="432"/>
        <w:spacing w:after="0"/>
        <w:tabs>
          <w:tab w:leader="none" w:pos="172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MUC16xCD3 Program Costs Cap</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firstLine="1293"/>
        <w:spacing w:after="0" w:line="287" w:lineRule="auto"/>
        <w:tabs>
          <w:tab w:leader="none" w:pos="2080"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 respect to the MUC16xCD3 Program, if during a calendar quarter, (A) either Regeneron determines that it is likely that the Program Costs with respect to the MUC16xCD3 Program will reach Fifty Million Dollars ($50,000,000) in the following calendar quarter or the Program Costs with respect to the MUC16xCD3 Program reach Fifty Million Dollars ($50,000,000) in such calendar quarter, (B) in Regeneron’s reasonable determination, POC will not be achieved for a MUC16xCD3 Program Antibody prior to the Program Costs with respect to the MUC16xCD3 Program reaching Fifty Million Dollars ($50,000,000), and (C) no MUC16xCD3 Program Antibody has received FDA Breakthrough Therapy Designation, then Regeneron shall provide written notice thereof to Sanofi (a “</w:t>
      </w:r>
      <w:r>
        <w:rPr>
          <w:rFonts w:ascii="Arial" w:cs="Arial" w:eastAsia="Arial" w:hAnsi="Arial"/>
          <w:sz w:val="19"/>
          <w:szCs w:val="19"/>
          <w:u w:val="single" w:color="auto"/>
          <w:color w:val="auto"/>
        </w:rPr>
        <w:t>Costs Cap Notice</w:t>
      </w:r>
      <w:r>
        <w:rPr>
          <w:rFonts w:ascii="Arial" w:cs="Arial" w:eastAsia="Arial" w:hAnsi="Arial"/>
          <w:sz w:val="19"/>
          <w:szCs w:val="19"/>
          <w:color w:val="auto"/>
        </w:rPr>
        <w:t>”), and Sanofi shall have the option to increase the MUC16xCD3 Program Costs Cap to Seventy Million Dollars ($70,000,000) (“</w:t>
      </w:r>
      <w:r>
        <w:rPr>
          <w:rFonts w:ascii="Arial" w:cs="Arial" w:eastAsia="Arial" w:hAnsi="Arial"/>
          <w:sz w:val="19"/>
          <w:szCs w:val="19"/>
          <w:u w:val="single" w:color="auto"/>
          <w:color w:val="auto"/>
        </w:rPr>
        <w:t>Costs Cap Increase Option</w:t>
      </w:r>
      <w:r>
        <w:rPr>
          <w:rFonts w:ascii="Arial" w:cs="Arial" w:eastAsia="Arial" w:hAnsi="Arial"/>
          <w:sz w:val="19"/>
          <w:szCs w:val="19"/>
          <w:color w:val="auto"/>
        </w:rPr>
        <w:t>”) by making a non-refundable, non-creditable payment to Regeneron of Twenty Million Dollars ($20,000,000) (the “</w:t>
      </w:r>
      <w:r>
        <w:rPr>
          <w:rFonts w:ascii="Arial" w:cs="Arial" w:eastAsia="Arial" w:hAnsi="Arial"/>
          <w:sz w:val="19"/>
          <w:szCs w:val="19"/>
          <w:u w:val="single" w:color="auto"/>
          <w:color w:val="auto"/>
        </w:rPr>
        <w:t>Costs Cap Increase Option Payment</w:t>
      </w:r>
      <w:r>
        <w:rPr>
          <w:rFonts w:ascii="Arial" w:cs="Arial" w:eastAsia="Arial" w:hAnsi="Arial"/>
          <w:sz w:val="19"/>
          <w:szCs w:val="19"/>
          <w:color w:val="auto"/>
        </w:rPr>
        <w:t>”) in accordance with this Section 4.1(d). In the event that Sanofi desires data and information regarding the MUC16xCD3 Program in order to determine whether to exercise the Costs Cap Increase Option, Sanofi shall request such data and information within ten (10) Business Days after Sanofi’s receipt of the Costs Cap Notice. Within fifteen (15) days of Regeneron’s receipt of such request from Sanofi, Regeneron shall provide to Sanofi the data and information described in clauses (A), (B) and (C) of</w:t>
      </w: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140"/>
          </w:cols>
          <w:pgMar w:left="500" w:top="626" w:right="259" w:bottom="1440" w:gutter="0" w:footer="0" w:header="0"/>
        </w:sectPr>
      </w:pPr>
    </w:p>
    <w:bookmarkStart w:id="189" w:name="page190"/>
    <w:bookmarkEnd w:id="189"/>
    <w:p>
      <w:pPr>
        <w:ind w:left="640" w:right="140"/>
        <w:spacing w:after="0" w:line="261" w:lineRule="auto"/>
        <w:rPr>
          <w:sz w:val="20"/>
          <w:szCs w:val="20"/>
          <w:color w:val="auto"/>
        </w:rPr>
      </w:pPr>
      <w:r>
        <w:rPr>
          <w:rFonts w:ascii="Arial" w:cs="Arial" w:eastAsia="Arial" w:hAnsi="Arial"/>
          <w:sz w:val="21"/>
          <w:szCs w:val="21"/>
          <w:color w:val="auto"/>
        </w:rPr>
        <w:t>Section 5.2(a) with respect to the MUC16xCD3 Program. If Sanofi desires to exercise the Costs Cap Increase Option, Sanofi shall provide Regeneron written notice of such exercise within fifteen (15) days of Sanofi’s receipt of such data and information (or if Sanofi does not make any such request, within thirty seven (37) days after Sanofi’s receipt of the Costs Cap Notice), which notice shall be accompanied by the Costs Cap Increase Option Payment. If Sanofi does not timely exercise the Costs Cap Increase Option (including by timely paying the Costs Cap Increase Option Payment), then Sanofi shall no longer be entitled to exercise the Costs Cap Increase Option.</w:t>
      </w:r>
    </w:p>
    <w:p>
      <w:pPr>
        <w:spacing w:after="0" w:line="180" w:lineRule="exact"/>
        <w:rPr>
          <w:sz w:val="20"/>
          <w:szCs w:val="20"/>
          <w:color w:val="auto"/>
        </w:rPr>
      </w:pPr>
    </w:p>
    <w:p>
      <w:pPr>
        <w:ind w:left="640" w:firstLine="1293"/>
        <w:spacing w:after="0" w:line="291" w:lineRule="auto"/>
        <w:tabs>
          <w:tab w:leader="none" w:pos="2381"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Sanofi exercises the Costs Cap Increase Option and pays the Costs Cap Increase Option Payment, the MUC16xCD3 Program Costs Cap shall thereafter equal Seventy Million Dollars ($70,000,000) and if Sanofi does not exercise the Costs Cap Increase Option or fails to pay the Costs Cap Increase Option Payment, the MUC16xCD3 Program Costs Cap shall remain Fifty Million Dollars ($50,000,000). For clarity, the Costs-Cap Opt-In Trigger with respect to the MUC16xCD3 Program under Section 5.2(a)(y) shall occur either (A) if Sanofi timely exercises the Costs Cap Increase Option and pays the Costs Cap Increase Option Payment, the date upon which Program Costs with respect to the MUC16xCD3 Program equal Seventy Million Dollars ($70,000,000) or (B) if Sanofi does not timely exercise the Costs Cap Increase Option or does not pay the Costs Cap Increase Option Payment, the date upon which Program Costs with respect to the MUC16xCD3 Program equal Fifty Million Dollars ($50,000,000).</w:t>
      </w:r>
    </w:p>
    <w:p>
      <w:pPr>
        <w:spacing w:after="0" w:line="154" w:lineRule="exact"/>
        <w:rPr>
          <w:rFonts w:ascii="Arial" w:cs="Arial" w:eastAsia="Arial" w:hAnsi="Arial"/>
          <w:sz w:val="19"/>
          <w:szCs w:val="19"/>
          <w:color w:val="auto"/>
        </w:rPr>
      </w:pPr>
    </w:p>
    <w:p>
      <w:pPr>
        <w:ind w:left="640" w:right="100" w:firstLine="1293"/>
        <w:spacing w:after="0" w:line="278" w:lineRule="auto"/>
        <w:tabs>
          <w:tab w:leader="none" w:pos="2441" w:val="left"/>
        </w:tabs>
        <w:numPr>
          <w:ilvl w:val="0"/>
          <w:numId w:val="99"/>
        </w:numPr>
        <w:rPr>
          <w:rFonts w:ascii="Arial" w:cs="Arial" w:eastAsia="Arial" w:hAnsi="Arial"/>
          <w:sz w:val="21"/>
          <w:szCs w:val="21"/>
          <w:color w:val="auto"/>
        </w:rPr>
      </w:pPr>
      <w:r>
        <w:rPr>
          <w:rFonts w:ascii="Arial" w:cs="Arial" w:eastAsia="Arial" w:hAnsi="Arial"/>
          <w:sz w:val="21"/>
          <w:szCs w:val="21"/>
          <w:color w:val="auto"/>
        </w:rPr>
        <w:t>Nothing in this Section 4.1 is intended or shall be construed to require Regeneron to incur Program Costs for the MUC16xCD3 Program in excess of Fifty Million Dollars ($50,000,000) if Sanofi does not timely exercise the Costs Cap Increase Option or fails to timely pay the Costs Cap Increase Option Payment.</w:t>
      </w:r>
    </w:p>
    <w:p>
      <w:pPr>
        <w:spacing w:after="0" w:line="160"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IO Development Balance</w:t>
      </w:r>
      <w:r>
        <w:rPr>
          <w:rFonts w:ascii="Arial" w:cs="Arial" w:eastAsia="Arial" w:hAnsi="Arial"/>
          <w:sz w:val="19"/>
          <w:szCs w:val="19"/>
          <w:color w:val="auto"/>
        </w:rPr>
        <w:t>.</w:t>
      </w:r>
    </w:p>
    <w:p>
      <w:pPr>
        <w:spacing w:after="0" w:line="233" w:lineRule="exact"/>
        <w:rPr>
          <w:sz w:val="20"/>
          <w:szCs w:val="20"/>
          <w:color w:val="auto"/>
        </w:rPr>
      </w:pPr>
    </w:p>
    <w:p>
      <w:pPr>
        <w:ind w:left="-20" w:right="200" w:firstLine="1548"/>
        <w:spacing w:after="0" w:line="300" w:lineRule="auto"/>
        <w:tabs>
          <w:tab w:leader="none" w:pos="193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Fifty percent (50%) of the total Program Costs attributable to clinical development (i.e., in connection with the conduct of clinical trials, including clinical supply therefor, but excluding, e.g., toxicology, process development, and formulation development) of IO Discovery Program Antibodies under the IO Discovery Program shall be added to the IO Development Balance under the IO License and Collaboration Agreement. For clarity, no costs and expenses of a Sanofi Funded Trial conducted pursuant to Section 2.2(c) shall be added to the IO Development Balance except as provided in Section 4.2(b).</w:t>
      </w:r>
    </w:p>
    <w:p>
      <w:pPr>
        <w:spacing w:after="0" w:line="147" w:lineRule="exact"/>
        <w:rPr>
          <w:rFonts w:ascii="Arial" w:cs="Arial" w:eastAsia="Arial" w:hAnsi="Arial"/>
          <w:sz w:val="19"/>
          <w:szCs w:val="19"/>
          <w:color w:val="auto"/>
        </w:rPr>
      </w:pPr>
    </w:p>
    <w:p>
      <w:pPr>
        <w:ind w:left="-20" w:right="160" w:firstLine="1548"/>
        <w:spacing w:after="0" w:line="260" w:lineRule="auto"/>
        <w:tabs>
          <w:tab w:leader="none" w:pos="19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and only if [***], then [***] percent ([***]%) of the Sanofi Funded Trial Costs incurred directly in connection with the conduct of such Sanofi Funded Trial in accordance with the Sanofi Funded Trial Plan shall be added to the IO Development Balance under the IO License and Collaboration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60" w:top="631" w:right="239" w:bottom="1440" w:gutter="0" w:footer="0" w:header="0"/>
        </w:sectPr>
      </w:pPr>
    </w:p>
    <w:bookmarkStart w:id="190" w:name="page191"/>
    <w:bookmarkEnd w:id="190"/>
    <w:p>
      <w:pPr>
        <w:ind w:right="20" w:firstLine="648"/>
        <w:spacing w:after="0" w:line="28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Royalty Payments for IO Royalty Products</w:t>
      </w:r>
      <w:r>
        <w:rPr>
          <w:rFonts w:ascii="Arial" w:cs="Arial" w:eastAsia="Arial" w:hAnsi="Arial"/>
          <w:sz w:val="19"/>
          <w:szCs w:val="19"/>
          <w:color w:val="auto"/>
        </w:rPr>
        <w:t>. If Regeneron or its Affiliate or licensee successfully develops and commercializes an IO Royalty Product, then Regeneron shall pay to Sanofi, within sixty (60) days following the end of each calendar quarter during the applicable Royalty Term, a royalty payment of [***] percent ([***]%) on the aggregate Net Sales of such IO Royalty Product. Notwithstanding anything to the contrary in this Agreement or any Ancillary Collaboration Agreement, Regeneron shall not owe any royalty payment to Sanofi under any Ancillary Collaboration Agreement with respect to any product that is an IO Royalty Product (including any Refused Candidate) under this Agreement. For clarity, Regeneron shall not owe any royalty payment to Sanofi under this Agreement with respect to any product that is a Licensed Product under the Existing License and Collaboration Agreement or an IO Licensed Product under the IO License and Collaboration Agreement. In the event that any license fees, milestones or royalties would become payable to any Third Party pursuant to any Sanofi Intellectual Property licensed to Sanofi and sublicensed to Regeneron and its Affiliates pursuant to Section 2.6 as a result of the development, manufacture, sale, offer for sale, commercialization or use of any IO Royalty Product by Regeneron or its Affiliate or licensee then Sanofi shall provide written notice to Regeneron specifying any license fees, milestones or royalties that Sanofi is required to pay to a Third Party that are specifically tied and reasonably allocable to such IO Royalty Product no later than thirty (30) days after the date on which a product first becomes an IO Royalty Product hereunder (or, if such license or sublicense is entered into by Sanofi after such product becomes an IO Royalty Product, then within thirty (30) days after Sanofi first enters into such license), and such payments shall [***]; provided that with respect to any Sanofi Intellectual Property contained in any such sub-license, Regeneron shall have the right, exercisable in Regeneron’s sole discretion upon written notice to Sanofi, to exclude such Sanofi Intellectual Property from the license granted to Regeneron in Section 2.6 with respect to any IO Royalty Product or all IO Royalty Products, and Sanofi shall not [***].</w:t>
      </w:r>
    </w:p>
    <w:p>
      <w:pPr>
        <w:spacing w:after="0" w:line="200" w:lineRule="exact"/>
        <w:rPr>
          <w:sz w:val="20"/>
          <w:szCs w:val="20"/>
          <w:color w:val="auto"/>
        </w:rPr>
      </w:pPr>
    </w:p>
    <w:p>
      <w:pPr>
        <w:spacing w:after="0" w:line="218"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Royalty Term and Reporting</w:t>
      </w:r>
      <w:r>
        <w:rPr>
          <w:rFonts w:ascii="Arial" w:cs="Arial" w:eastAsia="Arial" w:hAnsi="Arial"/>
          <w:sz w:val="19"/>
          <w:szCs w:val="19"/>
          <w:color w:val="auto"/>
        </w:rPr>
        <w:t>. The royalties payable by Regeneron under Section 4.3 shall each be paid for the period of time, as determined on an IO Royalty Product-by-IO Royalty Product and country-by-country basis, commencing on the first commercial sale of a given IO Royalty Product in a given country and ending on the later to occur of (a) [***] or (b) [***] (the “</w:t>
      </w:r>
      <w:r>
        <w:rPr>
          <w:rFonts w:ascii="Arial" w:cs="Arial" w:eastAsia="Arial" w:hAnsi="Arial"/>
          <w:sz w:val="19"/>
          <w:szCs w:val="19"/>
          <w:u w:val="single" w:color="auto"/>
          <w:color w:val="auto"/>
        </w:rPr>
        <w:t>Royalty Term</w:t>
      </w:r>
      <w:r>
        <w:rPr>
          <w:rFonts w:ascii="Arial" w:cs="Arial" w:eastAsia="Arial" w:hAnsi="Arial"/>
          <w:sz w:val="19"/>
          <w:szCs w:val="19"/>
          <w:color w:val="auto"/>
        </w:rPr>
        <w:t>”). During the applicable Royalty Term, Regeneron shall deliver to Sanofi with each royalty payment a report detailing in reasonable detail the information necessary to calculate the royalty payments due under this Agreement for such calendar quarter, including the following information, specified on an IO Royalty Product-by-IO Royalty Product and country-by-country basis: (i) total gross invoiced amount from sales of each IO Royalty Product by Regeneron, its Affiliates and sublicensees; (ii) all relevant deductions from gross invoiced amounts to calculate Net Sales; (iii) Net Sales; and (iv) royalties payable.</w:t>
      </w:r>
    </w:p>
    <w:p>
      <w:pPr>
        <w:spacing w:after="0" w:line="15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Payment Method and Currency</w:t>
      </w:r>
      <w:r>
        <w:rPr>
          <w:rFonts w:ascii="Arial" w:cs="Arial" w:eastAsia="Arial" w:hAnsi="Arial"/>
          <w:sz w:val="22"/>
          <w:szCs w:val="22"/>
          <w:color w:val="auto"/>
        </w:rPr>
        <w:t>. All payments under this Agreement shall be made by bank wire transfer in 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using the average of the buying and selling exchange rate for conversion of the applicable foreign currency into Dollars, using the spot rates (the “Mid Price Close” found on Thomson Reuters Eikon, or any other source as agreed to by the Parties) from the last Business Day of the month of the period to which the payment relates.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60"/>
          </w:cols>
          <w:pgMar w:left="240" w:top="631" w:right="299" w:bottom="1440" w:gutter="0" w:footer="0" w:header="0"/>
        </w:sectPr>
      </w:pPr>
    </w:p>
    <w:bookmarkStart w:id="191" w:name="page192"/>
    <w:bookmarkEnd w:id="191"/>
    <w:p>
      <w:pPr>
        <w:ind w:right="140" w:firstLine="648"/>
        <w:spacing w:after="0" w:line="24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Late Payments</w:t>
      </w:r>
      <w:r>
        <w:rPr>
          <w:rFonts w:ascii="Arial" w:cs="Arial" w:eastAsia="Arial" w:hAnsi="Arial"/>
          <w:sz w:val="22"/>
          <w:szCs w:val="22"/>
          <w:color w:val="auto"/>
        </w:rPr>
        <w:t>.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one month London Inter-Bank Offering Rate (LIBOR) U.S. Dollars, as quoted on Thomson Reuters Eikon (or any other source as agreed to by the Parties) effective for the date on which the payment was due, [***] (such sum being referred to as the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196"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Right to Offset Payments</w:t>
      </w:r>
      <w:r>
        <w:rPr>
          <w:rFonts w:ascii="Arial" w:cs="Arial" w:eastAsia="Arial" w:hAnsi="Arial"/>
          <w:sz w:val="19"/>
          <w:szCs w:val="19"/>
          <w:color w:val="auto"/>
        </w:rPr>
        <w:t>. Subject to Section 4.8, each Party shall have the right to offset any amount owed by the other Party to such first Party under or in connection with this Agreement [***], including pursuant to this ARTICLE 4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Taxes</w:t>
      </w:r>
      <w:r>
        <w:rPr>
          <w:rFonts w:ascii="Arial" w:cs="Arial" w:eastAsia="Arial" w:hAnsi="Arial"/>
          <w:sz w:val="19"/>
          <w:szCs w:val="19"/>
          <w:color w:val="auto"/>
        </w:rPr>
        <w:t>. Any withholding or other taxes that either Party or its Affiliates is required by Law to withhold or pay on behalf of the other Party with respect to any payments to such other Party hereunder shall be deducted from such payments and paid to the appropriate tax authority contemporaneously with the remittance to the other Party; provided, that the withholding Party shall furnish the other Party with proper evidence, including any self-reporting documentation,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147"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Invoices and Documentation</w:t>
      </w:r>
      <w:r>
        <w:rPr>
          <w:rFonts w:ascii="Arial" w:cs="Arial" w:eastAsia="Arial" w:hAnsi="Arial"/>
          <w:sz w:val="22"/>
          <w:szCs w:val="22"/>
          <w:color w:val="auto"/>
        </w:rPr>
        <w:t>. The Parties shall approve the form of any invoices or necessary documentation relating to any payments hereunder. All payments otherwise due and owing under this Agreement shall be supported by, and, if any such payment is due hereunder within a specified time period, such specified time period shall not start running until receipt by the owing Party of, an invoice delivered (whether electronically or physically) to the Party owing such amount, except as provided in Section 4.1.</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631" w:right="259" w:bottom="1440" w:gutter="0" w:footer="0" w:header="0"/>
        </w:sectPr>
      </w:pPr>
    </w:p>
    <w:bookmarkStart w:id="192" w:name="page193"/>
    <w:bookmarkEnd w:id="192"/>
    <w:p>
      <w:pPr>
        <w:ind w:left="504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OPT-IN RIGHTS</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Opt-In Rights Generally</w:t>
      </w:r>
      <w:r>
        <w:rPr>
          <w:rFonts w:ascii="Arial" w:cs="Arial" w:eastAsia="Arial" w:hAnsi="Arial"/>
          <w:sz w:val="21"/>
          <w:szCs w:val="21"/>
          <w:color w:val="auto"/>
        </w:rPr>
        <w:t>. Sanofi shall have the Opt-In Rights described in this ARTICLE 5. Subject to each Party’s rights under Section 2.5 and the other terms of this Agreement, while the Opt-In Rights are in effect with respect to an IO Discovery Program Antibody, except as provided in Section 5.5, Regeneron will not grant to any Third Party rights to such an IO Discovery Program Antibody that would preclude or restrict Sanofi from exercising its Opt-In Rights hereunder with respect to the Product Candidate Family of which the IO Discovery Program Antibody is a member. The Opt-In Rights will expire, and Sanofi will no longer have any rights or licenses to any IO Discovery Program Antibodies (or any other IO Discovery Program Antibodies that target the same IO Target Profile as such IO Discovery Program Antibody) under this Agreement upon the expiration of the Opt-In Period with respect thereto. For the avoidance of doubt, Sanofi may only exercise its Opt-In Rights with respect to an IO Discovery Program Antibody during the applicable Opt-In Period(s) therefor as specified in Section 5.2, and after expiry of any Opt-In Period(s) (if Sanofi has not timely exercised its Opt-In Rights therefor under Section 5.2, such IO Discovery Program Antibody shall become a Refused Candidate and Sanofi shall have no further Opt-In Rights or other rights with respect to such IO Discovery Program Antibody.</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Opt-In Period</w:t>
      </w:r>
      <w:r>
        <w:rPr>
          <w:rFonts w:ascii="Arial" w:cs="Arial" w:eastAsia="Arial" w:hAnsi="Arial"/>
          <w:sz w:val="19"/>
          <w:szCs w:val="19"/>
          <w:color w:val="auto"/>
        </w:rPr>
        <w:t>.</w:t>
      </w:r>
    </w:p>
    <w:p>
      <w:pPr>
        <w:spacing w:after="0" w:line="233" w:lineRule="exact"/>
        <w:rPr>
          <w:sz w:val="20"/>
          <w:szCs w:val="20"/>
          <w:color w:val="auto"/>
        </w:rPr>
      </w:pPr>
    </w:p>
    <w:p>
      <w:pPr>
        <w:ind w:left="260" w:right="40" w:firstLine="1288"/>
        <w:spacing w:after="0" w:line="286" w:lineRule="auto"/>
        <w:tabs>
          <w:tab w:leader="none" w:pos="197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Initial Opt-In Report</w:t>
      </w:r>
      <w:r>
        <w:rPr>
          <w:rFonts w:ascii="Arial" w:cs="Arial" w:eastAsia="Arial" w:hAnsi="Arial"/>
          <w:sz w:val="19"/>
          <w:szCs w:val="19"/>
          <w:color w:val="auto"/>
        </w:rPr>
        <w:t>. With respect to each IO Discovery Program Antibody, as soon as reasonably practicable following [***] (any such IO Discovery Program Antibody [***], a “</w:t>
      </w:r>
      <w:r>
        <w:rPr>
          <w:rFonts w:ascii="Arial" w:cs="Arial" w:eastAsia="Arial" w:hAnsi="Arial"/>
          <w:sz w:val="19"/>
          <w:szCs w:val="19"/>
          <w:u w:val="single" w:color="auto"/>
          <w:color w:val="auto"/>
        </w:rPr>
        <w:t>Product Candidate Family</w:t>
      </w:r>
      <w:r>
        <w:rPr>
          <w:rFonts w:ascii="Arial" w:cs="Arial" w:eastAsia="Arial" w:hAnsi="Arial"/>
          <w:sz w:val="19"/>
          <w:szCs w:val="19"/>
          <w:color w:val="auto"/>
        </w:rPr>
        <w:t>”), Regeneron will provide Sanofi with a written report (the “</w:t>
      </w:r>
      <w:r>
        <w:rPr>
          <w:rFonts w:ascii="Arial" w:cs="Arial" w:eastAsia="Arial" w:hAnsi="Arial"/>
          <w:sz w:val="19"/>
          <w:szCs w:val="19"/>
          <w:u w:val="single" w:color="auto"/>
          <w:color w:val="auto"/>
        </w:rPr>
        <w:t>Initial Opt-In Report</w:t>
      </w:r>
      <w:r>
        <w:rPr>
          <w:rFonts w:ascii="Arial" w:cs="Arial" w:eastAsia="Arial" w:hAnsi="Arial"/>
          <w:sz w:val="19"/>
          <w:szCs w:val="19"/>
          <w:color w:val="auto"/>
        </w:rPr>
        <w:t xml:space="preserve">”) containing (with respect to the MUC16xCD3 Program, to the extent not already provided pursuant to Section 4.1(d)(i)), (A) to the extent in Regeneron’s possession and control or in Regeneron’s control and accessible by Regeneron consistent with Regeneron’s regular business practices, the information and other data set forth on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with respect to each member of such Product Candidate Family that is or has been the subject of pre-clinical development under or in connection with the IO Discovery Program (for all Indications, [***]) and the IO Target Profile that it targets, whether obtained or generated in the IO Discovery Program or otherwise under this Agreement or under the mAb Discovery Agreement, (B) a reasonably detailed outline of Regeneron’s initial proposal with respect to the plan and yearly detailed budget for the planned development activities for each member of such Product Candidate Family through the completion of Phase III Clinical Trials to support an initial filing for Marketing Approval for such Product Candidate Family (the “</w:t>
      </w:r>
      <w:r>
        <w:rPr>
          <w:rFonts w:ascii="Arial" w:cs="Arial" w:eastAsia="Arial" w:hAnsi="Arial"/>
          <w:sz w:val="19"/>
          <w:szCs w:val="19"/>
          <w:u w:val="single" w:color="auto"/>
          <w:color w:val="auto"/>
        </w:rPr>
        <w:t>Post-POC Development Plan</w:t>
      </w:r>
      <w:r>
        <w:rPr>
          <w:rFonts w:ascii="Arial" w:cs="Arial" w:eastAsia="Arial" w:hAnsi="Arial"/>
          <w:sz w:val="19"/>
          <w:szCs w:val="19"/>
          <w:color w:val="auto"/>
        </w:rPr>
        <w:t>”), as well as a separate itemization of any planned development activities and related budget(s) for [***] and (C) for any preclinical or clinical data provided pursuant to (A) that relates to [***], specification of whether such data was obtained or generated under the IO Discovery Program or any Ancillary Collaboration Agreement. The Initial Opt-In Report shall include [***]. Regeneron shall also provide a draft of the Post-POC Development Plan for a Product Candidate Family at least [***] prior to the date on which Regeneron anticipates [***] (taking into account the information then available to Regeneron) with respect to such Product Candidate Family.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80"/>
          </w:cols>
          <w:pgMar w:left="240" w:top="625" w:right="279" w:bottom="1440" w:gutter="0" w:footer="0" w:header="0"/>
        </w:sectPr>
      </w:pPr>
    </w:p>
    <w:bookmarkStart w:id="193" w:name="page194"/>
    <w:bookmarkEnd w:id="193"/>
    <w:p>
      <w:pPr>
        <w:ind w:firstLine="1531"/>
        <w:spacing w:after="0" w:line="288" w:lineRule="auto"/>
        <w:tabs>
          <w:tab w:leader="none" w:pos="197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Initial Opt-In Period</w:t>
      </w:r>
      <w:r>
        <w:rPr>
          <w:rFonts w:ascii="Arial" w:cs="Arial" w:eastAsia="Arial" w:hAnsi="Arial"/>
          <w:sz w:val="19"/>
          <w:szCs w:val="19"/>
          <w:color w:val="auto"/>
        </w:rPr>
        <w:t>. Sanofi has the right to exercise its Opt-In Rights with respect to a Product Candidate Family by delivering to Regeneron an Opt-In Notice during the [***] period following Sanofi’s receipt of the Initial Opt-In Report for such Product Candidate Family (such period, as it may be extended as provided in this Section 5.2(b), the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Opt-In Period</w:t>
      </w:r>
      <w:r>
        <w:rPr>
          <w:rFonts w:ascii="Arial" w:cs="Arial" w:eastAsia="Arial" w:hAnsi="Arial"/>
          <w:sz w:val="19"/>
          <w:szCs w:val="19"/>
          <w:color w:val="auto"/>
        </w:rPr>
        <w:t>”). During the Initial Opt-In Period, Regeneron shall also promptly provide, if, as and when available, Sanofi with all material new information of the type required to be set forth in the Initial Opt-In Report regarding each member of the Product Candidate Family, and any other material information regarding each member of the Product Candidate Family that Sanofi reasonably requests to the extent in Regeneron’s possession and control or in Regeneron’s control and accessible by Regeneron consistent with Regeneron’s regular business practices. Sanofi shall have also the right to review and discuss with Regeneron each Post-POC Development Plan during the Initial Opt-In Period, and Regeneron shall consider in good faith any such comments or additional actions suggested by Sanofi relating thereto. If Sanofi receives material information regarding a member of the Product Candidate Family or the Post-POC Development Plan on or after the date that is [***] and Sanofi shall be permitted to deliver an Opt-In Notice [***]. Notwithstanding the foregoing, Sanofi’s right to exercise its Opt-In Rights pursuant to this Section 5.2(b) with respect to BCMAxCD3 Program Antibodies shall be limited to IO Indications.</w:t>
      </w:r>
    </w:p>
    <w:p>
      <w:pPr>
        <w:spacing w:after="0" w:line="156" w:lineRule="exact"/>
        <w:rPr>
          <w:rFonts w:ascii="Arial" w:cs="Arial" w:eastAsia="Arial" w:hAnsi="Arial"/>
          <w:sz w:val="19"/>
          <w:szCs w:val="19"/>
          <w:color w:val="auto"/>
        </w:rPr>
      </w:pPr>
    </w:p>
    <w:p>
      <w:pPr>
        <w:ind w:right="20" w:firstLine="1531"/>
        <w:spacing w:after="0" w:line="286" w:lineRule="auto"/>
        <w:tabs>
          <w:tab w:leader="none" w:pos="1959"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Deferred Opt-In Period</w:t>
      </w:r>
      <w:r>
        <w:rPr>
          <w:rFonts w:ascii="Arial" w:cs="Arial" w:eastAsia="Arial" w:hAnsi="Arial"/>
          <w:sz w:val="19"/>
          <w:szCs w:val="19"/>
          <w:color w:val="auto"/>
        </w:rPr>
        <w:t>. If [***], then Sanofi may, at its option (exercisable upon delivery of written notice to Regeneron within [***] days after receipt of such Initial Opt-In Report (a “</w:t>
      </w:r>
      <w:r>
        <w:rPr>
          <w:rFonts w:ascii="Arial" w:cs="Arial" w:eastAsia="Arial" w:hAnsi="Arial"/>
          <w:sz w:val="19"/>
          <w:szCs w:val="19"/>
          <w:u w:val="single" w:color="auto"/>
          <w:color w:val="auto"/>
        </w:rPr>
        <w:t>Deferral Notice</w:t>
      </w:r>
      <w:r>
        <w:rPr>
          <w:rFonts w:ascii="Arial" w:cs="Arial" w:eastAsia="Arial" w:hAnsi="Arial"/>
          <w:sz w:val="19"/>
          <w:szCs w:val="19"/>
          <w:color w:val="auto"/>
        </w:rPr>
        <w:t>”)), elect to defer its Opt-In Rights with respect to such Product Candidate Family to a point in time when there are more Evaluable Subjects, but in no event later than the earlier of the point in time when [***] and the occurrence of the Costs Cap Opt-In Trigger. If Sanofi provides Regeneron with a Deferral Notice, as soon as reasonably practicable following the (i) the point in time when [***], Regeneron will provide Sanofi with an updated written report (a “</w:t>
      </w:r>
      <w:r>
        <w:rPr>
          <w:rFonts w:ascii="Arial" w:cs="Arial" w:eastAsia="Arial" w:hAnsi="Arial"/>
          <w:sz w:val="19"/>
          <w:szCs w:val="19"/>
          <w:u w:val="single" w:color="auto"/>
          <w:color w:val="auto"/>
        </w:rPr>
        <w:t>Deferred Opt-In Report</w:t>
      </w:r>
      <w:r>
        <w:rPr>
          <w:rFonts w:ascii="Arial" w:cs="Arial" w:eastAsia="Arial" w:hAnsi="Arial"/>
          <w:sz w:val="19"/>
          <w:szCs w:val="19"/>
          <w:color w:val="auto"/>
        </w:rPr>
        <w:t>”) containing any additional information of the type required to be set forth in the Initial Opt-In Report for each member of the applicable Product Candidate Family that has become available to Regeneron since the delivery of such Initial Opt-In Report (including, if available, any KRMs and individual patient data). Following a Deferral Notice, Sanofi shall have the right to exercise its Opt-In Rights with respect to the applicable member(s) of such Product Candidate Family by delivering to Regeneron an Opt-In Notice during the [***] period following Sanofi’s receipt of the Deferred Opt-In Report for such member(s) of the Product Candidate Family (such period, as it may be extended as provided in this Section 5.2(c), the “</w:t>
      </w:r>
      <w:r>
        <w:rPr>
          <w:rFonts w:ascii="Arial" w:cs="Arial" w:eastAsia="Arial" w:hAnsi="Arial"/>
          <w:sz w:val="19"/>
          <w:szCs w:val="19"/>
          <w:u w:val="single" w:color="auto"/>
          <w:color w:val="auto"/>
        </w:rPr>
        <w:t>Deferred Opt-In Period</w:t>
      </w:r>
      <w:r>
        <w:rPr>
          <w:rFonts w:ascii="Arial" w:cs="Arial" w:eastAsia="Arial" w:hAnsi="Arial"/>
          <w:sz w:val="19"/>
          <w:szCs w:val="19"/>
          <w:color w:val="auto"/>
        </w:rPr>
        <w:t>”). During the Deferred Opt-In Period, Regeneron shall also promptly provide, if, as and when available, Sanofi with all new material information of the type required to be set forth in the Initial Opt-In Report regarding the applicable member(s) of such Product Candidate Family, and any other material information regarding the applicable member(s) of such Product Candidate Family that Sanofi reasonably requests to the extent in Regeneron’s possession and control or in Regeneron’s control and accessible by Regeneron consistent with Regeneron’s regular business practices; provided that in no event will Regeneron be required to incur any costs and expenses with respect to a Bi-Specific Program in excess of the Program Costs Cap applicable to such Bi-Specific Program. If Sanofi receives material information regarding a member of the applicable Product Candidate Family on or after the</w:t>
      </w: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140"/>
          </w:cols>
          <w:pgMar w:left="500" w:top="632" w:right="259" w:bottom="1440" w:gutter="0" w:footer="0" w:header="0"/>
        </w:sectPr>
      </w:pPr>
    </w:p>
    <w:bookmarkStart w:id="194" w:name="page195"/>
    <w:bookmarkEnd w:id="194"/>
    <w:p>
      <w:pPr>
        <w:ind w:right="80"/>
        <w:spacing w:after="0" w:line="312" w:lineRule="auto"/>
        <w:rPr>
          <w:sz w:val="20"/>
          <w:szCs w:val="20"/>
          <w:color w:val="auto"/>
        </w:rPr>
      </w:pPr>
      <w:r>
        <w:rPr>
          <w:rFonts w:ascii="Arial" w:cs="Arial" w:eastAsia="Arial" w:hAnsi="Arial"/>
          <w:sz w:val="19"/>
          <w:szCs w:val="19"/>
          <w:color w:val="auto"/>
        </w:rPr>
        <w:t>date that is [***] and Sanofi shall be permitted to deliver an Opt-In Notice [***]. For clarity, Sanofi may not elect to defer its Opt-In Rights pursuant to this Section 5.2(c) if [***]. Notwithstanding the foregoing, Sanofi’s right to exercise its Opt-In Rights pursuant to this Section 5.2(c) with respect to BCMAxCD3 Program Antibodies shall be limited to IO Indications.</w:t>
      </w:r>
    </w:p>
    <w:p>
      <w:pPr>
        <w:spacing w:after="0" w:line="134" w:lineRule="exact"/>
        <w:rPr>
          <w:sz w:val="20"/>
          <w:szCs w:val="20"/>
          <w:color w:val="auto"/>
        </w:rPr>
      </w:pPr>
    </w:p>
    <w:p>
      <w:pPr>
        <w:ind w:firstLine="1531"/>
        <w:spacing w:after="0" w:line="284" w:lineRule="auto"/>
        <w:tabs>
          <w:tab w:leader="none" w:pos="197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FDA Breakthrough Therapy Designation</w:t>
      </w:r>
      <w:r>
        <w:rPr>
          <w:rFonts w:ascii="Arial" w:cs="Arial" w:eastAsia="Arial" w:hAnsi="Arial"/>
          <w:sz w:val="19"/>
          <w:szCs w:val="19"/>
          <w:color w:val="auto"/>
        </w:rPr>
        <w:t>. If an FDA Breakthrough Therapy Designation is received in respect of an IO Discovery Program Antibody (but in the case of a BCMAxCD3 Program Antibody, solely in an IO Indication), then such IO Discovery Program Antibody and any other IO Discovery Program Antibodies targeting the same IO Target Profile shall be deemed to be a Product Candidate Family irrespective of whether such IO Discovery Program Antibody has met the requirements to create a Product Candidate Family as set forth in Section 5.2(a). Following receipt of FDA Breakthrough Designation for a member of a Product Candidate Family, if (i) Regeneron has not provided an Initial Opt-In Report for such Product Candidate Family or (ii) Regeneron has provided an Initial Opt-In Report for a POC Opt-In Trigger, Sanofi has timely provided Regeneron with a Deferral Notice, and Regeneron has not provided a Deferred Opt-In Report with respect to such Product Candidate Family, then in either case ((i) or (ii)) Regeneron shall have the right to provide Sanofi with a written report (a “</w:t>
      </w:r>
      <w:r>
        <w:rPr>
          <w:rFonts w:ascii="Arial" w:cs="Arial" w:eastAsia="Arial" w:hAnsi="Arial"/>
          <w:sz w:val="19"/>
          <w:szCs w:val="19"/>
          <w:u w:val="single" w:color="auto"/>
          <w:color w:val="auto"/>
        </w:rPr>
        <w:t>Breakthrough Opt-In Report</w:t>
      </w:r>
      <w:r>
        <w:rPr>
          <w:rFonts w:ascii="Arial" w:cs="Arial" w:eastAsia="Arial" w:hAnsi="Arial"/>
          <w:sz w:val="19"/>
          <w:szCs w:val="19"/>
          <w:color w:val="auto"/>
        </w:rPr>
        <w:t>”) containing all information of the type that would be required to be set forth in (x) an Initial Opt-In Report for such Product Candidate Family, if Regeneron has not previously provided to Sanofi an Initial Opt-In Report in respect of such Product Candidate Family pursuant to Section 5.2(a), or (y) a Deferred Opt-In Report for such Product Candidate Family, if Regeneron has previously provided to Sanofi an Initial Opt-In Report for a POC Opt-In Trigger in respect of such Product Candidate Family pursuant to Section 5.2(a). Sanofi has the right to exercise its Opt-In Rights with respect to such Product Candidate Family (but in the case of a BCMAxCD3 Program Antibody, solely with respect to IO Indications) by delivering to Regeneron an Opt-In Notice during the period following Sanofi’s receipt of the Breakthrough Opt-In Report for such Product Candidate Family and ending on the earlier to occur of (A) the end of the [***] period following Sanofi’s receipt of the Breakthrough Opt-In Report, and (B) if Regeneron has provided to Sanofi a Deferred Opt-In Report in respect of such Product Candidate Family pursuant to Section 5.2(c), the end of the Deferred Opt-In Period (such period, as it may be extended as provided in this Section 5.2(d), the “</w:t>
      </w:r>
      <w:r>
        <w:rPr>
          <w:rFonts w:ascii="Arial" w:cs="Arial" w:eastAsia="Arial" w:hAnsi="Arial"/>
          <w:sz w:val="19"/>
          <w:szCs w:val="19"/>
          <w:u w:val="single" w:color="auto"/>
          <w:color w:val="auto"/>
        </w:rPr>
        <w:t>Breakthrough Opt-In Period</w:t>
      </w:r>
      <w:r>
        <w:rPr>
          <w:rFonts w:ascii="Arial" w:cs="Arial" w:eastAsia="Arial" w:hAnsi="Arial"/>
          <w:sz w:val="19"/>
          <w:szCs w:val="19"/>
          <w:color w:val="auto"/>
        </w:rPr>
        <w:t>”). During the Breakthrough Opt-In Period, Regeneron shall also promptly provide, if, as and when available, Sanofi with all new material information of the type required to be set forth in the Initial Opt-In Report regarding each member of the applicable Product Candidate Family, and any other material information regarding each member of the applicable Product Candidate Family that Sanofi reasonably requests to the extent in Regeneron’s possession and control or in Regeneron’s control and accessible by Regeneron consistent with Regeneron’s regular business practices. If Sanofi receives material information regarding the applicable Product Candidate Family on or after the date that is ten (10) Business Days prior to the expiration of the Breakthrough Opt-In Period, the Breakthrough Opt-In Period shall be extended by an additional ten (10) Business Days following the expiration of the original Breakthrough Opt-In Period and Sanofi shall be permitted to deliver an Opt-In Notice during such extension. Notwithstanding anything to the contrary in Section 5.2, if Sanofi does not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60"/>
          </w:cols>
          <w:pgMar w:left="500" w:top="631" w:right="239" w:bottom="1440" w:gutter="0" w:footer="0" w:header="0"/>
        </w:sectPr>
      </w:pPr>
    </w:p>
    <w:bookmarkStart w:id="195" w:name="page196"/>
    <w:bookmarkEnd w:id="195"/>
    <w:p>
      <w:pPr>
        <w:ind w:right="20"/>
        <w:spacing w:after="0" w:line="297" w:lineRule="auto"/>
        <w:rPr>
          <w:sz w:val="20"/>
          <w:szCs w:val="20"/>
          <w:color w:val="auto"/>
        </w:rPr>
      </w:pPr>
      <w:r>
        <w:rPr>
          <w:rFonts w:ascii="Arial" w:cs="Arial" w:eastAsia="Arial" w:hAnsi="Arial"/>
          <w:sz w:val="19"/>
          <w:szCs w:val="19"/>
          <w:color w:val="auto"/>
        </w:rPr>
        <w:t>exercise its Opt-In Rights with respect to such Product Candidate Family within the Breakthrough Opt-In Period, Sanofi shall be deemed to have provided an Opt-Out (as defined below) with respect to such Product Candidate Family, and such Product Candidate Family shall immediately become a Refused Candidate pursuant to Section 5.3. For clarity, this Section 5.2(d) shall not apply if the Costs Cap Opt-In Trigger has occurred. Notwithstanding the foregoing, Sanofi’s right to exercise its Opt-In Rights pursuant to this Section 5.2(d) with respect to BCMAxCD3 Program Antibodies shall be limited to IO Indications.</w:t>
      </w:r>
    </w:p>
    <w:p>
      <w:pPr>
        <w:spacing w:after="0" w:line="147" w:lineRule="exact"/>
        <w:rPr>
          <w:sz w:val="20"/>
          <w:szCs w:val="20"/>
          <w:color w:val="auto"/>
        </w:rPr>
      </w:pPr>
    </w:p>
    <w:p>
      <w:pPr>
        <w:jc w:val="both"/>
        <w:ind w:right="180" w:firstLine="1288"/>
        <w:spacing w:after="0" w:line="293" w:lineRule="auto"/>
        <w:tabs>
          <w:tab w:leader="none" w:pos="171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Effect of Exercise of Sanofi’s Opt-In Rights with respect to Product Candidate Families</w:t>
      </w:r>
      <w:r>
        <w:rPr>
          <w:rFonts w:ascii="Arial" w:cs="Arial" w:eastAsia="Arial" w:hAnsi="Arial"/>
          <w:sz w:val="19"/>
          <w:szCs w:val="19"/>
          <w:color w:val="auto"/>
        </w:rPr>
        <w:t>. If Sanofi properly exercises its Opt-In Rights with respect to a Product Candidate Family by delivering an Opt-In Notice during the Initial Opt-In Period (or the Deferred Opt-In Period or Breakthrough Opt-In Period, if and as applicable) therefor in accordance with Section</w:t>
      </w:r>
    </w:p>
    <w:p>
      <w:pPr>
        <w:spacing w:after="0" w:line="1" w:lineRule="exact"/>
        <w:rPr>
          <w:rFonts w:ascii="Arial" w:cs="Arial" w:eastAsia="Arial" w:hAnsi="Arial"/>
          <w:sz w:val="19"/>
          <w:szCs w:val="19"/>
          <w:color w:val="auto"/>
        </w:rPr>
      </w:pPr>
    </w:p>
    <w:p>
      <w:pPr>
        <w:spacing w:after="0" w:line="284" w:lineRule="auto"/>
        <w:rPr>
          <w:rFonts w:ascii="Arial" w:cs="Arial" w:eastAsia="Arial" w:hAnsi="Arial"/>
          <w:sz w:val="19"/>
          <w:szCs w:val="19"/>
          <w:color w:val="auto"/>
        </w:rPr>
      </w:pPr>
      <w:r>
        <w:rPr>
          <w:rFonts w:ascii="Arial" w:cs="Arial" w:eastAsia="Arial" w:hAnsi="Arial"/>
          <w:sz w:val="19"/>
          <w:szCs w:val="19"/>
          <w:color w:val="auto"/>
        </w:rPr>
        <w:t>5.2(b), Section 5.2(c), or Section 5.2(d), then all members of such Product Candidate Family shall, from and after the first day of the month in which Sanofi’s delivers such Opt-In Notice for such Product Candidate Family, as applicable, be deemed IO Licensed Products under the IO License and Collaboration Agreement (i) with respect to BCMAxCD3 Program Antibodies, all IO Indications and (ii) with respect to MUC16xCD3 Program Antibodies, for all Indications, including any Non-IO Indications. For clarity, in the event that Sanofi exercises its Opt-In Rights by delivering an Opt-In Notice during the Initial Opt-In Period, Deferred Opt-In Period, or Breakthrough Opt-In Period, if and as applicable, therefor, all costs and expenses incurred by Regeneron with respect to such Product Candidate Family following the delivery of the Initial Opt-In Report or, if earlier, the delivery of the Breakthrough Opt-In Report, and prior to first day of the month in which Sanofi delivers such Opt-In Notice shall be borne by Regeneron (provided, that Regeneron shall not be required to incur Program Costs with respect to a Bi-Specific Program in excess of the Program Costs Cap applicable to such Bi-Specific Program), as applicable, and all costs and expenses incurred after such first day shall be treated as Development Costs under the IO License and Collaboration Agreement; provided that Regeneron may continue to incur costs in respect of such Product Candidate Family after receipt of Sanofi’s Opt-In Notice solely to the extent provided by Section 5.5 and, with respect to a Product Candidate Family that is a BCMAxCD3 Antibody, Section 5.7. For clarity, if Sanofi Opts-Out with respect to any Product Candidate Family developed under the IO Discovery Program, Regeneron shall have the right to develop and commercialize each member of such Product Candidate Family as Refused Candidates pursuant and subject to Section 2.5(d) and Section 5.3(b). With respect to any BCMAxCD3 Program Antibody that becomes an IO Licensed Product for IO Indications pursuant this Section 5.2(e), the Parties shall execute additional amendments to the IO License and Collaboration Agreement as the Parties determine in good faith, including to reflect the Indications licensed to Sanofi thereunder as set forth above.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300" w:firstLine="1288"/>
        <w:spacing w:after="0" w:line="251" w:lineRule="auto"/>
        <w:tabs>
          <w:tab w:leader="none" w:pos="169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Agreements with respect to Post-POC Principal Party</w:t>
      </w:r>
      <w:r>
        <w:rPr>
          <w:rFonts w:ascii="Arial" w:cs="Arial" w:eastAsia="Arial" w:hAnsi="Arial"/>
          <w:sz w:val="22"/>
          <w:szCs w:val="22"/>
          <w:color w:val="auto"/>
        </w:rPr>
        <w:t>. The Parties agree that upon Sanofi’s exercise of its Opt-In Rights (i) with respect to the Product Candidate Family resulting from the BCMAxCD3 Program in IO Indications, Sanofi shall be the Post-POC Principal Party in IO Indications and (ii) with respect to the Product Candidate Family resulting from the MUC16xCD3 Program, Regeneron shall be the Post-POC Principal Party in all Indications, subject to and in accordance with the terms and conditions of the IO</w:t>
      </w:r>
    </w:p>
    <w:p>
      <w:pPr>
        <w:spacing w:after="0" w:line="200" w:lineRule="exact"/>
        <w:rPr>
          <w:sz w:val="20"/>
          <w:szCs w:val="20"/>
          <w:color w:val="auto"/>
        </w:rPr>
      </w:pP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140"/>
          </w:cols>
          <w:pgMar w:left="500" w:top="631" w:right="259" w:bottom="1440" w:gutter="0" w:footer="0" w:header="0"/>
        </w:sectPr>
      </w:pPr>
    </w:p>
    <w:bookmarkStart w:id="196" w:name="page197"/>
    <w:bookmarkEnd w:id="196"/>
    <w:p>
      <w:pPr>
        <w:ind w:right="540"/>
        <w:spacing w:after="0" w:line="343" w:lineRule="auto"/>
        <w:rPr>
          <w:sz w:val="20"/>
          <w:szCs w:val="20"/>
          <w:color w:val="auto"/>
        </w:rPr>
      </w:pPr>
      <w:r>
        <w:rPr>
          <w:rFonts w:ascii="Arial" w:cs="Arial" w:eastAsia="Arial" w:hAnsi="Arial"/>
          <w:sz w:val="19"/>
          <w:szCs w:val="19"/>
          <w:color w:val="auto"/>
        </w:rPr>
        <w:t xml:space="preserve">License and Collaboration Agreement, applied, with respect to clause (i),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the preparation, discussion and approval of the Post-POC Development Plan through the Joint Development Committee and IOSC.</w:t>
      </w:r>
    </w:p>
    <w:p>
      <w:pPr>
        <w:spacing w:after="0" w:line="105" w:lineRule="exact"/>
        <w:rPr>
          <w:sz w:val="20"/>
          <w:szCs w:val="20"/>
          <w:color w:val="auto"/>
        </w:rPr>
      </w:pPr>
    </w:p>
    <w:p>
      <w:pPr>
        <w:ind w:left="1720" w:hanging="432"/>
        <w:spacing w:after="0"/>
        <w:tabs>
          <w:tab w:leader="none" w:pos="172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Post-POC Plan Disputes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right="160" w:firstLine="1293"/>
        <w:spacing w:after="0" w:line="267" w:lineRule="exact"/>
        <w:tabs>
          <w:tab w:leader="none" w:pos="208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Sanofi would be the Post-POC Principal Party with respect to a Product Candidate Family for which Regeneron delivers an Initial Opt</w:t>
      </w:r>
      <w:r>
        <w:rPr>
          <w:rFonts w:ascii="MS PGothic" w:cs="MS PGothic" w:eastAsia="MS PGothic" w:hAnsi="MS PGothic"/>
          <w:sz w:val="22"/>
          <w:szCs w:val="22"/>
          <w:color w:val="auto"/>
        </w:rPr>
        <w:t>‑</w:t>
      </w:r>
      <w:r>
        <w:rPr>
          <w:rFonts w:ascii="Arial" w:cs="Arial" w:eastAsia="Arial" w:hAnsi="Arial"/>
          <w:sz w:val="22"/>
          <w:szCs w:val="22"/>
          <w:color w:val="auto"/>
        </w:rPr>
        <w:t>In Report pursuant to Section 5.2(a), and Sanofi wishes to modify the Post-POC Development Plan contained in such Initial Opt-In Report, then Sanofi may [***].</w:t>
      </w:r>
    </w:p>
    <w:p>
      <w:pPr>
        <w:spacing w:after="0" w:line="199" w:lineRule="exact"/>
        <w:rPr>
          <w:rFonts w:ascii="Arial" w:cs="Arial" w:eastAsia="Arial" w:hAnsi="Arial"/>
          <w:sz w:val="22"/>
          <w:szCs w:val="22"/>
          <w:color w:val="auto"/>
        </w:rPr>
      </w:pPr>
    </w:p>
    <w:p>
      <w:pPr>
        <w:ind w:left="400" w:right="100" w:firstLine="1293"/>
        <w:spacing w:after="0" w:line="260" w:lineRule="auto"/>
        <w:tabs>
          <w:tab w:leader="none" w:pos="214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Sanofi would be the Post-POC Principal Party with respect to a Product Candidate Family for which Regeneron delivers a Deferred Opt-In Report pursuant to Section 5.3(c), and Sanofi wishes to modify the Post-POC Development Plan contained in such Deferred Opt-In Report, then Sanofi may [***].</w:t>
      </w:r>
    </w:p>
    <w:p>
      <w:pPr>
        <w:spacing w:after="0" w:line="177" w:lineRule="exact"/>
        <w:rPr>
          <w:rFonts w:ascii="Arial" w:cs="Arial" w:eastAsia="Arial" w:hAnsi="Arial"/>
          <w:sz w:val="22"/>
          <w:szCs w:val="22"/>
          <w:color w:val="auto"/>
        </w:rPr>
      </w:pPr>
    </w:p>
    <w:p>
      <w:pPr>
        <w:ind w:left="400" w:right="40" w:firstLine="1293"/>
        <w:spacing w:after="0" w:line="294" w:lineRule="auto"/>
        <w:tabs>
          <w:tab w:leader="none" w:pos="220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If Sanofi would be the Post-POC Principal Party with respect to a Product Candidate Family for which Regeneron delivers a Breakthrough Opt-In Report pursuant to Section 5.3(d), and Sanofi wishes to modify the Post-POC Development Plan contained in such Breakthrough Opt-In Report, and (A) such Breakthrough Opt-In Report is delivered prior to the delivery of an Initial Opt-In Report with respect to such Product Candidate Family, or (B) such Breakthrough Opt-In Report is delivered after the delivery of an Initial Opt-In Report with respect to such Product Candidate Family and Sanofi has previously provided a Deferral Notice but Regeneron has not provided a Deferred Opt-In Report with respect to such Product Candidate Family, then, in either case ((A) or (B)), [***].</w:t>
      </w:r>
    </w:p>
    <w:p>
      <w:pPr>
        <w:spacing w:after="0" w:line="152" w:lineRule="exact"/>
        <w:rPr>
          <w:rFonts w:ascii="Arial" w:cs="Arial" w:eastAsia="Arial" w:hAnsi="Arial"/>
          <w:sz w:val="19"/>
          <w:szCs w:val="19"/>
          <w:color w:val="auto"/>
        </w:rPr>
      </w:pPr>
    </w:p>
    <w:p>
      <w:pPr>
        <w:ind w:left="400" w:right="80" w:firstLine="1293"/>
        <w:spacing w:after="0" w:line="300" w:lineRule="auto"/>
        <w:tabs>
          <w:tab w:leader="none" w:pos="218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Any matter submitted to the IOSC pursuant to and in accordance with Section 5.2(g)(i), Section 5.2(g) (ii), or Section 5.2(g)(iii) shall be referred to herein as a “</w:t>
      </w:r>
      <w:r>
        <w:rPr>
          <w:rFonts w:ascii="Arial" w:cs="Arial" w:eastAsia="Arial" w:hAnsi="Arial"/>
          <w:sz w:val="19"/>
          <w:szCs w:val="19"/>
          <w:u w:val="single" w:color="auto"/>
          <w:color w:val="auto"/>
        </w:rPr>
        <w:t>Post-POC Plan Dispute</w:t>
      </w:r>
      <w:r>
        <w:rPr>
          <w:rFonts w:ascii="Arial" w:cs="Arial" w:eastAsia="Arial" w:hAnsi="Arial"/>
          <w:sz w:val="19"/>
          <w:szCs w:val="19"/>
          <w:color w:val="auto"/>
        </w:rPr>
        <w:t>”. In the event that the IOSC is not able to resolve a Post-POC Plan Dispute referred to it within [***] after such matter is first so referred, such Post-POC Plan Dispute shall be referred to the dispute resolution process set forth in Section 13.3 and the Parties shall use diligent and good faith efforts to cause the completion of any such dispute process as soon as reasonably practicable.</w:t>
      </w:r>
    </w:p>
    <w:p>
      <w:pPr>
        <w:spacing w:after="0" w:line="147" w:lineRule="exact"/>
        <w:rPr>
          <w:rFonts w:ascii="Arial" w:cs="Arial" w:eastAsia="Arial" w:hAnsi="Arial"/>
          <w:sz w:val="19"/>
          <w:szCs w:val="19"/>
          <w:color w:val="auto"/>
        </w:rPr>
      </w:pPr>
    </w:p>
    <w:p>
      <w:pPr>
        <w:ind w:left="400" w:firstLine="1293"/>
        <w:spacing w:after="0" w:line="292" w:lineRule="auto"/>
        <w:tabs>
          <w:tab w:leader="none" w:pos="2129"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In the event that [***] at least [***] prior to the expiry of the Opt-In Period during which Sanofi [***] (the “</w:t>
      </w:r>
      <w:r>
        <w:rPr>
          <w:rFonts w:ascii="Arial" w:cs="Arial" w:eastAsia="Arial" w:hAnsi="Arial"/>
          <w:sz w:val="19"/>
          <w:szCs w:val="19"/>
          <w:u w:val="single" w:color="auto"/>
          <w:color w:val="auto"/>
        </w:rPr>
        <w:t>Applicable Opt-In Period</w:t>
      </w:r>
      <w:r>
        <w:rPr>
          <w:rFonts w:ascii="Arial" w:cs="Arial" w:eastAsia="Arial" w:hAnsi="Arial"/>
          <w:sz w:val="19"/>
          <w:szCs w:val="19"/>
          <w:color w:val="auto"/>
        </w:rPr>
        <w:t>”), then such Applicable Opt-In Period shall be extended such that it expires [***]; provided, that if any Post-POC Plan Dispute is not fully resolved in accordance with Section 13.3 at least [***] prior to the expiration of such [***] period, and such failure or delay is caused by (1) any failure by Regeneron to appoint an individual to the Expert Panel pursuant to Section 13.3(b)(ii) within the time period specified therein, or to submit to the Expert Panel Regeneron’s proposed version of the Disputed Plan Components pursuant to Section 13.3(b)(vi) within the time period specified therein, or (2) any failure by the two individuals appointed to the Expert Panel by Regeneron and Sanofi to agree on an additional expert pursuant to Section 13.3(b)(iii) within the time period specified therein,</w:t>
      </w: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120"/>
          </w:cols>
          <w:pgMar w:left="500" w:top="631" w:right="279" w:bottom="1440" w:gutter="0" w:footer="0" w:header="0"/>
        </w:sectPr>
      </w:pPr>
    </w:p>
    <w:bookmarkStart w:id="197" w:name="page198"/>
    <w:bookmarkEnd w:id="197"/>
    <w:p>
      <w:pPr>
        <w:ind w:left="660"/>
        <w:spacing w:after="0" w:line="246" w:lineRule="auto"/>
        <w:rPr>
          <w:sz w:val="20"/>
          <w:szCs w:val="20"/>
          <w:color w:val="auto"/>
        </w:rPr>
      </w:pPr>
      <w:r>
        <w:rPr>
          <w:rFonts w:ascii="Arial" w:cs="Arial" w:eastAsia="Arial" w:hAnsi="Arial"/>
          <w:sz w:val="22"/>
          <w:szCs w:val="22"/>
          <w:color w:val="auto"/>
        </w:rPr>
        <w:t>then the Extended Opt-In Period shall be further extended by the number of days of delay beyond the time periods referenced in clauses (1) and (2) resulting from the failures identified therein; except in each case to the extent that any such failure or delay is attributable to any act or omission by Sanofi or its Affiliates. To the extent that the Expert Panel does not render a decision at least [***] prior to the expiration of the Extended Opt-In Period, and solely to the extent that such failure is not attributable to any act or omission by Sanofi or its Affiliates, then the Extended Opt-In Period shall be further extended by [***]. For clarity, the foregoing shall not limit the Parties obligations under Section 5.2(g)(iv) or Section 13.3(b).</w:t>
      </w:r>
    </w:p>
    <w:p>
      <w:pPr>
        <w:spacing w:after="0" w:line="197" w:lineRule="exact"/>
        <w:rPr>
          <w:sz w:val="20"/>
          <w:szCs w:val="20"/>
          <w:color w:val="auto"/>
        </w:rPr>
      </w:pPr>
    </w:p>
    <w:p>
      <w:pPr>
        <w:ind w:left="660" w:firstLine="1293"/>
        <w:spacing w:after="0" w:line="260" w:lineRule="auto"/>
        <w:tabs>
          <w:tab w:leader="none" w:pos="244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In the event that a Post-POC Plan Dispute with respect to a Product Candidate Family is not fully resolved within the last to expire of the Initial Opt-In Period, Deferred Opt-In Period, Breakthrough Opt-In Period, or Extended Opt-In Period, if and as applicable, therefor, and (A) Sanofi timely provides an Opt-In Notice for such Product Candidate Family, then such Product Candidate Family shall become an IO Licensed Product pursuant to Section 5.2(e) and the most recent Post-POC Development Plan provided by Regeneron in the latest Opt-In Report provided with respect to such Product Candidate Family shall be the Post-POC Development Plan for such Product Candidate Family under the IO License and Collaboration Agreement, or (B) Sanofi fails to timely provide an Opt-In Notice for such Product Candidate Family, then Sanofi shall be deemed to have provided an Opt-Out with respect to such Product Candidate Family and Section 5.3 shall apply.</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Refused Candidates</w:t>
      </w:r>
      <w:r>
        <w:rPr>
          <w:rFonts w:ascii="Arial" w:cs="Arial" w:eastAsia="Arial" w:hAnsi="Arial"/>
          <w:sz w:val="21"/>
          <w:szCs w:val="21"/>
          <w:color w:val="auto"/>
        </w:rPr>
        <w:t>. If (v) Regeneron has provided an Initial Opt-In Report with respect to a Product Candidate Family and Sanofi fails to exercise its Opt-In Rights with respect to such Product Candidate Family during the Initial Opt-In Period (if any) therefor (or to provide a Deferral Notice within [***], or to provide a Post-POC Plan Dispute Notice within [***] after receipt of an Initial Opt-In Report therefor), (w) Sanofi has timely provided a Deferral Notice with respect to a Product Candidate Family but fails to exercise its Opt-In Rights during the Deferred Opt-In Period, or Extended Opt-In Period (if and as applicable) therefor, (x) Regeneron has provided a Breakthrough Opt-In Report with respect to a Product Candidate Family and Sanofi fails to exercise its Opt-In Rights within the Breakthrough Opt-In Period or Extended Opt-In Period (if and as applicable) therefor, or (y) if Sanofi notifies Regeneron in writing that it will not exercise its Opt-In Rights with respect to a Product Candidate Family during the Initial Opt-In Period (or the Deferred Opt-In Period, the Breakthrough Opt-In Period or the Extended Opt-In Period, if and as applicable) therefor (each such action or inaction described in clauses (v)-(y) (inclusive), an “</w:t>
      </w:r>
      <w:r>
        <w:rPr>
          <w:rFonts w:ascii="Arial" w:cs="Arial" w:eastAsia="Arial" w:hAnsi="Arial"/>
          <w:sz w:val="21"/>
          <w:szCs w:val="21"/>
          <w:u w:val="single" w:color="auto"/>
          <w:color w:val="auto"/>
        </w:rPr>
        <w:t>Opt-Out</w:t>
      </w:r>
      <w:r>
        <w:rPr>
          <w:rFonts w:ascii="Arial" w:cs="Arial" w:eastAsia="Arial" w:hAnsi="Arial"/>
          <w:sz w:val="21"/>
          <w:szCs w:val="21"/>
          <w:color w:val="auto"/>
        </w:rPr>
        <w:t>”), then, in each such case, the following shall apply:</w:t>
      </w:r>
    </w:p>
    <w:p>
      <w:pPr>
        <w:spacing w:after="0" w:line="186" w:lineRule="exact"/>
        <w:rPr>
          <w:sz w:val="20"/>
          <w:szCs w:val="20"/>
          <w:color w:val="auto"/>
        </w:rPr>
      </w:pPr>
    </w:p>
    <w:p>
      <w:pPr>
        <w:ind w:left="260" w:right="40" w:firstLine="1288"/>
        <w:spacing w:after="0" w:line="251" w:lineRule="auto"/>
        <w:tabs>
          <w:tab w:leader="none" w:pos="197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Refused Candidate</w:t>
      </w:r>
      <w:r>
        <w:rPr>
          <w:rFonts w:ascii="Arial" w:cs="Arial" w:eastAsia="Arial" w:hAnsi="Arial"/>
          <w:sz w:val="22"/>
          <w:szCs w:val="22"/>
          <w:color w:val="auto"/>
        </w:rPr>
        <w:t>. Sanofi’s Opt-In Rights shall expire with respect to such Product Candidate Family, and each member of such Product Candidate Family shall automatically become a “</w:t>
      </w:r>
      <w:r>
        <w:rPr>
          <w:rFonts w:ascii="Arial" w:cs="Arial" w:eastAsia="Arial" w:hAnsi="Arial"/>
          <w:sz w:val="22"/>
          <w:szCs w:val="22"/>
          <w:u w:val="single" w:color="auto"/>
          <w:color w:val="auto"/>
        </w:rPr>
        <w:t>Refused Candidate</w:t>
      </w:r>
      <w:r>
        <w:rPr>
          <w:rFonts w:ascii="Arial" w:cs="Arial" w:eastAsia="Arial" w:hAnsi="Arial"/>
          <w:sz w:val="22"/>
          <w:szCs w:val="22"/>
          <w:color w:val="auto"/>
        </w:rPr>
        <w:t>” for purposes of this Agreement. Following such time as the members of a Product Candidate Family become Refused Candidates, Sanofi shall no longer have any rights to such Product Candidate Family under this Agreement or the IO License and Collaboration Agreement. For clarity, [***], Regeneron shall not owe any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80"/>
          </w:cols>
          <w:pgMar w:left="240" w:top="631" w:right="279" w:bottom="1440" w:gutter="0" w:footer="0" w:header="0"/>
        </w:sectPr>
      </w:pPr>
    </w:p>
    <w:bookmarkStart w:id="198" w:name="page199"/>
    <w:bookmarkEnd w:id="198"/>
    <w:p>
      <w:pPr>
        <w:ind w:left="260"/>
        <w:spacing w:after="0"/>
        <w:rPr>
          <w:sz w:val="20"/>
          <w:szCs w:val="20"/>
          <w:color w:val="auto"/>
        </w:rPr>
      </w:pPr>
      <w:r>
        <w:rPr>
          <w:rFonts w:ascii="Arial" w:cs="Arial" w:eastAsia="Arial" w:hAnsi="Arial"/>
          <w:sz w:val="19"/>
          <w:szCs w:val="19"/>
          <w:color w:val="auto"/>
        </w:rPr>
        <w:t>royalty or other payments to Sanofi under any Ancillary Collaboration Agreement with respect to any such Refused Candidate.</w:t>
      </w:r>
    </w:p>
    <w:p>
      <w:pPr>
        <w:spacing w:after="0" w:line="254" w:lineRule="exact"/>
        <w:rPr>
          <w:sz w:val="20"/>
          <w:szCs w:val="20"/>
          <w:color w:val="auto"/>
        </w:rPr>
      </w:pPr>
    </w:p>
    <w:p>
      <w:pPr>
        <w:ind w:left="260" w:right="60" w:firstLine="1288"/>
        <w:spacing w:after="0" w:line="251" w:lineRule="auto"/>
        <w:tabs>
          <w:tab w:leader="none" w:pos="198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Regeneron Rights</w:t>
      </w:r>
      <w:r>
        <w:rPr>
          <w:rFonts w:ascii="Arial" w:cs="Arial" w:eastAsia="Arial" w:hAnsi="Arial"/>
          <w:sz w:val="22"/>
          <w:szCs w:val="22"/>
          <w:color w:val="auto"/>
        </w:rPr>
        <w:t>. Regeneron may (i) continue to develop, manufacture and commercialize (on its own or with one or more Third Parties) any Refused Candidate without restriction outside of this Agreement and any Ancillary Collaboration Agreement, and (ii) practice and use [***]. For clarity, subject to Section 2.9, Regeneron may continue to develop and commercialize such Refused Candidates for use with one (1) or more other IO Antibodies (including IO Antibodies controlled by Regeneron or its Affiliates or by other Persons).</w:t>
      </w:r>
    </w:p>
    <w:p>
      <w:pPr>
        <w:spacing w:after="0" w:line="189" w:lineRule="exact"/>
        <w:rPr>
          <w:rFonts w:ascii="Arial" w:cs="Arial" w:eastAsia="Arial" w:hAnsi="Arial"/>
          <w:sz w:val="22"/>
          <w:szCs w:val="22"/>
          <w:color w:val="auto"/>
        </w:rPr>
      </w:pPr>
    </w:p>
    <w:p>
      <w:pPr>
        <w:ind w:left="260" w:right="120" w:firstLine="1288"/>
        <w:spacing w:after="0" w:line="254" w:lineRule="auto"/>
        <w:tabs>
          <w:tab w:leader="none" w:pos="1976"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Sanofi Rights and Obligations</w:t>
      </w:r>
      <w:r>
        <w:rPr>
          <w:rFonts w:ascii="Arial" w:cs="Arial" w:eastAsia="Arial" w:hAnsi="Arial"/>
          <w:sz w:val="22"/>
          <w:szCs w:val="22"/>
          <w:color w:val="auto"/>
        </w:rPr>
        <w:t>. Neither Sanofi nor its Affiliates, either directly, or with or through any Third Party, may develop or commercialize (i) any Refused Candidate or (ii) any IO Antibody that targets the same IO Target Profile as such Refused Candidate, until the [***]; provided, that if as a result of [***] such restriction shall not apply, and Sanofi and its Affiliates shall be free to develop [***].</w:t>
      </w:r>
    </w:p>
    <w:p>
      <w:pPr>
        <w:spacing w:after="0" w:line="185"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Additional Development Prior to Opt-In</w:t>
      </w:r>
      <w:r>
        <w:rPr>
          <w:rFonts w:ascii="Arial" w:cs="Arial" w:eastAsia="Arial" w:hAnsi="Arial"/>
          <w:sz w:val="19"/>
          <w:szCs w:val="19"/>
          <w:color w:val="auto"/>
        </w:rPr>
        <w:t>. From and after Regeneron’s delivery to Sanofi of an Initial Opt-In Report, Deferred Opt-In Report or Breakthrough Opt-In Report with respect to a Product Candidate Family until Sanofi’s exercise of its Opt-In Rights (or an Opt-Out) with respect to such Product Candidate Family, [***]. After delivery of an Initial Opt-In Report or, if earlier, a Breakthrough Opt-In Report with respect to a Product Candidate Family, as applicable, to Sanofi and prior to Sanofi exercising its Opt-In Rights (or an Opt-Out) with respect to such Product Candidate Family as applicable:</w:t>
      </w:r>
    </w:p>
    <w:p>
      <w:pPr>
        <w:spacing w:after="0" w:line="147" w:lineRule="exact"/>
        <w:rPr>
          <w:sz w:val="20"/>
          <w:szCs w:val="20"/>
          <w:color w:val="auto"/>
        </w:rPr>
      </w:pPr>
    </w:p>
    <w:p>
      <w:pPr>
        <w:ind w:left="260" w:right="200" w:firstLine="1288"/>
        <w:spacing w:after="0" w:line="278" w:lineRule="auto"/>
        <w:tabs>
          <w:tab w:leader="none" w:pos="197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Regeneron shall have the right to continue (or commence) any and all research and development activities that constitute POC Development (for the avoidance of doubt, other than Phase III Clinical Trials) with respect to the members of such Product Candidate Family, including with respect to [***]; and</w:t>
      </w:r>
    </w:p>
    <w:p>
      <w:pPr>
        <w:spacing w:after="0" w:line="160" w:lineRule="exact"/>
        <w:rPr>
          <w:rFonts w:ascii="Arial" w:cs="Arial" w:eastAsia="Arial" w:hAnsi="Arial"/>
          <w:sz w:val="21"/>
          <w:szCs w:val="21"/>
          <w:color w:val="auto"/>
        </w:rPr>
      </w:pPr>
    </w:p>
    <w:p>
      <w:pPr>
        <w:ind w:left="260" w:firstLine="1288"/>
        <w:spacing w:after="0" w:line="248" w:lineRule="auto"/>
        <w:tabs>
          <w:tab w:leader="none" w:pos="198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Regeneron may, with the prior consent of Sanofi, conduct development activities with respect to the members of such Product Candidate Family that do not constitute POC Development but are reasonably intended to support or enable post-POC activities, including with respect to [***]; provided, that (i) if Sanofi Opts-In with respect to a Product Candidate Family, the costs and expenses incurred by Regeneron and its Affiliates in accordance with this Section 5.4(b) shall be treated as Development Costs and shall be handled in accordance with Section 5.2(e) or (ii) if Sanofi Opts-Out with respect to the Product Candidate Family, the costs and expenses incurred by Regeneron and its Affiliates in accordance with this Section 5.4(b) shall be borne by Regeneron.</w:t>
      </w:r>
    </w:p>
    <w:p>
      <w:pPr>
        <w:spacing w:after="0" w:line="195" w:lineRule="exact"/>
        <w:rPr>
          <w:rFonts w:ascii="Arial" w:cs="Arial" w:eastAsia="Arial" w:hAnsi="Arial"/>
          <w:sz w:val="22"/>
          <w:szCs w:val="22"/>
          <w:color w:val="auto"/>
        </w:rPr>
      </w:pPr>
    </w:p>
    <w:p>
      <w:pPr>
        <w:ind w:left="260" w:right="100" w:firstLine="1288"/>
        <w:spacing w:after="0" w:line="270" w:lineRule="auto"/>
        <w:tabs>
          <w:tab w:leader="none" w:pos="197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 the event of a Post-POC Plan Dispute with respect to a Post-POC Development Plan and a Product Candidate Family, Regeneron [***]. If Sanofi exercises its Opt-In Rights with respect to a Product Candidate Family for which Regeneron has initiated or conducted portions of the Post-POC Development Plan pursuant to this Section 5.4(c), and thereafter Sanofi requests that Regeneron transfer the conduct of one or more of such</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199" w:name="page200"/>
    <w:bookmarkEnd w:id="199"/>
    <w:p>
      <w:pPr>
        <w:ind w:left="260" w:right="300"/>
        <w:spacing w:after="0" w:line="263" w:lineRule="auto"/>
        <w:rPr>
          <w:sz w:val="20"/>
          <w:szCs w:val="20"/>
          <w:color w:val="auto"/>
        </w:rPr>
      </w:pPr>
      <w:r>
        <w:rPr>
          <w:rFonts w:ascii="Arial" w:cs="Arial" w:eastAsia="Arial" w:hAnsi="Arial"/>
          <w:sz w:val="22"/>
          <w:szCs w:val="22"/>
          <w:color w:val="auto"/>
        </w:rPr>
        <w:t>activities to Sanofi, Regeneron and Sanofi shall work together in good faith to promptly transition such activities in a smooth and orderly manner.</w:t>
      </w:r>
    </w:p>
    <w:p>
      <w:pPr>
        <w:spacing w:after="0" w:line="17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Additional Development Following Opt-In</w:t>
      </w:r>
      <w:r>
        <w:rPr>
          <w:rFonts w:ascii="Arial" w:cs="Arial" w:eastAsia="Arial" w:hAnsi="Arial"/>
          <w:sz w:val="19"/>
          <w:szCs w:val="19"/>
          <w:color w:val="auto"/>
        </w:rPr>
        <w:t>. Notwithstanding anything to the contrary in this Agreement or the IO License and Collaboration Agreement, from and after the date that Regeneron receives an Opt-In Notice from Sanofi with respect to a Product Candidate Family, whose members shall, thereupon become IO Licensed Products (but in the case of BCMAxCD3 Program Antibodies, solely with respect to IO Indications), Regeneron shall have the right to continue any POC Development clinical trials for members of such Product Candidate Family that have commenced (i.e., first patient first visit has occurred) at the time of Regeneron receives the applicable Opt-In Notice, and the costs and expenses of such post-Opt-In Notice clinical trials shall be treated as Development Costs under the IO License and Collaboration Agreement.</w:t>
      </w:r>
    </w:p>
    <w:p>
      <w:pPr>
        <w:spacing w:after="0" w:line="15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Further Assurances and Transaction Approvals in Connection with Opt-In</w:t>
      </w:r>
      <w:r>
        <w:rPr>
          <w:rFonts w:ascii="Arial" w:cs="Arial" w:eastAsia="Arial" w:hAnsi="Arial"/>
          <w:sz w:val="19"/>
          <w:szCs w:val="19"/>
          <w:color w:val="auto"/>
        </w:rPr>
        <w:t>. Sanofi shall specify in each Opt-In Notice provided with respect to a Product Candidate Family pursuant to this ARTICLE 5 whether, in Sanofi’s reasonable opinion, the Parties would be required by applicable Law to file with the United States Federal Trade Commission and the Antitrust Division of the United States Department of Justice, any notification and report form under the HSR Act (an “</w:t>
      </w:r>
      <w:r>
        <w:rPr>
          <w:rFonts w:ascii="Arial" w:cs="Arial" w:eastAsia="Arial" w:hAnsi="Arial"/>
          <w:sz w:val="19"/>
          <w:szCs w:val="19"/>
          <w:u w:val="single" w:color="auto"/>
          <w:color w:val="auto"/>
        </w:rPr>
        <w:t>HSR Filing</w:t>
      </w:r>
      <w:r>
        <w:rPr>
          <w:rFonts w:ascii="Arial" w:cs="Arial" w:eastAsia="Arial" w:hAnsi="Arial"/>
          <w:sz w:val="19"/>
          <w:szCs w:val="19"/>
          <w:color w:val="auto"/>
        </w:rPr>
        <w:t>”) with respect to the exercise of Sanofi’s Opt-In Rights with respect to the applicable Product Candidate Family. The Parties will cooperate with one another to the extent necessary in the preparation of any such HSR Filing. Sanofi shall be responsible for the filing fees associated with any such HSR Filing. The Parties shall each use commercially reasonable efforts to ensure that applicable waiting period under the HSR Act or any applicable comparable foreign law in the Territory expires or is terminated as soon as practicable. Notwithstanding the foregoing, nothing in this Section 5.6 shall require (a) either Party to disclose to the other Party any information that is subject to obligations of confidentiality owed to Third Parties (nor shall either Party be required to conduct joint meetings with any Governmental Authority in which such information might be shared with the other Party), or (b) either Party or any of its Affiliates to commit to any divestiture, license (in whole or in part) or any arrangement to hold separate (or any similar arrangement) with respect to any of its products or assets.</w:t>
      </w:r>
    </w:p>
    <w:p>
      <w:pPr>
        <w:spacing w:after="0" w:line="157"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Non-IO Indications</w:t>
      </w:r>
      <w:r>
        <w:rPr>
          <w:rFonts w:ascii="Arial" w:cs="Arial" w:eastAsia="Arial" w:hAnsi="Arial"/>
          <w:sz w:val="19"/>
          <w:szCs w:val="19"/>
          <w:color w:val="auto"/>
        </w:rPr>
        <w:t>. The Parties will negotiate in good faith to reach an agreement (and execute any amendments to this Agreement and to the IO License and Collaboration Agreement as the Parties determine in good faith are necessary to reflect such agreement) within sixty (60) days after the A&amp;R Agreement Effective Date with respect to BCMAxCD3 Program Antibodies for Non-IO Indications in a manner that preserves Regeneron’s ability (with or without Sanofi) to pursue Non-IO Indications without impairing the development and commercialization of BCMAxCD3 Program Antibodies in IO Indications. For clarity, unless and until the Parties reach such an agreement (regardless of whether Sanofi agrees to pursue Non-IO Indications for BCMAxCD3 Program Antibodies under the IO License and Collaboration Agreement), [***].</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60"/>
          </w:cols>
          <w:pgMar w:left="240" w:top="631" w:right="299" w:bottom="1440" w:gutter="0" w:footer="0" w:header="0"/>
        </w:sectPr>
      </w:pPr>
    </w:p>
    <w:bookmarkStart w:id="200" w:name="page201"/>
    <w:bookmarkEnd w:id="200"/>
    <w:p>
      <w:pPr>
        <w:jc w:val="center"/>
        <w:ind w:right="46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u w:val="single" w:color="auto"/>
          <w:color w:val="auto"/>
        </w:rPr>
        <w:t>NEWLY CREATED INVENTIONS</w:t>
      </w:r>
    </w:p>
    <w:p>
      <w:pPr>
        <w:spacing w:after="0" w:line="215"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33" w:lineRule="exact"/>
        <w:rPr>
          <w:sz w:val="20"/>
          <w:szCs w:val="20"/>
          <w:color w:val="auto"/>
        </w:rPr>
      </w:pPr>
    </w:p>
    <w:p>
      <w:pPr>
        <w:ind w:right="40" w:firstLine="1288"/>
        <w:spacing w:after="0" w:line="294" w:lineRule="auto"/>
        <w:tabs>
          <w:tab w:leader="none" w:pos="171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Each Party shall exclusively own all intellectual property (including Know-How, Patents and Patent Applications and copyrights) discovered, invented, authored or otherwise created solely by such Party, its employees, agents and consultants under this Agreement (“</w:t>
      </w:r>
      <w:r>
        <w:rPr>
          <w:rFonts w:ascii="Arial" w:cs="Arial" w:eastAsia="Arial" w:hAnsi="Arial"/>
          <w:sz w:val="19"/>
          <w:szCs w:val="19"/>
          <w:u w:val="single" w:color="auto"/>
          <w:color w:val="auto"/>
        </w:rPr>
        <w:t>Sole Inventions</w:t>
      </w:r>
      <w:r>
        <w:rPr>
          <w:rFonts w:ascii="Arial" w:cs="Arial" w:eastAsia="Arial" w:hAnsi="Arial"/>
          <w:sz w:val="19"/>
          <w:szCs w:val="19"/>
          <w:color w:val="auto"/>
        </w:rPr>
        <w:t>”). Sole Inventions made solely by Sanofi, its employees, agents and consultants are referred to herein as “</w:t>
      </w:r>
      <w:r>
        <w:rPr>
          <w:rFonts w:ascii="Arial" w:cs="Arial" w:eastAsia="Arial" w:hAnsi="Arial"/>
          <w:sz w:val="19"/>
          <w:szCs w:val="19"/>
          <w:u w:val="single" w:color="auto"/>
          <w:color w:val="auto"/>
        </w:rPr>
        <w:t>Sanofi Sole Inventions</w:t>
      </w:r>
      <w:r>
        <w:rPr>
          <w:rFonts w:ascii="Arial" w:cs="Arial" w:eastAsia="Arial" w:hAnsi="Arial"/>
          <w:sz w:val="19"/>
          <w:szCs w:val="19"/>
          <w:color w:val="auto"/>
        </w:rPr>
        <w:t>.” Sole Inventions made solely by Regeneron, its employees, agents and consultants are referred to herein as “</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52" w:lineRule="exact"/>
        <w:rPr>
          <w:rFonts w:ascii="Arial" w:cs="Arial" w:eastAsia="Arial" w:hAnsi="Arial"/>
          <w:sz w:val="19"/>
          <w:szCs w:val="19"/>
          <w:color w:val="auto"/>
        </w:rPr>
      </w:pPr>
    </w:p>
    <w:p>
      <w:pPr>
        <w:jc w:val="both"/>
        <w:ind w:firstLine="1288"/>
        <w:spacing w:after="0" w:line="297" w:lineRule="auto"/>
        <w:tabs>
          <w:tab w:leader="none" w:pos="17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Parties shall jointly own all intellectual property (including Know-How, Patents and Patent Applications and copyrights) discovered, invented, authored or otherwise created under this Agreement that is discovered, invented, authored or otherwise created jointly by an individual or individuals having an obligation to assign such intellectual property to Sanofi (or for which ownership vests in Sanofi by operation of Law), on the one hand, and an individual or individuals having an obligation to assign such intellectual property to Regeneron (or for which ownership vests in Regeneron by operation of Law), on the other hand, on the basis of each Party having an undivided interest in the whole (“</w:t>
      </w:r>
      <w:r>
        <w:rPr>
          <w:rFonts w:ascii="Arial" w:cs="Arial" w:eastAsia="Arial" w:hAnsi="Arial"/>
          <w:sz w:val="19"/>
          <w:szCs w:val="19"/>
          <w:u w:val="single" w:color="auto"/>
          <w:color w:val="auto"/>
        </w:rPr>
        <w:t>Joint Inventions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right="20" w:firstLine="1288"/>
        <w:spacing w:after="0" w:line="292" w:lineRule="auto"/>
        <w:tabs>
          <w:tab w:leader="none" w:pos="171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Notwithstanding Section 6.1(b), (i) for purposes of determining whether a an invention of patent-eligible subject matter is a Sanofi Sole Invention, a Regeneron Sole Invention or a Joint Invention, questions of inventorship shall be resolved in accordance with United States patent Laws, (ii) for purposes of determining whether a work eligible for copyright protection is a Sanofi Sole Invention, a Regeneron Sole Invention or a Joint Invention, questions of copyright authorship shall be resolved in accordance with United States copyright Laws, and (iii) for purposes of determining whether Know-How (other than copyrighted work, Patents and Patent Applications) is a Sanofi Sole Invention, a Regeneron Sole Invention or a Joint Invention, questions of authorship or inventorship shall be resolved in accordance with the Laws of the State of New York, United States, as determined in each case ((i), (ii) and (iii)), if necessary, by an independent Third Party.</w:t>
      </w:r>
    </w:p>
    <w:p>
      <w:pPr>
        <w:spacing w:after="0" w:line="155" w:lineRule="exact"/>
        <w:rPr>
          <w:rFonts w:ascii="Arial" w:cs="Arial" w:eastAsia="Arial" w:hAnsi="Arial"/>
          <w:sz w:val="19"/>
          <w:szCs w:val="19"/>
          <w:color w:val="auto"/>
        </w:rPr>
      </w:pPr>
    </w:p>
    <w:p>
      <w:pPr>
        <w:ind w:right="20" w:firstLine="1288"/>
        <w:spacing w:after="0" w:line="251" w:lineRule="auto"/>
        <w:tabs>
          <w:tab w:leader="none" w:pos="172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the extent that any right, title or interest in or to any intellectual property discovered, invented, authored or otherwise created under this Agreement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200" w:lineRule="exact"/>
        <w:rPr>
          <w:sz w:val="20"/>
          <w:szCs w:val="20"/>
          <w:color w:val="auto"/>
        </w:rPr>
      </w:pP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160"/>
          </w:cols>
          <w:pgMar w:left="500" w:top="625" w:right="239" w:bottom="1440" w:gutter="0" w:footer="0" w:header="0"/>
        </w:sectPr>
      </w:pPr>
    </w:p>
    <w:bookmarkStart w:id="201" w:name="page202"/>
    <w:bookmarkEnd w:id="201"/>
    <w:p>
      <w:pPr>
        <w:ind w:firstLine="1288"/>
        <w:spacing w:after="0" w:line="286" w:lineRule="auto"/>
        <w:tabs>
          <w:tab w:leader="none" w:pos="171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Parties hereby agree that each Party’s use of the Joint Inventions shall be governed by the terms and conditions of this Agreement, including the following: each Party’s interest in the Joint Inventions may be sublicensed to Third Parties, and any ownership rights therein transferred, in whole or in part, by each Party without consent of the other Party (unless otherwise prohibited by this Agreement or the IO License and Collaboration Agreement); provided, that (i) each of the Parties acknowledges that it receives no rights to any intellectual property of the other Party underlying or necessary for the use of any Joint Invention, except as otherwise set forth herein or in the IO License and Collaboration Agreement, (ii) each Party agrees not to transfer any of its ownership interest in any of the Joint Inventions without securing the transferee’s written agreement to be bound by the terms of this Section 6.1(e), (iii) during the Term, each Party agrees not to license its interest in any Joint Invention with the right to use such Joint Invention for developing, manufacturing or commercializing Antibodies (except for developing, manufacturing or commercializing a Party’s Antibodies in accordance with the terms and conditions of Section 2.5 or any Ancillary Collaboration Agreement) and (iv) nothing in this ARTICLE 6 shall relieve a Party or its Affiliates of its or their obligations under ARTICLE 9 with respect to Confidential Information provided by the other Party or such other Party’s Affiliates. Neither Party hereto shall have any obligation to account to the other Party for any revenues or profits obtained from any transfer of its interest in, or its use, sublicense or other exploitation of, the Joint Inventions outside the scope of this Agreement and the IO License and Collaboration Agreement. Each of the Parties (or its Affiliate), as joint owner of the Joint Inventions, agrees to cooperate with any enforcement actions brought by the other joint owner(s) against any Third Parties, including being brought as a third party to such action, if necessary, and further agrees not to grant any licenses to any such Third Parties against which such enforcement actions are brought during the time of such dispute, without the prior written consent of the other joint owner(s), such consent not to be unreasonably withheld, conditioned or delayed.</w:t>
      </w:r>
    </w:p>
    <w:p>
      <w:pPr>
        <w:spacing w:after="0" w:line="158"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233" w:lineRule="exact"/>
        <w:rPr>
          <w:sz w:val="20"/>
          <w:szCs w:val="20"/>
          <w:color w:val="auto"/>
        </w:rPr>
      </w:pPr>
    </w:p>
    <w:p>
      <w:pPr>
        <w:ind w:right="60" w:firstLine="1288"/>
        <w:spacing w:after="0" w:line="289" w:lineRule="auto"/>
        <w:tabs>
          <w:tab w:leader="none" w:pos="171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Subject to the terms of the IO License and Collaboration Agreement with respect to IO Licensed Products, Regeneron shall prepare, file, prosecute and maintain Patents and Patent Applications (as applicable) included in the Regeneron Patent Rights and Regeneron shall confer with and keep Sanofi reasonably informed regarding the status of such activities to the extent they are Product Patent Rights. With respect to the preparation, filing, prosecution and maintenance of those Patents and Patent Applications that are Product Patent Rights, (i) Regeneron shall [***], except that all provisional applications, priority applications and PCT applications [***]; (ii) Regeneron shall use Commercially Reasonable Efforts to provide to Sanofi for review and comment a draft of any priority Patent Application in the Territory at least [***] prior to the filing of any such priority Patent Application by Regeneron; (iii) Regeneron shall [***]; and (iv) Regeneron shall [***]. Sanofi shall prepare, file, prosecute and maintain Patents and Patent Applications (as applicable) included in the Sanofi Patent Rights; provided, that, with respect to the preparation, filing, prosecution and maintenance of those Patents and Patent Applications that are Product Patent Rights, Sanofi shall confer with and keep Regeneron reasonably informed regarding the status of such</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160"/>
          </w:cols>
          <w:pgMar w:left="500" w:top="631" w:right="239" w:bottom="1440" w:gutter="0" w:footer="0" w:header="0"/>
        </w:sectPr>
      </w:pPr>
    </w:p>
    <w:bookmarkStart w:id="202" w:name="page203"/>
    <w:bookmarkEnd w:id="202"/>
    <w:p>
      <w:pPr>
        <w:ind w:left="9"/>
        <w:spacing w:after="0"/>
        <w:rPr>
          <w:sz w:val="20"/>
          <w:szCs w:val="20"/>
          <w:color w:val="auto"/>
        </w:rPr>
      </w:pPr>
      <w:r>
        <w:rPr>
          <w:rFonts w:ascii="Arial" w:cs="Arial" w:eastAsia="Arial" w:hAnsi="Arial"/>
          <w:sz w:val="22"/>
          <w:szCs w:val="22"/>
          <w:color w:val="auto"/>
        </w:rPr>
        <w:t>activities and [***], except that all provisional applications, priority applications and PCT applications [***].</w:t>
      </w:r>
    </w:p>
    <w:p>
      <w:pPr>
        <w:spacing w:after="0" w:line="220" w:lineRule="exact"/>
        <w:rPr>
          <w:sz w:val="20"/>
          <w:szCs w:val="20"/>
          <w:color w:val="auto"/>
        </w:rPr>
      </w:pPr>
    </w:p>
    <w:p>
      <w:pPr>
        <w:ind w:left="9" w:right="40" w:firstLine="1288"/>
        <w:spacing w:after="0" w:line="251" w:lineRule="auto"/>
        <w:tabs>
          <w:tab w:leader="none" w:pos="173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With respect to any Joint Patent Rights, the Parties shall consult with each other regarding the filing, prosecution and maintenance of any Patents and Patent Applications, and responsibility for such activities shall be the obligation of Regeneron. Regeneron shall undertake such filings, prosecutions and maintenance in the names of both Parties as co-owners using outside counsel reasonably acceptable to Sanofi, except, at Regeneron’s option, all provisional applications, priority applications and PCT applications [***].</w:t>
      </w:r>
    </w:p>
    <w:p>
      <w:pPr>
        <w:spacing w:after="0" w:line="189" w:lineRule="exact"/>
        <w:rPr>
          <w:rFonts w:ascii="Arial" w:cs="Arial" w:eastAsia="Arial" w:hAnsi="Arial"/>
          <w:sz w:val="22"/>
          <w:szCs w:val="22"/>
          <w:color w:val="auto"/>
        </w:rPr>
      </w:pPr>
    </w:p>
    <w:p>
      <w:pPr>
        <w:ind w:left="9" w:firstLine="1288"/>
        <w:spacing w:after="0" w:line="286" w:lineRule="auto"/>
        <w:tabs>
          <w:tab w:leader="none" w:pos="1725"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Parties shall have the following obligations with respect to the filing, prosecution and maintenance of any Joint Patent Rights, as well as any Product Patent Rights: (i) the prosecuting Party (the “</w:t>
      </w:r>
      <w:r>
        <w:rPr>
          <w:rFonts w:ascii="Arial" w:cs="Arial" w:eastAsia="Arial" w:hAnsi="Arial"/>
          <w:sz w:val="19"/>
          <w:szCs w:val="19"/>
          <w:u w:val="single" w:color="auto"/>
          <w:color w:val="auto"/>
        </w:rPr>
        <w:t>Prosecuting Party</w:t>
      </w:r>
      <w:r>
        <w:rPr>
          <w:rFonts w:ascii="Arial" w:cs="Arial" w:eastAsia="Arial" w:hAnsi="Arial"/>
          <w:sz w:val="19"/>
          <w:szCs w:val="19"/>
          <w:color w:val="auto"/>
        </w:rPr>
        <w:t>”) shall provide the other Party (the “</w:t>
      </w:r>
      <w:r>
        <w:rPr>
          <w:rFonts w:ascii="Arial" w:cs="Arial" w:eastAsia="Arial" w:hAnsi="Arial"/>
          <w:sz w:val="19"/>
          <w:szCs w:val="19"/>
          <w:u w:val="single" w:color="auto"/>
          <w:color w:val="auto"/>
        </w:rPr>
        <w:t>Non-Prosecuting Party</w:t>
      </w:r>
      <w:r>
        <w:rPr>
          <w:rFonts w:ascii="Arial" w:cs="Arial" w:eastAsia="Arial" w:hAnsi="Arial"/>
          <w:sz w:val="19"/>
          <w:szCs w:val="19"/>
          <w:color w:val="auto"/>
        </w:rPr>
        <w:t>”) with notice and a copy of a substantially completed draft of any Patent Application at least thirty (30) days prior to the filing of any such Patent Application by the Prosecuting Party and incorporate all reasonable comments provided by the Non-Prosecuting Party within such thirty (30) day period unless the Prosecuting Party reasonably believes that such comments will adversely affect the scope or validity of the Patent Application or resulting Patent (it being understood that the Parties will discuss any points of disagreement and work to resolve disagreements during this thirty</w:t>
      </w:r>
    </w:p>
    <w:p>
      <w:pPr>
        <w:spacing w:after="0" w:line="5" w:lineRule="exact"/>
        <w:rPr>
          <w:rFonts w:ascii="Arial" w:cs="Arial" w:eastAsia="Arial" w:hAnsi="Arial"/>
          <w:sz w:val="19"/>
          <w:szCs w:val="19"/>
          <w:color w:val="auto"/>
        </w:rPr>
      </w:pPr>
    </w:p>
    <w:p>
      <w:pPr>
        <w:ind w:left="9" w:right="60" w:hanging="9"/>
        <w:spacing w:after="0" w:line="284" w:lineRule="auto"/>
        <w:tabs>
          <w:tab w:leader="none" w:pos="42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day period); (ii) the Prosecuting Party shall notify the Non-Prosecuting Party prior to its filing of a Patent Application; (iii) the Prosecuting Party shall consult with the Non-Prosecuting Party promptly following the filing of the Patent Application to mutually determine in which countries it shall file any Patent Applications claiming priority to the filed Patent application, including Patent applications filed under the Paris Convention for the Protection of Industrial Property claiming priority to the filed Patent Application or any regional or national phase Patent Applications derived from an international (PCT) Patent Application claiming priority to the filed Patent Application; (iv) the Prosecuting Party shall provide the Non-Prosecuting Party promptly with copies of all material communications received from or filed in patent offices with respect to such applications and incorporate all reasonable comments provided by the Non-Prosecuting Party, unless the Prosecuting Party reasonably believes that such comments will adversely affect the validity or scope of the Patent Application or resulting Patent for both Parties; and (v) the Prosecuting Party shall provide the Non-Prosecuting Party a reasonable time prior to taking or failing to take action that would affect the scope or validity of rights under any Patent Applications or Patents, but (unless the period permitted by the applicable patent office for taking an action is less than sixty (60) days) in no event less than sixty (60) days prior to the next deadline for any action that may be taken with the applicable patent office (including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such that the Non-Prosecuting Party has a reasonable opportunity to review and make comments, and take such actions as may be appropriate in the circumstances, including assuming the Prosecuting Party’s responsibility for filing, prosecution and maintenance of any such Product Patent Right or Joint Patent Right and becoming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169"/>
          </w:cols>
          <w:pgMar w:left="491" w:top="632" w:right="239" w:bottom="1440" w:gutter="0" w:footer="0" w:header="0"/>
        </w:sectPr>
      </w:pPr>
    </w:p>
    <w:bookmarkStart w:id="203" w:name="page204"/>
    <w:bookmarkEnd w:id="203"/>
    <w:p>
      <w:pPr>
        <w:ind w:left="260"/>
        <w:spacing w:after="0" w:line="286" w:lineRule="auto"/>
        <w:rPr>
          <w:sz w:val="20"/>
          <w:szCs w:val="20"/>
          <w:color w:val="auto"/>
        </w:rPr>
      </w:pPr>
      <w:r>
        <w:rPr>
          <w:rFonts w:ascii="Arial" w:cs="Arial" w:eastAsia="Arial" w:hAnsi="Arial"/>
          <w:sz w:val="19"/>
          <w:szCs w:val="19"/>
          <w:color w:val="auto"/>
        </w:rPr>
        <w:t>Prosecuting Party. With respect to Joint Inventions, it is understood that the Parties shall use all reasonable efforts to reach agreement on all material filings and amendments and no such material filings or amendments shall be made by the Prosecuting Party without the prior written agreement of the Non-Prosecuting Party, such agreement not to be unreasonably withheld, conditioned or delayed. In addition, in the event that the Prosecuting Party materially breaches the foregoing obligations and such material breach is not cured within thirty (30) days of a written notice from the Non-Prosecuting Party describing such breach in reasonable detail, or in the event that the Prosecuting Party fails to undertake the filing of a Patent Application within the earlier of (A) ninety (90) days of a written request by the Non-Prosecuting Party to do so, and (B) sixty (60) days prior to the anticipated filing date, the Non-Prosecuting Party may assume the Prosecuting Party’s responsibility for filing, prosecution and maintenance of any such Product Patent Right and will thereafter be deemed the Prosecuting Party for purposes hereof. Notwithstanding the foregoing, the Prosecuting Party may withdraw from, abandon or allow to expire any Patent or Patent Application on thirty (30) days’ prior notice to the Non-Prosecuting Party (provided, that such notice shall be given no later than sixty (60) days prior to the next deadline for any action that may be taken with respect to such Patent or Patent Application with the applicable patent office), providing the Non-Prosecuting Party the right to assume the prosecution or maintenance thereof.</w:t>
      </w:r>
    </w:p>
    <w:p>
      <w:pPr>
        <w:spacing w:after="0" w:line="167" w:lineRule="exact"/>
        <w:rPr>
          <w:sz w:val="20"/>
          <w:szCs w:val="20"/>
          <w:color w:val="auto"/>
        </w:rPr>
      </w:pPr>
    </w:p>
    <w:p>
      <w:pPr>
        <w:ind w:left="260" w:right="400" w:firstLine="1288"/>
        <w:spacing w:after="0" w:line="270" w:lineRule="auto"/>
        <w:tabs>
          <w:tab w:leader="none" w:pos="198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All costs and expenses incurred in the filing, prosecution and maintenance, including any administrative proceedings, such as Inter Partes Reviews and Oppositions, of any Joint Patent Rights and Product Patent Rights and in performing freedom to operate analyses on IO Target Profiles (including any Targets contained therein) or IO Discovery Program Antibodies shall be shared equally (50%/50%) by the Parties.</w:t>
      </w:r>
    </w:p>
    <w:p>
      <w:pPr>
        <w:spacing w:after="0" w:line="169" w:lineRule="exact"/>
        <w:rPr>
          <w:rFonts w:ascii="Arial" w:cs="Arial" w:eastAsia="Arial" w:hAnsi="Arial"/>
          <w:sz w:val="21"/>
          <w:szCs w:val="21"/>
          <w:color w:val="auto"/>
        </w:rPr>
      </w:pPr>
    </w:p>
    <w:p>
      <w:pPr>
        <w:ind w:left="260" w:firstLine="1288"/>
        <w:spacing w:after="0" w:line="291" w:lineRule="auto"/>
        <w:tabs>
          <w:tab w:leader="none" w:pos="197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Neither Party shall have the right to invoke the Cooperative Research and Technology Enhancement Act of 2004 (Pub. L. 108-453, 118 Stat. 3596 (2004)) (the “</w:t>
      </w:r>
      <w:r>
        <w:rPr>
          <w:rFonts w:ascii="Arial" w:cs="Arial" w:eastAsia="Arial" w:hAnsi="Arial"/>
          <w:sz w:val="19"/>
          <w:szCs w:val="19"/>
          <w:u w:val="single" w:color="auto"/>
          <w:color w:val="auto"/>
        </w:rPr>
        <w:t>CREATE Act</w:t>
      </w:r>
      <w:r>
        <w:rPr>
          <w:rFonts w:ascii="Arial" w:cs="Arial" w:eastAsia="Arial" w:hAnsi="Arial"/>
          <w:sz w:val="19"/>
          <w:szCs w:val="19"/>
          <w:color w:val="auto"/>
        </w:rPr>
        <w:t>”) by making filings or undertaking other activities under pre-AIA (Leahy-Smith America Invents Act), 35 U.S.C. § 103(c)(2)-(c)(3), or post-AIA, 35 U.S.C. § 102(c), with respect to Joint Inventions, without the prior written consent of the other Party. In the event that a Party intends to so invoke the CREATE Act, as permitted by the preceding sentence, it shall notify the other Party and the Parties shall reasonably cooperate and coordinate their activities with respect to any such submissions, filings or other activities. The Parties acknowledge and agree that this Agreement is a “joint research agreement” as defined in the CREATE Act, pre-AIA, 35 U.S.C. § 103(c)(2)-(c)(3), and post-AIA, 35 U.S.C. § 102(c). For the avoidance of doubt, nothing in this Section 6.2(e) shall amend or modify the determination of ownership of intellectual property as set forth in Section 6.1.</w:t>
      </w:r>
    </w:p>
    <w:p>
      <w:pPr>
        <w:spacing w:after="0" w:line="15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Third Party Claims</w:t>
      </w:r>
      <w:r>
        <w:rPr>
          <w:rFonts w:ascii="Arial" w:cs="Arial" w:eastAsia="Arial" w:hAnsi="Arial"/>
          <w:sz w:val="22"/>
          <w:szCs w:val="22"/>
          <w:color w:val="auto"/>
        </w:rPr>
        <w:t>. In the normal course of business, Regeneron shall carry out patent searches in relation to the IO Discovery Program Target Profiles and IO Discovery Program Antibodies. If either Party or its Affiliates becomes aware of a Third Party claim, assertion or certification that the activities under the IO Discovery Program infringe or otherwise violate the intellectual property rights of any Third Party in the Territory, then such Party shall promptly notify the other Party in writing of this claim, assertion or certification. As soon as reasonably practical after the receipt of such notice, the Parties shall cause their respective legal</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80"/>
          </w:cols>
          <w:pgMar w:left="240" w:top="631" w:right="279" w:bottom="1440" w:gutter="0" w:footer="0" w:header="0"/>
        </w:sectPr>
      </w:pPr>
    </w:p>
    <w:bookmarkStart w:id="204" w:name="page205"/>
    <w:bookmarkEnd w:id="204"/>
    <w:p>
      <w:pPr>
        <w:spacing w:after="0" w:line="250" w:lineRule="auto"/>
        <w:rPr>
          <w:sz w:val="20"/>
          <w:szCs w:val="20"/>
          <w:color w:val="auto"/>
        </w:rPr>
      </w:pPr>
      <w:r>
        <w:rPr>
          <w:rFonts w:ascii="Arial" w:cs="Arial" w:eastAsia="Arial" w:hAnsi="Arial"/>
          <w:sz w:val="22"/>
          <w:szCs w:val="22"/>
          <w:color w:val="auto"/>
        </w:rPr>
        <w:t>counsel to meet to confer on such allegation of infringement. In particular, with regard to issues related to freedom to operate concerning any IO Discovery Program Target Profiles, IO Discovery Program Antibodies or Product Candidate Families pursued under this Agreement, the Parties shall conduct and maintain ongoing and regular communications between their legal/intellectual property departments.</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60"/>
          </w:cols>
          <w:pgMar w:left="240" w:top="631" w:right="399" w:bottom="1440" w:gutter="0" w:footer="0" w:header="0"/>
        </w:sectPr>
      </w:pPr>
    </w:p>
    <w:bookmarkStart w:id="205" w:name="page206"/>
    <w:bookmarkEnd w:id="205"/>
    <w:p>
      <w:pPr>
        <w:jc w:val="center"/>
        <w:ind w:right="2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FINANCIAL BOOKS AND RECORDS; AUDITS AND ADJUSTMENTS</w:t>
      </w:r>
    </w:p>
    <w:p>
      <w:pPr>
        <w:spacing w:after="0" w:line="215"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Financial Books and Records</w:t>
      </w:r>
      <w:r>
        <w:rPr>
          <w:rFonts w:ascii="Arial" w:cs="Arial" w:eastAsia="Arial" w:hAnsi="Arial"/>
          <w:sz w:val="19"/>
          <w:szCs w:val="19"/>
          <w:color w:val="auto"/>
        </w:rPr>
        <w:t>. Each Party shall keep proper books of record and account in which full, true and correct entries (in conformity with the principles set forth in Section 7.3) shall be made for the purpose of determining the amounts payable or owed pursuant to this Agreement. Each Party shall permit auditors, as provided in Section 7.2, to visit and inspect, during regular business hours and under the guidance of its employees, the books of record and account of such Party to the extent relating to this Agreement and discuss its affairs, finances and accounts to the extent relating to this Agreement.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33" w:lineRule="exact"/>
        <w:rPr>
          <w:sz w:val="20"/>
          <w:szCs w:val="20"/>
          <w:color w:val="auto"/>
        </w:rPr>
      </w:pPr>
    </w:p>
    <w:p>
      <w:pPr>
        <w:ind w:left="260" w:right="40" w:firstLine="1288"/>
        <w:spacing w:after="0" w:line="292" w:lineRule="auto"/>
        <w:tabs>
          <w:tab w:leader="none" w:pos="197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Audit Timing</w:t>
      </w:r>
      <w:r>
        <w:rPr>
          <w:rFonts w:ascii="Arial" w:cs="Arial" w:eastAsia="Arial" w:hAnsi="Arial"/>
          <w:sz w:val="19"/>
          <w:szCs w:val="19"/>
          <w:color w:val="auto"/>
        </w:rPr>
        <w:t>. Each Party shall have the right, upon no less than thirty (30) days’ advance written notice and at such reasonable times and intervals and to such reasonable extent as the Party shall request, not more than once during any Contract Year, to have the books and records of the other Party maintained pursuant to Section 7.1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55" w:lineRule="exact"/>
        <w:rPr>
          <w:rFonts w:ascii="Arial" w:cs="Arial" w:eastAsia="Arial" w:hAnsi="Arial"/>
          <w:sz w:val="19"/>
          <w:szCs w:val="19"/>
          <w:color w:val="auto"/>
        </w:rPr>
      </w:pPr>
    </w:p>
    <w:p>
      <w:pPr>
        <w:ind w:left="260" w:right="20" w:firstLine="1288"/>
        <w:spacing w:after="0" w:line="292" w:lineRule="auto"/>
        <w:tabs>
          <w:tab w:leader="none" w:pos="1988"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Audit Results</w:t>
      </w:r>
      <w:r>
        <w:rPr>
          <w:rFonts w:ascii="Arial" w:cs="Arial" w:eastAsia="Arial" w:hAnsi="Arial"/>
          <w:sz w:val="19"/>
          <w:szCs w:val="19"/>
          <w:color w:val="auto"/>
        </w:rPr>
        <w:t>. The results of any such audit shall be delivered in writing to each Party and shall be final and binding upon the Parties, unless disputed by a Party within ninety (90) days of delivery. If a Party over billed or underpaid an amount due under this Agreement resulting in a cumulative discrepancy of amounts paid during any year of more than [***], it shall also reimburse the other Party for the costs of such audit (with the cost of the audit to be paid by the Party initiating the audit in all other cases). Such accountants shall not reveal to the Party requesting the audit the details of its review, except for the findings of such review and such information as is required to be disclosed under this Agreement, the Parties shall cause such accountants to enter into a reasonably acceptable confidentiality agreement with the audited Party and obligating such firm to retain all such financial information in confidence pursuant to terms no less stringent than those set forth in ARTICLE 9.</w:t>
      </w:r>
    </w:p>
    <w:p>
      <w:pPr>
        <w:spacing w:after="0" w:line="155" w:lineRule="exact"/>
        <w:rPr>
          <w:rFonts w:ascii="Arial" w:cs="Arial" w:eastAsia="Arial" w:hAnsi="Arial"/>
          <w:sz w:val="19"/>
          <w:szCs w:val="19"/>
          <w:color w:val="auto"/>
        </w:rPr>
      </w:pPr>
    </w:p>
    <w:p>
      <w:pPr>
        <w:ind w:left="260" w:right="160" w:firstLine="1288"/>
        <w:spacing w:after="0" w:line="264" w:lineRule="auto"/>
        <w:tabs>
          <w:tab w:leader="none" w:pos="1976"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If any examination or audit of the records described above discloses an overpayment or underpayment of amounts due hereunder, then unless the result of the audit is contested pursuant to Section 7.2(d), (i) the Party that underpaid shall pay any amounts due plus, if such underpayment is the underpaying Party’s fault, interest thereon at the Default Interest Rate accruing from the date of such underpayment, or (ii) the Party that received an overpayment shall refund such overpayment plus, if such overpayment is the fault of the Party refunding such payment, interest thereon at the Default Interest Rate accruing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25" w:right="239" w:bottom="1440" w:gutter="0" w:footer="0" w:header="0"/>
        </w:sectPr>
      </w:pPr>
    </w:p>
    <w:bookmarkStart w:id="206" w:name="page207"/>
    <w:bookmarkEnd w:id="206"/>
    <w:p>
      <w:pPr>
        <w:ind w:left="260" w:right="240"/>
        <w:spacing w:after="0" w:line="263" w:lineRule="auto"/>
        <w:rPr>
          <w:sz w:val="20"/>
          <w:szCs w:val="20"/>
          <w:color w:val="auto"/>
        </w:rPr>
      </w:pPr>
      <w:r>
        <w:rPr>
          <w:rFonts w:ascii="Arial" w:cs="Arial" w:eastAsia="Arial" w:hAnsi="Arial"/>
          <w:sz w:val="22"/>
          <w:szCs w:val="22"/>
          <w:color w:val="auto"/>
        </w:rPr>
        <w:t>from the date of such overpayment, in each case (i) and (ii) within thirty (30) days after receipt of the written results of such audit.</w:t>
      </w:r>
    </w:p>
    <w:p>
      <w:pPr>
        <w:spacing w:after="0" w:line="164" w:lineRule="exact"/>
        <w:rPr>
          <w:sz w:val="20"/>
          <w:szCs w:val="20"/>
          <w:color w:val="auto"/>
        </w:rPr>
      </w:pPr>
    </w:p>
    <w:p>
      <w:pPr>
        <w:ind w:left="260" w:firstLine="1288"/>
        <w:spacing w:after="0" w:line="267" w:lineRule="auto"/>
        <w:tabs>
          <w:tab w:leader="none" w:pos="1988"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Disputes</w:t>
      </w:r>
      <w:r>
        <w:rPr>
          <w:rFonts w:ascii="Arial" w:cs="Arial" w:eastAsia="Arial" w:hAnsi="Arial"/>
          <w:sz w:val="20"/>
          <w:szCs w:val="20"/>
          <w:color w:val="auto"/>
        </w:rPr>
        <w:t>. Subject to the first (1</w:t>
      </w:r>
      <w:r>
        <w:rPr>
          <w:rFonts w:ascii="Arial" w:cs="Arial" w:eastAsia="Arial" w:hAnsi="Arial"/>
          <w:sz w:val="26"/>
          <w:szCs w:val="26"/>
          <w:color w:val="auto"/>
          <w:vertAlign w:val="superscript"/>
        </w:rPr>
        <w:t>st</w:t>
      </w:r>
      <w:r>
        <w:rPr>
          <w:rFonts w:ascii="Arial" w:cs="Arial" w:eastAsia="Arial" w:hAnsi="Arial"/>
          <w:sz w:val="20"/>
          <w:szCs w:val="20"/>
          <w:color w:val="auto"/>
        </w:rPr>
        <w:t>) sentence of Section 7.2(b), any disputes with respect to the results of any audit conducted under this Section 7.2 shall be resolved by binding arbitration in accordance with Section 13.1.</w:t>
      </w:r>
    </w:p>
    <w:p>
      <w:pPr>
        <w:spacing w:after="0" w:line="16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IFRS/GAAP</w:t>
      </w:r>
      <w:r>
        <w:rPr>
          <w:rFonts w:ascii="Arial" w:cs="Arial" w:eastAsia="Arial" w:hAnsi="Arial"/>
          <w:sz w:val="22"/>
          <w:szCs w:val="22"/>
          <w:color w:val="auto"/>
        </w:rPr>
        <w:t>. Except as otherwise provided herein, all of a Party’s costs and expenses and other financial determinations with respect to this Agreement shall be determined in accordance with such Party’s Accounting Standards, as generally and consistently applied.</w:t>
      </w: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00"/>
          </w:cols>
          <w:pgMar w:left="240" w:top="631" w:right="459" w:bottom="1440" w:gutter="0" w:footer="0" w:header="0"/>
        </w:sectPr>
      </w:pPr>
    </w:p>
    <w:bookmarkStart w:id="207" w:name="page208"/>
    <w:bookmarkEnd w:id="207"/>
    <w:p>
      <w:pPr>
        <w:jc w:val="center"/>
        <w:ind w:right="22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REPRESENTATIONS, WARRANTIES AND COVENANTS</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Mutual Representations and Warranties</w:t>
      </w:r>
      <w:r>
        <w:rPr>
          <w:rFonts w:ascii="Arial" w:cs="Arial" w:eastAsia="Arial" w:hAnsi="Arial"/>
          <w:sz w:val="19"/>
          <w:szCs w:val="19"/>
          <w:color w:val="auto"/>
        </w:rPr>
        <w:t>. Each Party hereto represents and warrants to the other Party, as of the A&amp;R Agreement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or any other material agreement or arrangement, whether written or oral, by which it is bound or requirement of applicable Laws; (d) this Agreement is its legal, valid and binding obligation, enforceable in accordance with the terms and conditions hereof (subject to applicable Laws of bankruptcy and moratorium and other Laws of general application affecting the enforcement of creditor rights, judicial principles affecting the availability of specific performance and general principles of equity, whether enforceability is considered a proceeding at law or equity); (e) such Party is not prohibited by the terms of any agreement to which it is a party from performing the IO Discovery Program or granting the rights or licenses hereunder; and (f) no broker, finder or investment banker is entitled to any brokerage, finder’s or other fee in connection with this Agreement or the transactions contemplated hereby based on arrangements made by it or on its behalf.</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Knowledge of Pending or Threatened Litigation</w:t>
      </w:r>
      <w:r>
        <w:rPr>
          <w:rFonts w:ascii="Arial" w:cs="Arial" w:eastAsia="Arial" w:hAnsi="Arial"/>
          <w:sz w:val="21"/>
          <w:szCs w:val="21"/>
          <w:color w:val="auto"/>
        </w:rPr>
        <w:t>. Each Party represents and warrants to the other Party that, except for any event, circumstance, condition or other matter disclosed in any report and other document furnished to or filed with the United States Securities and Exchange Commission, as of the Original Agreement Execution Date, there is no claim, announced investigation, suit, action or proceeding pending or, to such Party’s knowledge, threatened, against such Party before or by any court, arbitrator, or other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18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EXCEPT AS EXPRESSLY SET FORTH HEREIN, EACH PARTY EXPRESSLY DISCLAIMS ANY AND ALL WARRANTIES OF ANY KIND, EXPRESS OR IMPLIED, INCLUDING WITHOUT LIMITATION THE WARRANTIES OF MERCHANTABILITY AND FITNESS FOR A PARTICULAR PURPOSE.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26" w:right="239" w:bottom="1440" w:gutter="0" w:footer="0" w:header="0"/>
        </w:sectPr>
      </w:pPr>
    </w:p>
    <w:bookmarkStart w:id="208" w:name="page209"/>
    <w:bookmarkEnd w:id="208"/>
    <w:p>
      <w:pPr>
        <w:jc w:val="center"/>
        <w:ind w:right="22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215"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During the Term and for a period of five (5) years thereafter, each Party (in such capacity,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keep confidential, and other than as provided herein or in the IO License and Collaboration Agreement, shall not use or disclose, directly or indirectly, any and all trade secrets or other proprietary information, including, any proprietary data, inventions, documents, ideas, information, discoveries, or materials, owned, developed, or possessed by the other Party (in such capacity,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whether in tangible or intangible form, the confidentiality of which the Disclosing Party takes reasonable measures to protect, including Regeneron Know-How and Sanofi Know-How, disclosed by the Disclosing Party under this Agreement or the mAb Discovery Agreement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of Sanofi and Regeneron covenants that neither it nor any of its respective Affiliates shall disclose any Confidential Information of the other Party to any Third Party except to its employees, agents, consultants or any other Person under its authorization; provided, that such employees, agents, consultants or other Persons are subject in writing to confidentiality obligations applicable to the Disclosing Party’s Confidential Information no less strict than those set forth herein.</w:t>
      </w:r>
    </w:p>
    <w:p>
      <w:pPr>
        <w:spacing w:after="0" w:line="158" w:lineRule="exact"/>
        <w:rPr>
          <w:sz w:val="20"/>
          <w:szCs w:val="20"/>
          <w:color w:val="auto"/>
        </w:rPr>
      </w:pPr>
    </w:p>
    <w:p>
      <w:pPr>
        <w:ind w:left="260" w:right="60" w:firstLine="1288"/>
        <w:spacing w:after="0" w:line="289" w:lineRule="auto"/>
        <w:tabs>
          <w:tab w:leader="none" w:pos="197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Notwithstanding the foregoing, Confidential Information shall not be deemed to include information and materials (and such information and materials shall not be considered Confidential Information under this Agreement) to the extent that it can be established by written documentation by the Receiving Party that such information or material is: (i) already in the public domain as of the Effective Date or becomes publicly known through no act, omission or fault of the Receiving Party or any Person to whom the Receiving Party provided such information; (ii) is or was already in the possession of the Receiving Party at the time of disclosure by the Disclosing Party; provided, that this clause (ii) shall not apply with respect to Confidential Information received by the Receiving Party from the Disclosing Party prior to the Effective Date; (iii) is disclosed to the Receiving Party on an unrestricted basis from a Third Party not under an obligation of confidentiality to the Disclosing Party or any Affiliate of the Disclosing Party with respect to such information; or (iv) information that has been independently created by the Receiving Party (or its Affiliate), as evidenced by written or electronic documentation, without any aid, application or use of the Disclosing Party’s Confidential Information.</w:t>
      </w:r>
    </w:p>
    <w:p>
      <w:pPr>
        <w:spacing w:after="0" w:line="158" w:lineRule="exact"/>
        <w:rPr>
          <w:rFonts w:ascii="Arial" w:cs="Arial" w:eastAsia="Arial" w:hAnsi="Arial"/>
          <w:sz w:val="19"/>
          <w:szCs w:val="19"/>
          <w:color w:val="auto"/>
        </w:rPr>
      </w:pPr>
    </w:p>
    <w:p>
      <w:pPr>
        <w:ind w:left="260" w:right="160" w:firstLine="1288"/>
        <w:spacing w:after="0" w:line="294" w:lineRule="auto"/>
        <w:tabs>
          <w:tab w:leader="none" w:pos="198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Notwithstanding the foregoing, each Party may disclose the other Party’s Confidential Information to the extent such disclosure is made in response to a valid order of a court of competent jurisdiction or other supra-national, federal, national, regional, state, provincial and local governmental or regulatory body of competent jurisdiction or, if in the reasonable opinion of the Receiving Party, such disclosure is otherwise required by Law, including any securities Laws; provided, that the Receiving Party (i) uses reasonable efforts to give the Disclosing Party advance notice of such required disclosure in sufficient time to enable the Disclosing Party to seek confidential treatment for such information, and provides all reasonable cooperation to assist the Disclosing Party to so protect the confidentiality 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25" w:right="239" w:bottom="1440" w:gutter="0" w:footer="0" w:header="0"/>
        </w:sectPr>
      </w:pPr>
    </w:p>
    <w:bookmarkStart w:id="209" w:name="page210"/>
    <w:bookmarkEnd w:id="209"/>
    <w:p>
      <w:pPr>
        <w:ind w:left="260" w:right="280"/>
        <w:spacing w:after="0" w:line="263" w:lineRule="auto"/>
        <w:rPr>
          <w:sz w:val="20"/>
          <w:szCs w:val="20"/>
          <w:color w:val="auto"/>
        </w:rPr>
      </w:pPr>
      <w:r>
        <w:rPr>
          <w:rFonts w:ascii="Arial" w:cs="Arial" w:eastAsia="Arial" w:hAnsi="Arial"/>
          <w:sz w:val="22"/>
          <w:szCs w:val="22"/>
          <w:color w:val="auto"/>
        </w:rPr>
        <w:t>such information and (ii) limits the disclosure to that information which is legally required to be disclosed in response to such court or governmental order.</w:t>
      </w:r>
    </w:p>
    <w:p>
      <w:pPr>
        <w:spacing w:after="0" w:line="175" w:lineRule="exact"/>
        <w:rPr>
          <w:sz w:val="20"/>
          <w:szCs w:val="20"/>
          <w:color w:val="auto"/>
        </w:rPr>
      </w:pPr>
    </w:p>
    <w:p>
      <w:pPr>
        <w:ind w:left="260" w:firstLine="1288"/>
        <w:spacing w:after="0" w:line="251" w:lineRule="auto"/>
        <w:tabs>
          <w:tab w:leader="none" w:pos="197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Information and other Know-How that is discovered by Regeneron in the course of conducting the IO Discovery Program (other than Sanofi Funded Trials) will be considered Regeneron’s Confidential Information, except to the extent it relates to an IO Licensed Product, in which case it shall be Confidential Information of both Parties, subject to the terms of the IO License and Collaboration Agreement or a Sanofi Funded Trial conducted by Regeneron, in which case it shall be Confidential Information of both Parties.</w:t>
      </w:r>
    </w:p>
    <w:p>
      <w:pPr>
        <w:spacing w:after="0" w:line="189" w:lineRule="exact"/>
        <w:rPr>
          <w:rFonts w:ascii="Arial" w:cs="Arial" w:eastAsia="Arial" w:hAnsi="Arial"/>
          <w:sz w:val="22"/>
          <w:szCs w:val="22"/>
          <w:color w:val="auto"/>
        </w:rPr>
      </w:pPr>
    </w:p>
    <w:p>
      <w:pPr>
        <w:ind w:left="260" w:right="20" w:firstLine="1288"/>
        <w:spacing w:after="0" w:line="294" w:lineRule="auto"/>
        <w:tabs>
          <w:tab w:leader="none" w:pos="198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a Person merely because individual elements thereof are in the public domain or in the prior possession of such Person unless (i) the combination and its principles are in the public knowledge or in the prior possession of such Person and (ii) the combination is documented, in a single contemporaneous document, as in the public knowledge or in the prior possession of such Person.</w:t>
      </w:r>
    </w:p>
    <w:p>
      <w:pPr>
        <w:spacing w:after="0" w:line="152" w:lineRule="exact"/>
        <w:rPr>
          <w:rFonts w:ascii="Arial" w:cs="Arial" w:eastAsia="Arial" w:hAnsi="Arial"/>
          <w:sz w:val="19"/>
          <w:szCs w:val="19"/>
          <w:color w:val="auto"/>
        </w:rPr>
      </w:pPr>
    </w:p>
    <w:p>
      <w:pPr>
        <w:ind w:left="260" w:firstLine="1288"/>
        <w:spacing w:after="0" w:line="290" w:lineRule="auto"/>
        <w:tabs>
          <w:tab w:leader="none" w:pos="197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Notwithstanding anything else in this Agreement to the contrary, each Party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provided, that this authorization of disclosure shall not apply to restrictions reasonably necessary to comply with securities Laws. This authorization of disclosure is retroactively effective immediately upon commencement of the first discussions regarding the transactions contemplated herein, and the Parties aver and affirm that this tax disclosure authorization has been given on a date which is no later than thirty (30) days from the first (1st) day that any Party (or any employee, representative, or other agent of any Party) first made or provided a statement as to the potential tax consequences that may result from the transactions contemplated hereby.</w:t>
      </w:r>
    </w:p>
    <w:p>
      <w:pPr>
        <w:spacing w:after="0" w:line="156"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hereby acknowledge and agree that the rights of the Parties under this Agreement are special, unique and of extraordinary character, and that if any Party refuses or otherwise fails to act, or to cause its Affiliates to act, in accordance with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this Agreement, then, in addition to any other remedy which may be available to any damaged Party at law or in equity, such damaged Party will be entitled to seek specific performance and injunctive relief, without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00"/>
          </w:cols>
          <w:pgMar w:left="240" w:top="632" w:right="259" w:bottom="1440" w:gutter="0" w:footer="0" w:header="0"/>
        </w:sectPr>
      </w:pPr>
    </w:p>
    <w:bookmarkStart w:id="210" w:name="page211"/>
    <w:bookmarkEnd w:id="210"/>
    <w:p>
      <w:pPr>
        <w:ind w:right="380"/>
        <w:spacing w:after="0" w:line="263" w:lineRule="auto"/>
        <w:rPr>
          <w:sz w:val="20"/>
          <w:szCs w:val="20"/>
          <w:color w:val="auto"/>
        </w:rPr>
      </w:pPr>
      <w:r>
        <w:rPr>
          <w:rFonts w:ascii="Arial" w:cs="Arial" w:eastAsia="Arial" w:hAnsi="Arial"/>
          <w:sz w:val="22"/>
          <w:szCs w:val="22"/>
          <w:color w:val="auto"/>
        </w:rPr>
        <w:t>posting bond or other security, and without the necessity of proving actual or threatened damages, which remedy such damaged Party will be entitled to seek in any court of competent jurisdiction.</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Publications</w:t>
      </w:r>
      <w:r>
        <w:rPr>
          <w:rFonts w:ascii="Arial" w:cs="Arial" w:eastAsia="Arial" w:hAnsi="Arial"/>
          <w:sz w:val="19"/>
          <w:szCs w:val="19"/>
          <w:color w:val="auto"/>
        </w:rPr>
        <w:t>. If either Sanofi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publish or publicly present any results from the IO Discovery Program in scientific journals, publications or scientific presentations or otherwise, the Publishing Party shall provide the other Party an advance final copy of any proposed publication or summary of a proposed oral presentation relating to such information prior to submission for publication or disclosure. Such other Party shall have a reasonable opportunity to recommend any changes it reasonably believes are necessary to preserve the confidentiality of its Confidential Information and to recommend any changes it reasonably believes are necessary to prevent any specific, material adverse effect to it as a result of the publication or disclosure, to which the Publishing Party shall give due consideration. If such other Party informs the Publishing Party, within thirty (30) days of receipt (or such other period agreed to by the IOSC)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The Parties shall establish a publication review process to ensure compliance with this Section 9.3. Regeneron shall have the sole right to publish or publicly present results from the (i) Terminated IO Discovery Program related to any Terminated IO Discovery Program Antibodies or (ii) any Refused Candidate, in each case ((i) and (ii)), without the consent of, and without providing any notice to, Sanofi, and any such publication or presentation shall not be subject to this Section 9.3.</w:t>
      </w:r>
    </w:p>
    <w:p>
      <w:pPr>
        <w:spacing w:after="0" w:line="200" w:lineRule="exact"/>
        <w:rPr>
          <w:sz w:val="20"/>
          <w:szCs w:val="20"/>
          <w:color w:val="auto"/>
        </w:rPr>
      </w:pPr>
    </w:p>
    <w:p>
      <w:pPr>
        <w:spacing w:after="0" w:line="2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Disclosures Concerning this Agreement</w:t>
      </w:r>
      <w:r>
        <w:rPr>
          <w:rFonts w:ascii="Arial" w:cs="Arial" w:eastAsia="Arial" w:hAnsi="Arial"/>
          <w:sz w:val="19"/>
          <w:szCs w:val="19"/>
          <w:color w:val="auto"/>
        </w:rPr>
        <w:t>. The Parties will simultaneously issue a press release in the form attached hereto as Exhibit B on January 7, 2019 or such other date as the Parties shall mutually agree. Sanofi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conditioned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(a) use reasonable efforts to (i) provide the other Party advance notice of such required disclosure and an opportunity to review and comment on such proposed disclosure (which comments shall be considered in good faith by the disclosing Party) and (ii) assist the other Party to protect such information and (b) limit the disclosure to the information that is required to be disclosed. Notwithstanding the foregoing, without prior submission to or approval of the other Party, either Party may issue press releases or public announcements that incorporate information concerning this Agreement or any activities contemplated hereunder that was included in a press release or public disclosure that was previously disclosed under the terms of this Agreement or that contains only non-material factual information regarding this Agreement. Except as required by a Governmental Authority or applicable Law (including the rules and regulations of any stock</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211" w:name="page212"/>
    <w:bookmarkEnd w:id="211"/>
    <w:p>
      <w:pPr>
        <w:spacing w:after="0" w:line="286" w:lineRule="auto"/>
        <w:rPr>
          <w:sz w:val="20"/>
          <w:szCs w:val="20"/>
          <w:color w:val="auto"/>
        </w:rPr>
      </w:pPr>
      <w:r>
        <w:rPr>
          <w:rFonts w:ascii="Arial" w:cs="Arial" w:eastAsia="Arial" w:hAnsi="Arial"/>
          <w:sz w:val="19"/>
          <w:szCs w:val="19"/>
          <w:color w:val="auto"/>
        </w:rPr>
        <w:t>exchange or trading market on which a Party’s (or its parent entity’s) securities are traded), or in connection with the enforcement of this Agreement or adjudication of any Arbitrable Matter or Expert Panel Dispute, neither Party (or their respective Affiliates) shall disclose to any Third Party, under any circumstances, any financial terms of this Agreement that have not been previously disclosed publicly pursuant to this ARTICLE 9 without the prior written consent of the other Party, which consent shall not be unreasonably withheld, conditioned or delayed; except for disclosures to Third Parties that are bound by obligations of confidentiality and nonuse substantially equivalent in scope to those included herein with a term of at least five (5) 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one another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20"/>
          </w:cols>
          <w:pgMar w:left="240" w:top="631" w:right="439" w:bottom="1440" w:gutter="0" w:footer="0" w:header="0"/>
        </w:sectPr>
      </w:pPr>
    </w:p>
    <w:bookmarkStart w:id="212" w:name="page213"/>
    <w:bookmarkEnd w:id="212"/>
    <w:p>
      <w:pPr>
        <w:ind w:left="498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INDEMNITY</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66" w:lineRule="auto"/>
        <w:tabs>
          <w:tab w:leader="none" w:pos="1976"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Indemnification by Sanofi</w:t>
      </w:r>
      <w:r>
        <w:rPr>
          <w:rFonts w:ascii="Arial" w:cs="Arial" w:eastAsia="Arial" w:hAnsi="Arial"/>
          <w:sz w:val="21"/>
          <w:szCs w:val="21"/>
          <w:color w:val="auto"/>
        </w:rPr>
        <w:t>. Sanofi will defend, indemnify and hold harmless Regeneron, its Affiliates and its and their respective officers, directors, employees, sublicensees and agents (“</w:t>
      </w:r>
      <w:r>
        <w:rPr>
          <w:rFonts w:ascii="Arial" w:cs="Arial" w:eastAsia="Arial" w:hAnsi="Arial"/>
          <w:sz w:val="21"/>
          <w:szCs w:val="21"/>
          <w:u w:val="single" w:color="auto"/>
          <w:color w:val="auto"/>
        </w:rPr>
        <w:t>Regeneron Indemnitees</w:t>
      </w:r>
      <w:r>
        <w:rPr>
          <w:rFonts w:ascii="Arial" w:cs="Arial" w:eastAsia="Arial" w:hAnsi="Arial"/>
          <w:sz w:val="21"/>
          <w:szCs w:val="21"/>
          <w:color w:val="auto"/>
        </w:rPr>
        <w:t>”) from and against all claims, demands, liabilities, damages, penalties, fines and expenses, including reasonable attorneys’ fees and costs (collectively, “</w:t>
      </w:r>
      <w:r>
        <w:rPr>
          <w:rFonts w:ascii="Arial" w:cs="Arial" w:eastAsia="Arial" w:hAnsi="Arial"/>
          <w:sz w:val="21"/>
          <w:szCs w:val="21"/>
          <w:u w:val="single" w:color="auto"/>
          <w:color w:val="auto"/>
        </w:rPr>
        <w:t>Damages</w:t>
      </w:r>
      <w:r>
        <w:rPr>
          <w:rFonts w:ascii="Arial" w:cs="Arial" w:eastAsia="Arial" w:hAnsi="Arial"/>
          <w:sz w:val="21"/>
          <w:szCs w:val="21"/>
          <w:color w:val="auto"/>
        </w:rPr>
        <w:t>”), arising from or occurring as a result of a Third Party’s claim, action, suit, judgment or settlement (a “</w:t>
      </w:r>
      <w:r>
        <w:rPr>
          <w:rFonts w:ascii="Arial" w:cs="Arial" w:eastAsia="Arial" w:hAnsi="Arial"/>
          <w:sz w:val="21"/>
          <w:szCs w:val="21"/>
          <w:u w:val="single" w:color="auto"/>
          <w:color w:val="auto"/>
        </w:rPr>
        <w:t>Third Party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Claim</w:t>
      </w:r>
      <w:r>
        <w:rPr>
          <w:rFonts w:ascii="Arial" w:cs="Arial" w:eastAsia="Arial" w:hAnsi="Arial"/>
          <w:sz w:val="21"/>
          <w:szCs w:val="21"/>
          <w:color w:val="auto"/>
        </w:rPr>
        <w:t>”) against a Regeneron Indemnitee that is due to or based upon:</w:t>
      </w:r>
    </w:p>
    <w:p>
      <w:pPr>
        <w:spacing w:after="0" w:line="174" w:lineRule="exact"/>
        <w:rPr>
          <w:rFonts w:ascii="Arial" w:cs="Arial" w:eastAsia="Arial" w:hAnsi="Arial"/>
          <w:sz w:val="21"/>
          <w:szCs w:val="21"/>
          <w:color w:val="auto"/>
        </w:rPr>
      </w:pPr>
    </w:p>
    <w:p>
      <w:pPr>
        <w:ind w:left="660" w:right="80" w:firstLine="1293"/>
        <w:spacing w:after="0" w:line="300" w:lineRule="auto"/>
        <w:tabs>
          <w:tab w:leader="none" w:pos="234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gross negligence, recklessness, bad faith, intentional wrongful acts or omissions of Sanofi or its Affiliates (or their respective agents, contractors, sublicensees, representatives or other persons or entities working on their behalf) in the performance of this Agreement (including, for clarity, to the extent relating to matters prior to the A&amp;R Agreement Effective Date with respect to an IO Discovery Program Antibody or an IO Discovery Program Target Profile), including in connection with the IO Discovery Program (including any Sanofi Funded Trial); or</w:t>
      </w:r>
    </w:p>
    <w:p>
      <w:pPr>
        <w:spacing w:after="0" w:line="147" w:lineRule="exact"/>
        <w:rPr>
          <w:rFonts w:ascii="Arial" w:cs="Arial" w:eastAsia="Arial" w:hAnsi="Arial"/>
          <w:sz w:val="19"/>
          <w:szCs w:val="19"/>
          <w:color w:val="auto"/>
        </w:rPr>
      </w:pPr>
    </w:p>
    <w:p>
      <w:pPr>
        <w:ind w:left="660" w:right="100" w:firstLine="1293"/>
        <w:spacing w:after="0" w:line="251" w:lineRule="auto"/>
        <w:tabs>
          <w:tab w:leader="none" w:pos="2401" w:val="left"/>
        </w:tabs>
        <w:numPr>
          <w:ilvl w:val="1"/>
          <w:numId w:val="120"/>
        </w:numPr>
        <w:rPr>
          <w:rFonts w:ascii="Arial" w:cs="Arial" w:eastAsia="Arial" w:hAnsi="Arial"/>
          <w:sz w:val="22"/>
          <w:szCs w:val="22"/>
          <w:color w:val="auto"/>
        </w:rPr>
      </w:pPr>
      <w:r>
        <w:rPr>
          <w:rFonts w:ascii="Arial" w:cs="Arial" w:eastAsia="Arial" w:hAnsi="Arial"/>
          <w:sz w:val="22"/>
          <w:szCs w:val="22"/>
          <w:color w:val="auto"/>
        </w:rPr>
        <w:t>material breach by Sanofi (or conduct or omission of any of its Affiliates which, if performed or failed to be performed by Sanofi, would be a material breach by Sanofi) of the terms of, or any representation or warranty made by it in, this Agreement (including, for clarity, to the extent relating to matters prior to the A&amp;R Agreement Effective Date with respect to an IO Discovery Program Antibody or an IO Discovery Program Target Profile, a material breach of the terms of the Original Agreement);</w:t>
      </w:r>
    </w:p>
    <w:p>
      <w:pPr>
        <w:spacing w:after="0" w:line="190" w:lineRule="exact"/>
        <w:rPr>
          <w:sz w:val="20"/>
          <w:szCs w:val="20"/>
          <w:color w:val="auto"/>
        </w:rPr>
      </w:pPr>
    </w:p>
    <w:p>
      <w:pPr>
        <w:ind w:right="60" w:firstLine="1945"/>
        <w:spacing w:after="0" w:line="259" w:lineRule="auto"/>
        <w:rPr>
          <w:sz w:val="20"/>
          <w:szCs w:val="20"/>
          <w:color w:val="auto"/>
        </w:rPr>
      </w:pPr>
      <w:r>
        <w:rPr>
          <w:rFonts w:ascii="Arial" w:cs="Arial" w:eastAsia="Arial" w:hAnsi="Arial"/>
          <w:sz w:val="21"/>
          <w:szCs w:val="21"/>
          <w:color w:val="auto"/>
        </w:rPr>
        <w:t>except in each case ((i) and (ii)) to the extent that Damages arise out of the gross negligence, recklessness, bad faith, intentional wrongful acts, or omissions committed by Regeneron or its Affiliates (or their respective agents, contractors, sublicensees, representatives or other persons or entities working on their behalf) in the performance of this Agreement (including, for clarity, to the extent relating to matters prior to the A&amp;R Agreement Effective Date with respect to an IO Discovery Program Antibody or an IO Discovery Program Target Profile) or the material breach by Regeneron (or conduct or omission by any of its Affiliates, which if performed or failed to be performed by Regeneron would be a material breach by Regeneron) of the terms of this Agreement (including, for clarity, to the extent relating to matters prior to the A&amp;R Agreement Effective Date, a material breach of the terms of the Original Agreement with respect to an IO Discovery Program Antibody or an IO Discovery Program Target Profile).</w:t>
      </w:r>
    </w:p>
    <w:p>
      <w:pPr>
        <w:spacing w:after="0" w:line="180" w:lineRule="exact"/>
        <w:rPr>
          <w:sz w:val="20"/>
          <w:szCs w:val="20"/>
          <w:color w:val="auto"/>
        </w:rPr>
      </w:pPr>
    </w:p>
    <w:p>
      <w:pPr>
        <w:ind w:left="260" w:right="240" w:firstLine="1288"/>
        <w:spacing w:after="0" w:line="260" w:lineRule="auto"/>
        <w:tabs>
          <w:tab w:leader="none" w:pos="1988"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Indemnification by Regeneron</w:t>
      </w:r>
      <w:r>
        <w:rPr>
          <w:rFonts w:ascii="Arial" w:cs="Arial" w:eastAsia="Arial" w:hAnsi="Arial"/>
          <w:sz w:val="22"/>
          <w:szCs w:val="22"/>
          <w:color w:val="auto"/>
        </w:rPr>
        <w:t>. Regeneron will defend, indemnify and hold harmless Sanofi, its Affiliates and its and their respective officers, directors, employees and agents (“</w:t>
      </w:r>
      <w:r>
        <w:rPr>
          <w:rFonts w:ascii="Arial" w:cs="Arial" w:eastAsia="Arial" w:hAnsi="Arial"/>
          <w:sz w:val="22"/>
          <w:szCs w:val="22"/>
          <w:u w:val="single" w:color="auto"/>
          <w:color w:val="auto"/>
        </w:rPr>
        <w:t>Sanofi Indemnitees</w:t>
      </w:r>
      <w:r>
        <w:rPr>
          <w:rFonts w:ascii="Arial" w:cs="Arial" w:eastAsia="Arial" w:hAnsi="Arial"/>
          <w:sz w:val="22"/>
          <w:szCs w:val="22"/>
          <w:color w:val="auto"/>
        </w:rPr>
        <w:t>”) from and against all Damages arising from a Third Party Claim a Sanofi Indemnitee that is due to or based upon:</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360"/>
          </w:cols>
          <w:pgMar w:left="240" w:top="626" w:right="299" w:bottom="1440" w:gutter="0" w:footer="0" w:header="0"/>
        </w:sectPr>
      </w:pPr>
    </w:p>
    <w:bookmarkStart w:id="213" w:name="page214"/>
    <w:bookmarkEnd w:id="213"/>
    <w:p>
      <w:pPr>
        <w:ind w:left="660" w:right="60" w:firstLine="1293"/>
        <w:spacing w:after="0" w:line="266" w:lineRule="auto"/>
        <w:tabs>
          <w:tab w:leader="none" w:pos="234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gross negligence, recklessness, bad faith, intentional wrongful acts or omissions of Regeneron or its Affiliates (or their respective agents, contractors, sublicensees, representatives or other persons or entities working on their behalf) in the performance of this Agreement (including, for clarity, to the extent relating to matters prior to the A&amp;R Agreement Effective Date with respect to an IO Discovery Program Antibody or an IO Discovery Program Target Profile), including in connection with the IO Discovery Program; or</w:t>
      </w:r>
    </w:p>
    <w:p>
      <w:pPr>
        <w:spacing w:after="0" w:line="174" w:lineRule="exact"/>
        <w:rPr>
          <w:rFonts w:ascii="Arial" w:cs="Arial" w:eastAsia="Arial" w:hAnsi="Arial"/>
          <w:sz w:val="21"/>
          <w:szCs w:val="21"/>
          <w:color w:val="auto"/>
        </w:rPr>
      </w:pPr>
    </w:p>
    <w:p>
      <w:pPr>
        <w:ind w:left="660" w:right="40" w:firstLine="1293"/>
        <w:spacing w:after="0" w:line="251" w:lineRule="auto"/>
        <w:tabs>
          <w:tab w:leader="none" w:pos="240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material breach by Regeneron (or conduct or omission of any of its Affiliates which, if performed or failed to be performed by Regeneron, would be a material breach by Regeneron) of the terms of any representation or warranty made by it in, this Agreement (including, for clarity, to the extent relating to matters prior to the A&amp;R Agreement Effective Date with respect to an IO Discovery Program Antibody or an IO Discovery Program Target Profile, a material breach of the terms of the Original Agreement);</w:t>
      </w:r>
    </w:p>
    <w:p>
      <w:pPr>
        <w:spacing w:after="0" w:line="190" w:lineRule="exact"/>
        <w:rPr>
          <w:sz w:val="20"/>
          <w:szCs w:val="20"/>
          <w:color w:val="auto"/>
        </w:rPr>
      </w:pPr>
    </w:p>
    <w:p>
      <w:pPr>
        <w:ind w:firstLine="1945"/>
        <w:spacing w:after="0" w:line="246" w:lineRule="auto"/>
        <w:rPr>
          <w:sz w:val="20"/>
          <w:szCs w:val="20"/>
          <w:color w:val="auto"/>
        </w:rPr>
      </w:pPr>
      <w:r>
        <w:rPr>
          <w:rFonts w:ascii="Arial" w:cs="Arial" w:eastAsia="Arial" w:hAnsi="Arial"/>
          <w:sz w:val="22"/>
          <w:szCs w:val="22"/>
          <w:color w:val="auto"/>
        </w:rPr>
        <w:t>except in each case ((i) and (ii)) to the extent that Damages arise out of the gross negligence, recklessness, bad faith, intentional wrongful acts, or omissions committed by Sanofi or its Affiliates (or their respective agents, contractors, sublicensees, representatives or other persons or entities working on their behalf) in the performance of this Agreement (including, for clarity, to the extent relating to matters prior to the A&amp;R Agreement Effective Date with respect to an IO Discovery Program Antibody or an IO Discovery Program Target Profile) or the material breach by Sanofi (or conduct or omission by any of its Affiliates, which if performed or failed to be performed by Sanofi would be a material breach by Sanofi) of the terms of this Agreement (including, for clarity, to the extent relating to matters prior to the A&amp;R Agreement Effective Date, a material breach of the terms of the Original Agreement with respect to an IO Discovery Program Antibody or an IO Discovery Program Target Profile).</w:t>
      </w:r>
    </w:p>
    <w:p>
      <w:pPr>
        <w:spacing w:after="0" w:line="19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Indemnity Procedure</w:t>
      </w:r>
      <w:r>
        <w:rPr>
          <w:rFonts w:ascii="Arial" w:cs="Arial" w:eastAsia="Arial" w:hAnsi="Arial"/>
          <w:sz w:val="19"/>
          <w:szCs w:val="19"/>
          <w:color w:val="auto"/>
        </w:rPr>
        <w:t>.</w:t>
      </w:r>
    </w:p>
    <w:p>
      <w:pPr>
        <w:spacing w:after="0" w:line="233" w:lineRule="exact"/>
        <w:rPr>
          <w:sz w:val="20"/>
          <w:szCs w:val="20"/>
          <w:color w:val="auto"/>
        </w:rPr>
      </w:pPr>
    </w:p>
    <w:p>
      <w:pPr>
        <w:ind w:left="260" w:right="20" w:firstLine="1288"/>
        <w:spacing w:after="0" w:line="262" w:lineRule="auto"/>
        <w:tabs>
          <w:tab w:leader="none" w:pos="1976"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The Party entitled to indemnification under this ARTICLE 10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shall notify the Party potentially responsible for such indemnification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within five (5) Business Days of being notified of any claim or claims asserted or threatened against the Indemnified Party that could give rise to a right of indemnification under this Agreement (including, for clarity, to the extent relating to matters prior to the A&amp;R Agreement Effective Date with respect to an IO Discovery Program Antibody or an IO Discovery Program Target Profile); provided, that the failure to give such notice shall not relieve the Indemnifying Party of its indemnity obligation hereunder except to the extent that such failure materially prejudices the Indemnifying Party.</w:t>
      </w:r>
    </w:p>
    <w:p>
      <w:pPr>
        <w:spacing w:after="0" w:line="180" w:lineRule="exact"/>
        <w:rPr>
          <w:rFonts w:ascii="Arial" w:cs="Arial" w:eastAsia="Arial" w:hAnsi="Arial"/>
          <w:sz w:val="21"/>
          <w:szCs w:val="21"/>
          <w:color w:val="auto"/>
        </w:rPr>
      </w:pPr>
    </w:p>
    <w:p>
      <w:pPr>
        <w:ind w:left="260" w:right="120" w:firstLine="1288"/>
        <w:spacing w:after="0" w:line="266" w:lineRule="auto"/>
        <w:tabs>
          <w:tab w:leader="none" w:pos="1988"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Right to Defend</w:t>
      </w:r>
      <w:r>
        <w:rPr>
          <w:rFonts w:ascii="Arial" w:cs="Arial" w:eastAsia="Arial" w:hAnsi="Arial"/>
          <w:sz w:val="21"/>
          <w:szCs w:val="21"/>
          <w:color w:val="auto"/>
        </w:rPr>
        <w:t>. If the Indemnifying Party has acknowledged in writing to the Indemnified Party the Indemnifying Party’s responsibility for defending a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that the Indemnifying Party may not enter into any compromise or settlement unless</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340"/>
          </w:cols>
          <w:pgMar w:left="240" w:top="631" w:right="319" w:bottom="1440" w:gutter="0" w:footer="0" w:header="0"/>
        </w:sectPr>
      </w:pPr>
    </w:p>
    <w:bookmarkStart w:id="214" w:name="page215"/>
    <w:bookmarkEnd w:id="214"/>
    <w:p>
      <w:pPr>
        <w:ind w:left="9" w:right="20" w:hanging="9"/>
        <w:spacing w:after="0" w:line="286" w:lineRule="auto"/>
        <w:tabs>
          <w:tab w:leader="none" w:pos="26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conditioned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163" w:lineRule="exact"/>
        <w:rPr>
          <w:rFonts w:ascii="Arial" w:cs="Arial" w:eastAsia="Arial" w:hAnsi="Arial"/>
          <w:sz w:val="19"/>
          <w:szCs w:val="19"/>
          <w:color w:val="auto"/>
        </w:rPr>
      </w:pPr>
    </w:p>
    <w:p>
      <w:pPr>
        <w:ind w:left="9" w:firstLine="1288"/>
        <w:spacing w:after="0" w:line="251" w:lineRule="auto"/>
        <w:tabs>
          <w:tab w:leader="none" w:pos="1725"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Participation by Indemnified Party</w:t>
      </w:r>
      <w:r>
        <w:rPr>
          <w:rFonts w:ascii="Arial" w:cs="Arial" w:eastAsia="Arial" w:hAnsi="Arial"/>
          <w:sz w:val="22"/>
          <w:szCs w:val="22"/>
          <w:color w:val="auto"/>
        </w:rPr>
        <w:t>. The Indemnified Party may participate in, but not control, any defense or settlement of any claim controlled by the Indemnifying Party pursuant to Section 10.2(b) and shall bear its own costs and expenses with respect to such participation; provided, that the Indemnifying Party shall bear such costs and expenses if counsel for the Indemnifying Party shall have reasonably determined that such counsel may not properly represent both the Indemnifying Party and the Indemnified Party.</w:t>
      </w:r>
    </w:p>
    <w:p>
      <w:pPr>
        <w:spacing w:after="0" w:line="189" w:lineRule="exact"/>
        <w:rPr>
          <w:rFonts w:ascii="Arial" w:cs="Arial" w:eastAsia="Arial" w:hAnsi="Arial"/>
          <w:sz w:val="22"/>
          <w:szCs w:val="22"/>
          <w:color w:val="auto"/>
        </w:rPr>
      </w:pPr>
    </w:p>
    <w:p>
      <w:pPr>
        <w:ind w:left="9" w:right="40" w:firstLine="1288"/>
        <w:spacing w:after="0" w:line="289" w:lineRule="auto"/>
        <w:tabs>
          <w:tab w:leader="none" w:pos="1737"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Regardless of whether the Indemnifying Party assumes the defense of any claim pursuant to this Section 10.2,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 information and testimony, provide such witnesses and attend such conferences, discovery proceedings, hearings, trials and appeals, in each case, as may be reasonably requested in connection therewith. Such cooperation shall include access upon reasonable notice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10, the Indemnifying Party shall reimburse the Indemnified Party for all its reasonable and verifiable out-of-pocket expenses in connection with providing such assistance.</w:t>
      </w:r>
    </w:p>
    <w:p>
      <w:pPr>
        <w:spacing w:after="0" w:line="200" w:lineRule="exact"/>
        <w:rPr>
          <w:sz w:val="20"/>
          <w:szCs w:val="20"/>
          <w:color w:val="auto"/>
        </w:rPr>
      </w:pPr>
    </w:p>
    <w:p>
      <w:pPr>
        <w:spacing w:after="0" w:line="201"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169"/>
          </w:cols>
          <w:pgMar w:left="491" w:top="631" w:right="239" w:bottom="1440" w:gutter="0" w:footer="0" w:header="0"/>
        </w:sectPr>
      </w:pPr>
    </w:p>
    <w:bookmarkStart w:id="215" w:name="page216"/>
    <w:bookmarkEnd w:id="215"/>
    <w:p>
      <w:pPr>
        <w:ind w:firstLine="648"/>
        <w:spacing w:after="0" w:line="291"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Insurance</w:t>
      </w:r>
      <w:r>
        <w:rPr>
          <w:rFonts w:ascii="Arial" w:cs="Arial" w:eastAsia="Arial" w:hAnsi="Arial"/>
          <w:sz w:val="19"/>
          <w:szCs w:val="19"/>
          <w:color w:val="auto"/>
        </w:rPr>
        <w:t>. During the Term and for a minimum period of five (5) years thereafter and for an otherwise longer period as may be required by applicable Law, each of Regeneron and Sanofi will (a) use Commercially Reasonable Efforts to procure and maintain commercial general liability and product liability insurance in an amount not less than [***] per occurrence and in the annual aggregate or (b) procure and maintain adequate insurance by means of self-insurance in such amounts and on such terms as are consistent with normal business practices of large pharmaceutical companies in the life sciences industry. Such insurance shall insure against liability arising from this Agreement on the part of Regeneron or Sanofi, respectively, or any of their respective Affiliates, due to injury, disability or death of any person or persons, or property damage arising from activities performed in connection with this Agreement. Any insurance proceeds received by a Party in connection with any Damages shall be retained by such Party and shall not reduce any obligation of the other Party under Section 10.1 with respect to such Damages.</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320"/>
          </w:cols>
          <w:pgMar w:left="240" w:top="631" w:right="339" w:bottom="1440" w:gutter="0" w:footer="0" w:header="0"/>
        </w:sectPr>
      </w:pPr>
    </w:p>
    <w:bookmarkStart w:id="216" w:name="page217"/>
    <w:bookmarkEnd w:id="216"/>
    <w:p>
      <w:pPr>
        <w:jc w:val="center"/>
        <w:ind w:right="20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FORCE MAJEURE</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embargoes, acts of terrorism, acts of war (whether war be declared or not), insurrections, strikes, riots, civil commotions, or acts of God (“</w:t>
      </w:r>
      <w:r>
        <w:rPr>
          <w:rFonts w:ascii="Arial" w:cs="Arial" w:eastAsia="Arial" w:hAnsi="Arial"/>
          <w:sz w:val="19"/>
          <w:szCs w:val="19"/>
          <w:u w:val="single" w:color="auto"/>
          <w:color w:val="auto"/>
        </w:rPr>
        <w:t>Force Majeure</w:t>
      </w:r>
      <w:r>
        <w:rPr>
          <w:rFonts w:ascii="Arial" w:cs="Arial" w:eastAsia="Arial" w:hAnsi="Arial"/>
          <w:sz w:val="19"/>
          <w:szCs w:val="19"/>
          <w:color w:val="auto"/>
        </w:rPr>
        <w:t>”). Such excuse from liability and responsibility shall be effective only to the extent and duration of the event(s) causing the failure or delay in performance, unless the affected Party has caused such event(s) to occur. The affected Party will notify the other Party of such Force Majeure circumstances as soon as reasonably practical and will make every reasonable effort to mitigate the effects of such Force Majeure circumstances. In the event of a Force Majeure, the performance of the Party giving such notification shall be abated and any time deadlines shall be extended for so long as the performance is prevented by Force Majeure; provided, that notwithstanding the foregoing, in no event will any Force Majeure or such abatement extend beyond one hundred eight (180) days.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00"/>
          </w:cols>
          <w:pgMar w:left="240" w:top="625" w:right="259" w:bottom="1440" w:gutter="0" w:footer="0" w:header="0"/>
        </w:sectPr>
      </w:pPr>
    </w:p>
    <w:bookmarkStart w:id="217" w:name="page218"/>
    <w:bookmarkEnd w:id="217"/>
    <w:p>
      <w:pPr>
        <w:jc w:val="center"/>
        <w:ind w:right="10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Term</w:t>
      </w:r>
      <w:r>
        <w:rPr>
          <w:rFonts w:ascii="Arial" w:cs="Arial" w:eastAsia="Arial" w:hAnsi="Arial"/>
          <w:sz w:val="22"/>
          <w:szCs w:val="22"/>
          <w:color w:val="auto"/>
        </w:rPr>
        <w:t>. The “</w:t>
      </w:r>
      <w:r>
        <w:rPr>
          <w:rFonts w:ascii="Arial" w:cs="Arial" w:eastAsia="Arial" w:hAnsi="Arial"/>
          <w:sz w:val="22"/>
          <w:szCs w:val="22"/>
          <w:u w:val="single" w:color="auto"/>
          <w:color w:val="auto"/>
        </w:rPr>
        <w:t>Term</w:t>
      </w:r>
      <w:r>
        <w:rPr>
          <w:rFonts w:ascii="Arial" w:cs="Arial" w:eastAsia="Arial" w:hAnsi="Arial"/>
          <w:sz w:val="22"/>
          <w:szCs w:val="22"/>
          <w:color w:val="auto"/>
        </w:rPr>
        <w:t>” of this Agreement shall commence on the Effective Date and shall continue until the earlier of (a) either Sanofi having exercised its Opt-In Rights or an Opt-Out occurring for each IO Discovery Program Target Profile and (b) December 31, 2022, unless this Agreement is earlier terminated in accordance with this ARTICLE 12, in which event the Term shall end on the effective date of such termination.</w:t>
      </w:r>
    </w:p>
    <w:p>
      <w:pPr>
        <w:spacing w:after="0" w:line="185"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Upon and subject to the terms and conditions of this Section 12.2, this Agreement shall be terminable by a Party in its entirety upon notice to the other Party if such other Party commits a material breach of this Agreement. Such notice of termination shall set forth in reasonable detail the facts underlying or constituting the alleged material breach (and specifically referencing the provisions of this Agreement alleged to have been materially breached), and the termination that is the subject of such notice shall be effective ninety (90) days after the date such notice is given unless the breaching Party shall have cured such alleged material breach within such ninety (90) day period. Notwithstanding the foregoing, in the case of breach of a payment obligation not subject to a bona fide dispute hereunder, the ninety (90) day period referred to in the immediately preceding sentence shall instead be forty-five (45) days. For purposes of this Section 12.2, the term “material breach” shall mean an intentional, continuing (and uncured within the time period described above), material breach by a Party as determined by binding arbitration consistent with the provisions of Section 13.1.</w:t>
      </w:r>
    </w:p>
    <w:p>
      <w:pPr>
        <w:spacing w:after="0" w:line="15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xml:space="preserve"> Either Party shall have the right to terminate this Agreement in its entirety if, at any time, the other Party (a) files in any court or agency pursuant to any Laws, a petition in bankruptcy or insolvency or for reorganization or for an arrangement or for the appointment of a receiver or trustee of the Party or of its assets, (b) proposes a written agreement of composition or extension of its debts, (c) is served with an involuntary petition against it, filed in any insolvency proceeding, and such petition is not dismissed within sixty (60) days after the filing thereof, (d) proposes, or becomes a party to, any dissolution or liquidation, or (e) makes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 of the U.S. Bankruptcy Code. The Parties agree that all intellectual property rights licensed hereunder, including any Patent Rights in any country of a Party covered by the license grants under this Agreement, are part of the “intellectual property” as defined under Section 101 of the U.S. Bankruptcy Code subject to the protections afforded the non-terminating Party under Section 365(n) of the U.S. Bankruptcy Code, and any similar Laws in any other country in the Territory.</w:t>
      </w:r>
    </w:p>
    <w:p>
      <w:pPr>
        <w:spacing w:after="0" w:line="200" w:lineRule="exact"/>
        <w:rPr>
          <w:sz w:val="20"/>
          <w:szCs w:val="20"/>
          <w:color w:val="auto"/>
        </w:rPr>
      </w:pPr>
    </w:p>
    <w:p>
      <w:pPr>
        <w:spacing w:after="0" w:line="214" w:lineRule="exact"/>
        <w:rPr>
          <w:sz w:val="20"/>
          <w:szCs w:val="20"/>
          <w:color w:val="auto"/>
        </w:rPr>
      </w:pPr>
    </w:p>
    <w:p>
      <w:pPr>
        <w:ind w:right="200" w:firstLine="648"/>
        <w:spacing w:after="0" w:line="276"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Termination for Breach of the IO License and Collaboration Agreement</w:t>
      </w:r>
      <w:r>
        <w:rPr>
          <w:rFonts w:ascii="Arial" w:cs="Arial" w:eastAsia="Arial" w:hAnsi="Arial"/>
          <w:sz w:val="22"/>
          <w:szCs w:val="22"/>
          <w:color w:val="auto"/>
        </w:rPr>
        <w:t>. Notwithstanding anything to the contrary herein, (a) Regeneron shall have the unilateral right to</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300"/>
          </w:cols>
          <w:pgMar w:left="240" w:top="626" w:right="359" w:bottom="1440" w:gutter="0" w:footer="0" w:header="0"/>
        </w:sectPr>
      </w:pPr>
    </w:p>
    <w:bookmarkStart w:id="218" w:name="page219"/>
    <w:bookmarkEnd w:id="218"/>
    <w:p>
      <w:pPr>
        <w:spacing w:after="0" w:line="297" w:lineRule="auto"/>
        <w:rPr>
          <w:sz w:val="20"/>
          <w:szCs w:val="20"/>
          <w:color w:val="auto"/>
        </w:rPr>
      </w:pPr>
      <w:r>
        <w:rPr>
          <w:rFonts w:ascii="Arial" w:cs="Arial" w:eastAsia="Arial" w:hAnsi="Arial"/>
          <w:sz w:val="19"/>
          <w:szCs w:val="19"/>
          <w:color w:val="auto"/>
        </w:rPr>
        <w:t>terminate this Agreement in its entirety, effective immediately upon providing written notice to Sanofi, if Regeneron has terminated the IO License and Collaboration Agreement, in its entirety, pursuant to Section 19.3, or Section 19.4 of the IO License and Collaboration Agreement, and (b) Sanofi shall have the unilateral right to terminate this Agreement in its entirety, effective immediately upon providing written notice to Regeneron, if Sanofi has terminated the IO License and Collaboration Agreement, in its entirety, pursuant to Section 19.3 or Section 19.4 of the IO License and Collaboration Agreement.</w:t>
      </w:r>
    </w:p>
    <w:p>
      <w:pPr>
        <w:spacing w:after="0" w:line="147" w:lineRule="exact"/>
        <w:rPr>
          <w:sz w:val="20"/>
          <w:szCs w:val="20"/>
          <w:color w:val="auto"/>
        </w:rPr>
      </w:pPr>
    </w:p>
    <w:p>
      <w:pPr>
        <w:ind w:right="100" w:firstLine="648"/>
        <w:spacing w:after="0" w:line="358"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Effect of Termination by Sanofi for Breach</w:t>
      </w:r>
      <w:r>
        <w:rPr>
          <w:rFonts w:ascii="Arial" w:cs="Arial" w:eastAsia="Arial" w:hAnsi="Arial"/>
          <w:sz w:val="19"/>
          <w:szCs w:val="19"/>
          <w:color w:val="auto"/>
        </w:rPr>
        <w:t>. Notwithstanding anything herein to the contrary, in the event that Sanofi terminates this Agreement pursuant to Sections 12.2, in addition to the provisions of Section 12.7, the following shall apply:</w:t>
      </w:r>
    </w:p>
    <w:p>
      <w:pPr>
        <w:spacing w:after="0" w:line="91" w:lineRule="exact"/>
        <w:rPr>
          <w:sz w:val="20"/>
          <w:szCs w:val="20"/>
          <w:color w:val="auto"/>
        </w:rPr>
      </w:pPr>
    </w:p>
    <w:p>
      <w:pPr>
        <w:ind w:left="1960" w:hanging="412"/>
        <w:spacing w:after="0"/>
        <w:tabs>
          <w:tab w:leader="none" w:pos="19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licenses granted to Regeneron under this Agreement shall automatically terminate; and</w:t>
      </w:r>
    </w:p>
    <w:p>
      <w:pPr>
        <w:spacing w:after="0" w:line="233" w:lineRule="exact"/>
        <w:rPr>
          <w:rFonts w:ascii="Arial" w:cs="Arial" w:eastAsia="Arial" w:hAnsi="Arial"/>
          <w:sz w:val="22"/>
          <w:szCs w:val="22"/>
          <w:color w:val="auto"/>
        </w:rPr>
      </w:pPr>
    </w:p>
    <w:p>
      <w:pPr>
        <w:ind w:left="260" w:right="260" w:firstLine="1288"/>
        <w:spacing w:after="0" w:line="270" w:lineRule="auto"/>
        <w:tabs>
          <w:tab w:leader="none" w:pos="198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Sanofi shall be granted a co-exclusive (with Regeneron and its Affiliates), fully paid-up, non-transferable, royalty-free, worldwide license, with the right to sublicense, under the Regeneron Target IP existing at the effective time of termination solely for use to develop and commercialize IO Discovery Program Antibodies that are the subject of the IO Discovery Program as of the effective time of termination (and for no other uses).</w:t>
      </w:r>
    </w:p>
    <w:p>
      <w:pPr>
        <w:spacing w:after="0" w:line="169" w:lineRule="exact"/>
        <w:rPr>
          <w:sz w:val="20"/>
          <w:szCs w:val="20"/>
          <w:color w:val="auto"/>
        </w:rPr>
      </w:pPr>
    </w:p>
    <w:p>
      <w:pPr>
        <w:jc w:val="both"/>
        <w:ind w:right="260" w:firstLine="648"/>
        <w:spacing w:after="0" w:line="260"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Effect of Termination by Regeneron for Breach</w:t>
      </w:r>
      <w:r>
        <w:rPr>
          <w:rFonts w:ascii="Arial" w:cs="Arial" w:eastAsia="Arial" w:hAnsi="Arial"/>
          <w:sz w:val="22"/>
          <w:szCs w:val="22"/>
          <w:color w:val="auto"/>
        </w:rPr>
        <w:t>. Notwithstanding anything herein to the contrary, in the event that Regeneron terminates this Agreement pursuant to Sections 12.2, in addition to the provisions of Section 12.7, the following shall apply:</w:t>
      </w:r>
    </w:p>
    <w:p>
      <w:pPr>
        <w:spacing w:after="0" w:line="177" w:lineRule="exact"/>
        <w:rPr>
          <w:sz w:val="20"/>
          <w:szCs w:val="20"/>
          <w:color w:val="auto"/>
        </w:rPr>
      </w:pPr>
    </w:p>
    <w:p>
      <w:pPr>
        <w:ind w:left="1960" w:hanging="412"/>
        <w:spacing w:after="0"/>
        <w:tabs>
          <w:tab w:leader="none" w:pos="19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licenses granted to Sanofi under this Agreement shall automatically terminate; and</w:t>
      </w:r>
    </w:p>
    <w:p>
      <w:pPr>
        <w:spacing w:after="0" w:line="233" w:lineRule="exact"/>
        <w:rPr>
          <w:rFonts w:ascii="Arial" w:cs="Arial" w:eastAsia="Arial" w:hAnsi="Arial"/>
          <w:sz w:val="22"/>
          <w:szCs w:val="22"/>
          <w:color w:val="auto"/>
        </w:rPr>
      </w:pPr>
    </w:p>
    <w:p>
      <w:pPr>
        <w:ind w:left="260" w:right="80" w:firstLine="1288"/>
        <w:spacing w:after="0" w:line="254" w:lineRule="auto"/>
        <w:tabs>
          <w:tab w:leader="none" w:pos="198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Regeneron shall be granted an exclusive, fully paid-up, non-transferable, royalty-free, worldwide license, with the right to sublicense, under the Sanofi Target IP existing at the effective time of termination solely for use to develop and commercialize IO Discovery Program Antibodies that are the subject of the IO Discovery Program as of the effective time of termination (and for no other uses).</w:t>
      </w:r>
    </w:p>
    <w:p>
      <w:pPr>
        <w:spacing w:after="0" w:line="185" w:lineRule="exact"/>
        <w:rPr>
          <w:sz w:val="20"/>
          <w:szCs w:val="20"/>
          <w:color w:val="auto"/>
        </w:rPr>
      </w:pPr>
    </w:p>
    <w:p>
      <w:pPr>
        <w:jc w:val="both"/>
        <w:ind w:right="240" w:firstLine="648"/>
        <w:spacing w:after="0" w:line="260"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Subject to Section 12.5, Section 12.6, and Section 12.9, upon expiration or termination of this Agreement, the rights and obligations of the Parties hereunder shall terminate and this Agreement shall cease to be of further force or effect; provided, that:</w:t>
      </w:r>
    </w:p>
    <w:p>
      <w:pPr>
        <w:spacing w:after="0" w:line="177" w:lineRule="exact"/>
        <w:rPr>
          <w:sz w:val="20"/>
          <w:szCs w:val="20"/>
          <w:color w:val="auto"/>
        </w:rPr>
      </w:pPr>
    </w:p>
    <w:p>
      <w:pPr>
        <w:ind w:left="260" w:right="280" w:firstLine="1288"/>
        <w:spacing w:after="0" w:line="276" w:lineRule="auto"/>
        <w:tabs>
          <w:tab w:leader="none" w:pos="197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neither Sanofi nor Regeneron shall be relieved of any obligations (including payment obligations) of such Party arising prior to such expiration or termination;</w:t>
      </w:r>
    </w:p>
    <w:p>
      <w:pPr>
        <w:spacing w:after="0" w:line="160" w:lineRule="exact"/>
        <w:rPr>
          <w:rFonts w:ascii="Arial" w:cs="Arial" w:eastAsia="Arial" w:hAnsi="Arial"/>
          <w:sz w:val="22"/>
          <w:szCs w:val="22"/>
          <w:color w:val="auto"/>
        </w:rPr>
      </w:pPr>
    </w:p>
    <w:p>
      <w:pPr>
        <w:ind w:left="260" w:right="60" w:firstLine="1288"/>
        <w:spacing w:after="0" w:line="278" w:lineRule="auto"/>
        <w:tabs>
          <w:tab w:leader="none" w:pos="198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obligations of the Parties with respect to the protection and nondisclosure of the other Party’s Confidential Information in accordance with ARTICLE 9, as well as other provisions that by their nature are intended to survive any such expiration or termination (including Section 2.1(a)(ii), Section 2.6 (solely with respect to IO Royalty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631" w:right="259" w:bottom="1440" w:gutter="0" w:footer="0" w:header="0"/>
        </w:sectPr>
      </w:pPr>
    </w:p>
    <w:bookmarkStart w:id="219" w:name="page220"/>
    <w:bookmarkEnd w:id="219"/>
    <w:p>
      <w:pPr>
        <w:ind w:left="260" w:right="180"/>
        <w:spacing w:after="0" w:line="263" w:lineRule="auto"/>
        <w:rPr>
          <w:sz w:val="20"/>
          <w:szCs w:val="20"/>
          <w:color w:val="auto"/>
        </w:rPr>
      </w:pPr>
      <w:r>
        <w:rPr>
          <w:rFonts w:ascii="Arial" w:cs="Arial" w:eastAsia="Arial" w:hAnsi="Arial"/>
          <w:sz w:val="21"/>
          <w:szCs w:val="21"/>
          <w:color w:val="auto"/>
        </w:rPr>
        <w:t>Products), Section 2.7 (except as set forth in Section 12.6), Section 5.2(f), Section 5.3(c), Section 5.5, Section 5.7 (the final sentence, but solely if Sanofi has exercised its Opt-In Rights with respect to BCMAxCD3 Program Antibodies and the Parties have not reached an agreement with respect to Non-IO Indications for such BCMAxCD3 Program Antibodies), Section 6.1(e), Section 6.2(b), Section 6.2(c), Section 6.2(d) (as it relates to Joint Patent Rights) and Section 7.2, ARTICLE 10, this ARTICLE 12, and ARTICLE 13), shall survive and continue to be enforceable;</w:t>
      </w:r>
    </w:p>
    <w:p>
      <w:pPr>
        <w:spacing w:after="0" w:line="176" w:lineRule="exact"/>
        <w:rPr>
          <w:sz w:val="20"/>
          <w:szCs w:val="20"/>
          <w:color w:val="auto"/>
        </w:rPr>
      </w:pPr>
    </w:p>
    <w:p>
      <w:pPr>
        <w:ind w:left="260" w:right="40" w:firstLine="1288"/>
        <w:spacing w:after="0" w:line="254" w:lineRule="auto"/>
        <w:tabs>
          <w:tab w:leader="none" w:pos="197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without limiting Section 12.9, neither the early termination of this Agreement by either Party nor the expiration of this Agreement shall relieve Regeneron of any of its royalty obligations under ARTICLE 4 with respect to any IO Royalty Product, for which royalties remain payable to Sanofi under this Agreement, and such royalty provisions of ARTICLE 4 shall survive; and</w:t>
      </w:r>
    </w:p>
    <w:p>
      <w:pPr>
        <w:spacing w:after="0" w:line="185" w:lineRule="exact"/>
        <w:rPr>
          <w:rFonts w:ascii="Arial" w:cs="Arial" w:eastAsia="Arial" w:hAnsi="Arial"/>
          <w:sz w:val="22"/>
          <w:szCs w:val="22"/>
          <w:color w:val="auto"/>
        </w:rPr>
      </w:pPr>
    </w:p>
    <w:p>
      <w:pPr>
        <w:ind w:left="260" w:right="220" w:firstLine="1288"/>
        <w:spacing w:after="0" w:line="276" w:lineRule="auto"/>
        <w:tabs>
          <w:tab w:leader="none" w:pos="198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expiration or termination of this Agreement, and the terms and conditions of this ARTICLE 12 shall be without prejudice to any rights or remedies a Party may have for breach of this Agreement.</w:t>
      </w:r>
    </w:p>
    <w:p>
      <w:pPr>
        <w:spacing w:after="0" w:line="161"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u w:val="single" w:color="auto"/>
          <w:color w:val="auto"/>
        </w:rPr>
        <w:t>Return of Confidential Information</w:t>
      </w:r>
      <w:r>
        <w:rPr>
          <w:rFonts w:ascii="Arial" w:cs="Arial" w:eastAsia="Arial" w:hAnsi="Arial"/>
          <w:sz w:val="21"/>
          <w:szCs w:val="21"/>
          <w:color w:val="auto"/>
        </w:rPr>
        <w:t>. Subject to either Party’s licenses that survive termination or expiration of this Agreement, Confidential Information disclosed by the Disclosing Party, including permitted copies, shall remain the property of the Disclosing Party. Subject to the terms of the IO License and Collaboration Agreement (with respect to IO Licensed Products), upon the expiration or earlier termination of this Agreement,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provided, that one (1) copy may be maintained in the confidential files of the Receiving Party for the purpose of complying with the terms of this Agreement. An officer of the Receiving Party also shall certify in writing that it has satisfied its obligations under this Section 12.8 within ten (10) days of a written request by the Disclosing Party.</w:t>
      </w:r>
    </w:p>
    <w:p>
      <w:pPr>
        <w:spacing w:after="0" w:line="18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Termination by Sanofi At Will</w:t>
      </w:r>
      <w:r>
        <w:rPr>
          <w:rFonts w:ascii="Arial" w:cs="Arial" w:eastAsia="Arial" w:hAnsi="Arial"/>
          <w:sz w:val="19"/>
          <w:szCs w:val="19"/>
          <w:color w:val="auto"/>
        </w:rPr>
        <w:t>. Sanofi shall be entitled to terminate this Agreement at any time (except following a material breach of this Agreement by Sanofi pursuant to Section 12.2) on an IO Discovery Program Target Profile-per-IO Discovery Program Target Profile basis without cause upon three (3) months’ written notice to Regeneron. In the event of such termination, in addition to the provisions of Section 12.7, Regeneron shall be granted a non-exclusive, non-transferable, royalty-bearing (in accordance with Section 4.3) worldwide license with the right to sublicense under Sanofi Target IP existing at the effective time of termination solely for use to develop and commercialize IO Discovery Program Antibodies targeting IO Discovery Program Target Profiles in existence and included in the IO Discovery Program at the effective time of termination.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220" w:name="page221"/>
    <w:bookmarkEnd w:id="220"/>
    <w:p>
      <w:pPr>
        <w:jc w:val="center"/>
        <w:ind w:right="22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u w:val="single" w:color="auto"/>
          <w:color w:val="auto"/>
        </w:rPr>
        <w:t>DISPUTE RESOLUTION</w:t>
      </w:r>
    </w:p>
    <w:p>
      <w:pPr>
        <w:spacing w:after="0" w:line="215" w:lineRule="exact"/>
        <w:rPr>
          <w:sz w:val="20"/>
          <w:szCs w:val="20"/>
          <w:color w:val="auto"/>
        </w:rPr>
      </w:pPr>
    </w:p>
    <w:p>
      <w:pPr>
        <w:ind w:right="200" w:firstLine="648"/>
        <w:spacing w:after="0" w:line="254"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Resolution of Disputes</w:t>
      </w:r>
      <w:r>
        <w:rPr>
          <w:rFonts w:ascii="Arial" w:cs="Arial" w:eastAsia="Arial" w:hAnsi="Arial"/>
          <w:sz w:val="22"/>
          <w:szCs w:val="22"/>
          <w:color w:val="auto"/>
        </w:rPr>
        <w:t>. The Parties recognize that disputes as to certain matters may from time to time arise that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Arbitrable Matters</w:t>
      </w:r>
      <w:r>
        <w:rPr>
          <w:rFonts w:ascii="Arial" w:cs="Arial" w:eastAsia="Arial" w:hAnsi="Arial"/>
          <w:sz w:val="19"/>
          <w:szCs w:val="19"/>
          <w:color w:val="auto"/>
        </w:rPr>
        <w:t>.</w:t>
      </w:r>
    </w:p>
    <w:p>
      <w:pPr>
        <w:spacing w:after="0" w:line="233" w:lineRule="exact"/>
        <w:rPr>
          <w:sz w:val="20"/>
          <w:szCs w:val="20"/>
          <w:color w:val="auto"/>
        </w:rPr>
      </w:pPr>
    </w:p>
    <w:p>
      <w:pPr>
        <w:ind w:left="1540"/>
        <w:spacing w:after="0"/>
        <w:tabs>
          <w:tab w:leader="none" w:pos="19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Overview</w:t>
      </w:r>
      <w:r>
        <w:rPr>
          <w:rFonts w:ascii="Arial" w:cs="Arial" w:eastAsia="Arial" w:hAnsi="Arial"/>
          <w:sz w:val="19"/>
          <w:szCs w:val="19"/>
          <w:color w:val="auto"/>
        </w:rPr>
        <w:t>. In the event of a dispute between the Parties regarding any of the following matters (each, an</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Arbitrable Matter</w:t>
      </w:r>
      <w:r>
        <w:rPr>
          <w:rFonts w:ascii="Arial" w:cs="Arial" w:eastAsia="Arial" w:hAnsi="Arial"/>
          <w:sz w:val="19"/>
          <w:szCs w:val="19"/>
          <w:color w:val="auto"/>
        </w:rPr>
        <w:t>”) (i) the results of an audit under Section 7.2(d), and (ii) whether a breach constitutes a “material breach” as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described in Section 12.2, the matter shall be resolved pursuant to this Section 13.2.</w:t>
      </w:r>
    </w:p>
    <w:p>
      <w:pPr>
        <w:spacing w:after="0" w:line="202" w:lineRule="exact"/>
        <w:rPr>
          <w:sz w:val="20"/>
          <w:szCs w:val="20"/>
          <w:color w:val="auto"/>
        </w:rPr>
      </w:pPr>
    </w:p>
    <w:p>
      <w:pPr>
        <w:ind w:left="260" w:firstLine="1288"/>
        <w:spacing w:after="0" w:line="284" w:lineRule="auto"/>
        <w:tabs>
          <w:tab w:leader="none" w:pos="1988"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Arbitration Procedures</w:t>
      </w:r>
      <w:r>
        <w:rPr>
          <w:rFonts w:ascii="Arial" w:cs="Arial" w:eastAsia="Arial" w:hAnsi="Arial"/>
          <w:sz w:val="19"/>
          <w:szCs w:val="19"/>
          <w:color w:val="auto"/>
        </w:rPr>
        <w:t>. Each Arbitrable Matter that is not an Expert Panel Dispute shall be resolved by binding arbitration by one (1) arbitrator who shall be an independent expert in the pharmaceutical or biotechnology industry mutually acceptable to the Parties. The Parties shall use their best efforts to mutually agree upon one (1) arbitrator; provided, that if the Parties have not done so within ten (10) days after initiation of arbitration by a Party hereunder, or such longer period of time as the Parties have agreed to in writing, then such arbitrator shall be an independent expert as described in the preceding sentence selected by the New York office of the American Arbitration Association. Such arbitration shall be limited to casting the deciding vote with respect to the Arbitrable Matter as more fully described in Section 13.2(c) and Section 13.2(d). In connection therewith, each Party shall submit to the arbitrator in writing its position on and desired resolution of such Arbitrable Matter. Such submission shall be made within ten (10) days of the selection or appointment of the arbitrator, and the arbitrator shall rule on the Arbitrable Matter within ten (10) days of receipt of the written submissions by both Parties. The arbitrator shall select one of the Parties’ positions as his or her decision, and shall not have authority to render any substantive decision other than to so select the position of either Regeneron or Sanofi. Except as provided in the preceding sentence, such arbitration shall be conducted in accordance with the then-current Commercial Arbitration Rules of the American Arbitration Association. The arbitrator’s ruling shall be final and binding upon the Parties. The costs of any arbitration conducted pursuant to this Section</w:t>
      </w:r>
    </w:p>
    <w:p>
      <w:pPr>
        <w:spacing w:after="0" w:line="4" w:lineRule="exact"/>
        <w:rPr>
          <w:rFonts w:ascii="Arial" w:cs="Arial" w:eastAsia="Arial" w:hAnsi="Arial"/>
          <w:sz w:val="19"/>
          <w:szCs w:val="19"/>
          <w:color w:val="auto"/>
        </w:rPr>
      </w:pPr>
    </w:p>
    <w:p>
      <w:pPr>
        <w:ind w:left="260" w:right="180"/>
        <w:spacing w:after="0" w:line="246" w:lineRule="auto"/>
        <w:rPr>
          <w:rFonts w:ascii="Arial" w:cs="Arial" w:eastAsia="Arial" w:hAnsi="Arial"/>
          <w:sz w:val="19"/>
          <w:szCs w:val="19"/>
          <w:color w:val="auto"/>
        </w:rPr>
      </w:pPr>
      <w:r>
        <w:rPr>
          <w:rFonts w:ascii="Arial" w:cs="Arial" w:eastAsia="Arial" w:hAnsi="Arial"/>
          <w:sz w:val="22"/>
          <w:szCs w:val="22"/>
          <w:color w:val="auto"/>
        </w:rPr>
        <w:t>13.2 shall be borne equally (50%/50%) by the Parties. The Parties shall use diligent efforts to cause the completion of any such arbitration within sixty (60) days following a request by any Party for such arbitration.</w:t>
      </w:r>
    </w:p>
    <w:p>
      <w:pPr>
        <w:spacing w:after="0" w:line="192" w:lineRule="exact"/>
        <w:rPr>
          <w:rFonts w:ascii="Arial" w:cs="Arial" w:eastAsia="Arial" w:hAnsi="Arial"/>
          <w:sz w:val="19"/>
          <w:szCs w:val="19"/>
          <w:color w:val="auto"/>
        </w:rPr>
      </w:pPr>
    </w:p>
    <w:p>
      <w:pPr>
        <w:ind w:left="260" w:firstLine="1288"/>
        <w:spacing w:after="0" w:line="276" w:lineRule="auto"/>
        <w:tabs>
          <w:tab w:leader="none" w:pos="2003"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Material Breach Under Section 12.2</w:t>
      </w:r>
      <w:r>
        <w:rPr>
          <w:rFonts w:ascii="Arial" w:cs="Arial" w:eastAsia="Arial" w:hAnsi="Arial"/>
          <w:sz w:val="22"/>
          <w:szCs w:val="22"/>
          <w:color w:val="auto"/>
        </w:rPr>
        <w:t>. The issue that shall be submitted to the arbitrator shall be whether the breach committed by a Party meets the requirements for a material breach under Section 12.2.</w:t>
      </w:r>
    </w:p>
    <w:p>
      <w:pPr>
        <w:spacing w:after="0" w:line="160" w:lineRule="exact"/>
        <w:rPr>
          <w:rFonts w:ascii="Arial" w:cs="Arial" w:eastAsia="Arial" w:hAnsi="Arial"/>
          <w:sz w:val="22"/>
          <w:szCs w:val="22"/>
          <w:color w:val="auto"/>
        </w:rPr>
      </w:pPr>
    </w:p>
    <w:p>
      <w:pPr>
        <w:ind w:left="260" w:firstLine="1288"/>
        <w:spacing w:after="0" w:line="276" w:lineRule="auto"/>
        <w:tabs>
          <w:tab w:leader="none" w:pos="198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Audit Disputes</w:t>
      </w:r>
      <w:r>
        <w:rPr>
          <w:rFonts w:ascii="Arial" w:cs="Arial" w:eastAsia="Arial" w:hAnsi="Arial"/>
          <w:sz w:val="22"/>
          <w:szCs w:val="22"/>
          <w:color w:val="auto"/>
        </w:rPr>
        <w:t>. The issue that shall be submitted to the arbitrator shall be the results of an audit as described under Section 7.2(d).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25" w:right="239" w:bottom="1440" w:gutter="0" w:footer="0" w:header="0"/>
        </w:sectPr>
      </w:pPr>
    </w:p>
    <w:bookmarkStart w:id="221" w:name="page222"/>
    <w:bookmarkEnd w:id="221"/>
    <w:p>
      <w:pPr>
        <w:ind w:left="400"/>
        <w:spacing w:after="0"/>
        <w:tabs>
          <w:tab w:leader="none" w:pos="9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Expert Panel Disputes</w:t>
      </w:r>
      <w:r>
        <w:rPr>
          <w:rFonts w:ascii="Arial" w:cs="Arial" w:eastAsia="Arial" w:hAnsi="Arial"/>
          <w:sz w:val="19"/>
          <w:szCs w:val="19"/>
          <w:color w:val="auto"/>
        </w:rPr>
        <w:t>.</w:t>
      </w:r>
    </w:p>
    <w:p>
      <w:pPr>
        <w:spacing w:after="0" w:line="233" w:lineRule="exact"/>
        <w:rPr>
          <w:sz w:val="20"/>
          <w:szCs w:val="20"/>
          <w:color w:val="auto"/>
        </w:rPr>
      </w:pPr>
    </w:p>
    <w:p>
      <w:pPr>
        <w:ind w:right="40" w:firstLine="1288"/>
        <w:spacing w:after="0" w:line="291" w:lineRule="auto"/>
        <w:tabs>
          <w:tab w:leader="none" w:pos="171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Overview</w:t>
      </w:r>
      <w:r>
        <w:rPr>
          <w:rFonts w:ascii="Arial" w:cs="Arial" w:eastAsia="Arial" w:hAnsi="Arial"/>
          <w:sz w:val="19"/>
          <w:szCs w:val="19"/>
          <w:color w:val="auto"/>
        </w:rPr>
        <w:t>. In the event of an Expert Panel Dispute between the Parties, the Parties shall use all reasonable efforts to resolve any such Expert Panel Dispute by good faith negotiation and discussion. In the event that the Parties are unable to resolve any such Expert Panel Dispute within ten (10) Business Days of receipt by a Party of notice of such Expert Panel Dispute, either Party may submit the Expert Panel Dispute to the Executive Officers for resolution, specifying the nature of the Expert Panel Dispute with sufficient specificity to permit adequate consideration by such Executive Officers. The Executive Officers shall diligently and in good faith attempt to resolve the referred Expert Panel Dispute within ten (10) Business Days of receiving such written notification. Any final decision mutually agreed to by the Executive Officers shall be conclusive and binding on the Parties. In the event the Executive Officers are unable to resolve any such Expert Panel Dispute, the Parties shall refer such Expert Panel Dispute to an Expert Panel for resolution in accordance with Section 13.3(b).</w:t>
      </w:r>
    </w:p>
    <w:p>
      <w:pPr>
        <w:spacing w:after="0" w:line="154" w:lineRule="exact"/>
        <w:rPr>
          <w:rFonts w:ascii="Arial" w:cs="Arial" w:eastAsia="Arial" w:hAnsi="Arial"/>
          <w:sz w:val="19"/>
          <w:szCs w:val="19"/>
          <w:color w:val="auto"/>
        </w:rPr>
      </w:pPr>
    </w:p>
    <w:p>
      <w:pPr>
        <w:ind w:left="1720" w:hanging="432"/>
        <w:spacing w:after="0"/>
        <w:tabs>
          <w:tab w:leader="none" w:pos="17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Expert Panel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0" w:right="100" w:firstLine="1293"/>
        <w:spacing w:after="0" w:line="251" w:lineRule="auto"/>
        <w:tabs>
          <w:tab w:leader="none" w:pos="208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In the event of any Expert Panel Dispute that cannot be resolved by the Executive Officers pursuant to Section 13.3(a), either Party may by written notice to the other Party require the specific issue in dispute to be submitted to a panel of experts (“</w:t>
      </w:r>
      <w:r>
        <w:rPr>
          <w:rFonts w:ascii="Arial" w:cs="Arial" w:eastAsia="Arial" w:hAnsi="Arial"/>
          <w:sz w:val="22"/>
          <w:szCs w:val="22"/>
          <w:u w:val="single" w:color="auto"/>
          <w:color w:val="auto"/>
        </w:rPr>
        <w:t>Expert Panel</w:t>
      </w:r>
      <w:r>
        <w:rPr>
          <w:rFonts w:ascii="Arial" w:cs="Arial" w:eastAsia="Arial" w:hAnsi="Arial"/>
          <w:sz w:val="22"/>
          <w:szCs w:val="22"/>
          <w:color w:val="auto"/>
        </w:rPr>
        <w:t>”) in accordance with this Section 13.3(b). The specific issue to be decided by the Expert Panel with respect to (A) a [***] shall be limited to whether or not [***], and (B) a Post-POC Plan Dispute shall be limited to a determination of [***], based on [***].</w:t>
      </w:r>
    </w:p>
    <w:p>
      <w:pPr>
        <w:spacing w:after="0" w:line="189" w:lineRule="exact"/>
        <w:rPr>
          <w:rFonts w:ascii="Arial" w:cs="Arial" w:eastAsia="Arial" w:hAnsi="Arial"/>
          <w:sz w:val="22"/>
          <w:szCs w:val="22"/>
          <w:color w:val="auto"/>
        </w:rPr>
      </w:pPr>
    </w:p>
    <w:p>
      <w:pPr>
        <w:ind w:left="400" w:firstLine="1293"/>
        <w:spacing w:after="0" w:line="291" w:lineRule="auto"/>
        <w:tabs>
          <w:tab w:leader="none" w:pos="2141" w:val="left"/>
        </w:tabs>
        <w:numPr>
          <w:ilvl w:val="1"/>
          <w:numId w:val="130"/>
        </w:numPr>
        <w:rPr>
          <w:rFonts w:ascii="Arial" w:cs="Arial" w:eastAsia="Arial" w:hAnsi="Arial"/>
          <w:sz w:val="19"/>
          <w:szCs w:val="19"/>
          <w:color w:val="auto"/>
        </w:rPr>
      </w:pPr>
      <w:r>
        <w:rPr>
          <w:rFonts w:ascii="Arial" w:cs="Arial" w:eastAsia="Arial" w:hAnsi="Arial"/>
          <w:sz w:val="19"/>
          <w:szCs w:val="19"/>
          <w:color w:val="auto"/>
        </w:rPr>
        <w:t>Within fifteen (15) Business Days of such notice, each Party shall appoint to the Expert Panel an individual who (A) has expertise in the pharmaceutical or biotechnology industry and the specific matters at issue, (B) is not a current or former director, employee or consultant of such Party or any of its Affiliates, or otherwise has not received compensation or other payments from such Party (or its Affiliates) for the past five (5) years and (C)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(A) through (C) above, disclosing any potential conflict or bias and certifying that, as a member of the Expert Panel, such individual is able to render an independent decision.</w:t>
      </w:r>
    </w:p>
    <w:p>
      <w:pPr>
        <w:spacing w:after="0" w:line="154" w:lineRule="exact"/>
        <w:rPr>
          <w:rFonts w:ascii="Arial" w:cs="Arial" w:eastAsia="Arial" w:hAnsi="Arial"/>
          <w:sz w:val="19"/>
          <w:szCs w:val="19"/>
          <w:color w:val="auto"/>
        </w:rPr>
      </w:pPr>
    </w:p>
    <w:p>
      <w:pPr>
        <w:ind w:left="400" w:right="40" w:firstLine="1293"/>
        <w:spacing w:after="0" w:line="251" w:lineRule="auto"/>
        <w:tabs>
          <w:tab w:leader="none" w:pos="2201"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Within fifteen (15) Business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five (5) Business Days of such request, nominate one expert candidate and the</w:t>
      </w:r>
    </w:p>
    <w:p>
      <w:pPr>
        <w:spacing w:after="0" w:line="200" w:lineRule="exact"/>
        <w:rPr>
          <w:sz w:val="20"/>
          <w:szCs w:val="20"/>
          <w:color w:val="auto"/>
        </w:rPr>
      </w:pP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160"/>
          </w:cols>
          <w:pgMar w:left="500" w:top="631" w:right="239" w:bottom="1440" w:gutter="0" w:footer="0" w:header="0"/>
        </w:sectPr>
      </w:pPr>
    </w:p>
    <w:bookmarkStart w:id="222" w:name="page223"/>
    <w:bookmarkEnd w:id="222"/>
    <w:p>
      <w:pPr>
        <w:ind w:right="260"/>
        <w:spacing w:after="0" w:line="312" w:lineRule="auto"/>
        <w:rPr>
          <w:sz w:val="20"/>
          <w:szCs w:val="20"/>
          <w:color w:val="auto"/>
        </w:rPr>
      </w:pPr>
      <w:r>
        <w:rPr>
          <w:rFonts w:ascii="Arial" w:cs="Arial" w:eastAsia="Arial" w:hAnsi="Arial"/>
          <w:sz w:val="19"/>
          <w:szCs w:val="19"/>
          <w:color w:val="auto"/>
        </w:rPr>
        <w:t>American Arbitration Association shall, within five (5) Business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34" w:lineRule="exact"/>
        <w:rPr>
          <w:sz w:val="20"/>
          <w:szCs w:val="20"/>
          <w:color w:val="auto"/>
        </w:rPr>
      </w:pPr>
    </w:p>
    <w:p>
      <w:pPr>
        <w:ind w:right="20" w:firstLine="1293"/>
        <w:spacing w:after="0" w:line="260" w:lineRule="auto"/>
        <w:tabs>
          <w:tab w:leader="none" w:pos="178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the case of a [***] Dispute, within ten (10) Business Days of the appointment of the third (3rd) expert, each Party shall submit to the Expert Panel in writing its position with respect to whether the proposed [***] that is the subject of such dispute is or is not [***], and each Party may include any documentation or other information that such Party determines may be relevant to the Expert Panel’s decision; provided, that neither Party shall have the right to submit further documentation or other information to the Expert Panel after the expiration of such ten- (10-) Business Day period. The specific issue that shall be submitted to the Expert Panel shall be limited to whether or not such [***] is or is not [***]. The Expert Panel shall determine whether or not such [***] is or is not [***], and shall not have authority to render any other substantive decision. The Expert Panel’s determination shall be final and binding on the Parties. Such decision shall be rendered by the Expert Panel no later than ten (10) Business Days after receipt by the Expert Panel of the Parties’ respective positions.</w:t>
      </w:r>
    </w:p>
    <w:p>
      <w:pPr>
        <w:spacing w:after="0" w:line="179" w:lineRule="exact"/>
        <w:rPr>
          <w:rFonts w:ascii="Arial" w:cs="Arial" w:eastAsia="Arial" w:hAnsi="Arial"/>
          <w:sz w:val="21"/>
          <w:szCs w:val="21"/>
          <w:color w:val="auto"/>
        </w:rPr>
      </w:pPr>
    </w:p>
    <w:p>
      <w:pPr>
        <w:ind w:firstLine="1293"/>
        <w:spacing w:after="0" w:line="259" w:lineRule="auto"/>
        <w:tabs>
          <w:tab w:leader="none" w:pos="1729"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the case of a Post-POC Plan Dispute, within ten (10) Business Days of the appointment of the third (3rd) expert, each Party shall submit to the Expert Panel in writing its proposed version of the Disputed Plan Components. The specific issue that shall be submitted to the Expert Panel shall be limited to a determination of which of the proposed Post-POC Development Plans is [***]. In connection with reaching its decision, the Expert Panel may order the Parties to produce any documents or other information that are relevant to the Expert Panel’s decision. The Expert Panel shall select the proposed Post-POC Development Plan that is [***], and the Expert Panel shall not have authority to render any substantive decision other than to so select the proposed Post-POC Development Plan of either Regeneron or Sanofi. The plan selected by the Expert Panel shall be the final Post-POC Development Plan unless and until such plan is later amended in accordance with the IO License and Collaboration Agreement. Such decision shall be rendered by the Expert Panel no later than ten (10) Business Days after receipt by the Expert Panel of the Parties’ respective proposed Post-POC Development Plans.</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700"/>
          </w:cols>
          <w:pgMar w:left="900" w:top="631" w:right="299" w:bottom="1440" w:gutter="0" w:footer="0" w:header="0"/>
        </w:sectPr>
      </w:pPr>
    </w:p>
    <w:bookmarkStart w:id="223" w:name="page224"/>
    <w:bookmarkEnd w:id="223"/>
    <w:p>
      <w:pPr>
        <w:ind w:left="-540" w:firstLine="1293"/>
        <w:spacing w:after="0" w:line="260" w:lineRule="auto"/>
        <w:tabs>
          <w:tab w:leader="none" w:pos="124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Except as provided in clause (iv) above, any arbitration conducted pursuant to this Section 13.3 shall be conducted in accordance with the then-current Commercial Arbitration Rules of the American Arbitration Association. The Expert Panel’s ruling shall be final and binding upon the Parties. The costs of any arbitration conducted pursuant to this Section 13.3(b) shall be borne equally (50%/50%) by the Parties. The Parties shall use diligent efforts to cause the completion of any such arbitration within forty-five (45) Business Days following a request by any Party for such arbitration. In rendering the final decision the Expert Panel shall be limited to choosing a resolution proposed by a Party without modification; provided, however, that in no event shall the Expert Panel render a decision that is inconsistent with this Agreement. The agreement of two (2) of the three (3) experts shall be sufficient to render a decision and the Parties shall abide by such decision.</w:t>
      </w: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220"/>
          </w:cols>
          <w:pgMar w:left="1440" w:top="632" w:right="239" w:bottom="1440" w:gutter="0" w:footer="0" w:header="0"/>
        </w:sectPr>
      </w:pPr>
    </w:p>
    <w:bookmarkStart w:id="224" w:name="page225"/>
    <w:bookmarkEnd w:id="224"/>
    <w:p>
      <w:pPr>
        <w:jc w:val="center"/>
        <w:ind w:right="20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5"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Except as set forth in ARTICLE 13,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delivered by reputable international overnight courier service to its address set forth in Section 14.3 shall be effective service of process for any action, suit or proceeding brought against it under this Agreement in any such court.</w:t>
      </w:r>
    </w:p>
    <w:p>
      <w:pPr>
        <w:spacing w:after="0" w:line="180"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 Waiver by a Party of a breach hereunder by the other Party shall not be construed as a waiver of any</w:t>
      </w:r>
    </w:p>
    <w:p>
      <w:pPr>
        <w:spacing w:after="0" w:line="22"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9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instructions and other communications required or permitted hereunder or in connection herewith shall be in writing, shall be sent to the address of the relevant Party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attached hereto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33" w:lineRule="exact"/>
        <w:rPr>
          <w:sz w:val="20"/>
          <w:szCs w:val="20"/>
          <w:color w:val="auto"/>
        </w:rPr>
      </w:pPr>
    </w:p>
    <w:p>
      <w:pPr>
        <w:ind w:left="260" w:right="40" w:firstLine="1288"/>
        <w:spacing w:after="0" w:line="294" w:lineRule="auto"/>
        <w:tabs>
          <w:tab w:leader="none" w:pos="197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This Agreement constitutes an amendment and restatement of the Original Agreement effective from and after the A&amp;R Agreement Effective Date as set forth in Section 2.1(a). The execution and delivery of this Agreement shall not constitute a novation or waiver of any rights or obligations owing under the Original Agreement based on facts or events occurring or existing prior to the A&amp;R Agreement Effective Date with respect to the Terminated IO Discovery Programs, and shall be without prejudice to any rights or obligations that have arisen prior to the A&amp;R Agreement Effective Date with respect to the Terminated IO Discovery Programs. As of the A&amp;R Agreement Effective Date, the Original Agreement is hereby terminated in part and amended, supplemented, modified and restated, as applicable, to the extent provided for in Section 2.1(a).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00"/>
          </w:cols>
          <w:pgMar w:left="240" w:top="625" w:right="259" w:bottom="1440" w:gutter="0" w:footer="0" w:header="0"/>
        </w:sectPr>
      </w:pPr>
    </w:p>
    <w:bookmarkStart w:id="225" w:name="page226"/>
    <w:bookmarkEnd w:id="225"/>
    <w:p>
      <w:pPr>
        <w:ind w:left="260" w:right="40" w:firstLine="1288"/>
        <w:spacing w:after="0" w:line="290" w:lineRule="auto"/>
        <w:tabs>
          <w:tab w:leader="none" w:pos="198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Except as provided in Section 14.4(a), this Agreement and the IO License and Collaboration Agreement contain the complete understanding of the Parties with respect to the subject matter hereof and thereof and supersede all prior understandings and writings relating to the subject matter hereof and thereof; provided that in the event of any conflict or inconsistency between this Agreement, on the one hand, and the IO License and Collaboration Agreement, on the other hand, this Agreement shall control regarding the Parties’ rights and obligations with respect to any IO Discovery Program Antibody or Product Candidate Family prior to Sanofi’s exercise of its Opt-In Rights with respect to such Product Candidate Family, and the IO License and Collaboration Agreement shall control regarding the Parties’ rights and obligations with respect to any IO Licensed Product from and after the time the members of a Product Candidate Family becomes an IO Licensed Product (except to the extent otherwise expressly provided in this Agreement). For the avoidance of doubt, the Existing License and Collaboration Agreement shall remain in full force and effect in accordance with its terms.</w:t>
      </w:r>
    </w:p>
    <w:p>
      <w:pPr>
        <w:spacing w:after="0" w:line="156" w:lineRule="exact"/>
        <w:rPr>
          <w:sz w:val="20"/>
          <w:szCs w:val="20"/>
          <w:color w:val="auto"/>
        </w:rPr>
      </w:pPr>
    </w:p>
    <w:p>
      <w:pPr>
        <w:ind w:right="740" w:firstLine="648"/>
        <w:spacing w:after="0" w:line="276"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Sanofi and Regeneron.</w:t>
      </w:r>
    </w:p>
    <w:p>
      <w:pPr>
        <w:spacing w:after="0" w:line="161" w:lineRule="exact"/>
        <w:rPr>
          <w:sz w:val="20"/>
          <w:szCs w:val="20"/>
          <w:color w:val="auto"/>
        </w:rPr>
      </w:pPr>
    </w:p>
    <w:p>
      <w:pPr>
        <w:ind w:right="60" w:firstLine="648"/>
        <w:spacing w:after="0" w:line="262"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Registration and Filing of the Agreement</w:t>
      </w:r>
      <w:r>
        <w:rPr>
          <w:rFonts w:ascii="Arial" w:cs="Arial" w:eastAsia="Arial" w:hAnsi="Arial"/>
          <w:sz w:val="22"/>
          <w:szCs w:val="22"/>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9.4. The other Party shall promptly cooperate in such filing or notification and shall promptly execute all documents reasonably required in connection therewith. The Parties shall promptly inform each other as to the activities or inquiries of any Governmental Authority relating to this Agreement, and shall promptly cooperate to respond to any request for further information therefrom.</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u w:val="single" w:color="auto"/>
          <w:color w:val="auto"/>
        </w:rPr>
        <w:t>Assignment</w:t>
      </w:r>
      <w:r>
        <w:rPr>
          <w:rFonts w:ascii="Arial" w:cs="Arial" w:eastAsia="Arial" w:hAnsi="Arial"/>
          <w:sz w:val="22"/>
          <w:szCs w:val="22"/>
          <w:color w:val="auto"/>
        </w:rPr>
        <w:t>.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a Party’s obligations under this Agreement, provided that the assigning Party shall remain primarily liable hereunder notwithstanding 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00"/>
          </w:cols>
          <w:pgMar w:left="240" w:top="631" w:right="259" w:bottom="1440" w:gutter="0" w:footer="0" w:header="0"/>
        </w:sectPr>
      </w:pPr>
    </w:p>
    <w:bookmarkStart w:id="226" w:name="page227"/>
    <w:bookmarkEnd w:id="226"/>
    <w:p>
      <w:pPr>
        <w:spacing w:after="0" w:line="250" w:lineRule="auto"/>
        <w:rPr>
          <w:sz w:val="20"/>
          <w:szCs w:val="20"/>
          <w:color w:val="auto"/>
        </w:rPr>
      </w:pPr>
      <w:r>
        <w:rPr>
          <w:rFonts w:ascii="Arial" w:cs="Arial" w:eastAsia="Arial" w:hAnsi="Arial"/>
          <w:sz w:val="22"/>
          <w:szCs w:val="22"/>
          <w:color w:val="auto"/>
        </w:rPr>
        <w:t>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188"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14.12.</w:t>
      </w:r>
    </w:p>
    <w:p>
      <w:pPr>
        <w:spacing w:after="0" w:line="177"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 xml:space="preserve">14.10 </w:t>
      </w:r>
      <w:r>
        <w:rPr>
          <w:rFonts w:ascii="Arial" w:cs="Arial" w:eastAsia="Arial" w:hAnsi="Arial"/>
          <w:sz w:val="21"/>
          <w:szCs w:val="21"/>
          <w:u w:val="single" w:color="auto"/>
          <w:color w:val="auto"/>
        </w:rPr>
        <w:t>Affiliates</w:t>
      </w:r>
      <w:r>
        <w:rPr>
          <w:rFonts w:ascii="Arial" w:cs="Arial" w:eastAsia="Arial" w:hAnsi="Arial"/>
          <w:sz w:val="21"/>
          <w:szCs w:val="21"/>
          <w:color w:val="auto"/>
        </w:rPr>
        <w:t>. Each Party may, and to the extent it is in the best interests of the IO Discovery Program shall, perform its obligations under this Agreement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 Each Party represents and warrants to the other Party that it has licensed or will license from its Affiliates the Patents and Know-How owned by its Affiliates that are to be licensed (or sublicensed) to the other Party under this Agreement.</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hereto as if they were original signatures.</w:t>
      </w:r>
    </w:p>
    <w:p>
      <w:pPr>
        <w:spacing w:after="0" w:line="169" w:lineRule="exact"/>
        <w:rPr>
          <w:sz w:val="20"/>
          <w:szCs w:val="20"/>
          <w:color w:val="auto"/>
        </w:rPr>
      </w:pPr>
    </w:p>
    <w:p>
      <w:pPr>
        <w:ind w:right="40" w:firstLine="648"/>
        <w:spacing w:after="0" w:line="264" w:lineRule="auto"/>
        <w:rPr>
          <w:sz w:val="20"/>
          <w:szCs w:val="20"/>
          <w:color w:val="auto"/>
        </w:rPr>
      </w:pPr>
      <w:r>
        <w:rPr>
          <w:rFonts w:ascii="Arial" w:cs="Arial" w:eastAsia="Arial" w:hAnsi="Arial"/>
          <w:sz w:val="21"/>
          <w:szCs w:val="21"/>
          <w:color w:val="auto"/>
        </w:rPr>
        <w:t xml:space="preserve">14.12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Except as provided below in this Section 14.12,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10 is intended to benefit, and to be enforceable by, in addition to the Parties, the other Regeneron Indemnitees and Sanofi Indemnitees as if they were parties hereto, but this Agreement is only enforceable by the Parties.</w:t>
      </w:r>
    </w:p>
    <w:p>
      <w:pPr>
        <w:spacing w:after="0" w:line="175"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14.13 </w:t>
      </w:r>
      <w:r>
        <w:rPr>
          <w:rFonts w:ascii="Arial" w:cs="Arial" w:eastAsia="Arial" w:hAnsi="Arial"/>
          <w:sz w:val="21"/>
          <w:szCs w:val="21"/>
          <w:u w:val="single" w:color="auto"/>
          <w:color w:val="auto"/>
        </w:rPr>
        <w:t>Relationship of the Parties</w:t>
      </w:r>
      <w:r>
        <w:rPr>
          <w:rFonts w:ascii="Arial" w:cs="Arial" w:eastAsia="Arial" w:hAnsi="Arial"/>
          <w:sz w:val="21"/>
          <w:szCs w:val="21"/>
          <w:color w:val="auto"/>
        </w:rPr>
        <w:t>. Each Party shall bear its own costs and expenses incurred in the performance of its obligations hereunder without charge or expense to the other Party except as expressly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380"/>
          </w:cols>
          <w:pgMar w:left="240" w:top="631" w:right="279" w:bottom="1440" w:gutter="0" w:footer="0" w:header="0"/>
        </w:sectPr>
      </w:pPr>
    </w:p>
    <w:bookmarkStart w:id="227" w:name="page228"/>
    <w:bookmarkEnd w:id="227"/>
    <w:p>
      <w:pPr>
        <w:ind w:right="80"/>
        <w:spacing w:after="0" w:line="253" w:lineRule="auto"/>
        <w:rPr>
          <w:sz w:val="20"/>
          <w:szCs w:val="20"/>
          <w:color w:val="auto"/>
        </w:rPr>
      </w:pPr>
      <w:r>
        <w:rPr>
          <w:rFonts w:ascii="Arial" w:cs="Arial" w:eastAsia="Arial" w:hAnsi="Arial"/>
          <w:sz w:val="22"/>
          <w:szCs w:val="22"/>
          <w:color w:val="auto"/>
        </w:rPr>
        <w:t>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8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Limitation of Damages</w:t>
      </w:r>
      <w:r>
        <w:rPr>
          <w:rFonts w:ascii="Arial" w:cs="Arial" w:eastAsia="Arial" w:hAnsi="Arial"/>
          <w:sz w:val="22"/>
          <w:szCs w:val="22"/>
          <w:color w:val="auto"/>
        </w:rPr>
        <w:t>. IN NO EVENT SHALL REGENERON OR SANOFI BE LIABLE FOR SPECIAL, PUNITIVE, INDIRECT, INCIDENTAL OR CONSEQUENTIAL DAMAGES (INCLUDING,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 PARTY CLAIM THAT IS COVERED BY THE INDEMNIFICATION OBLIGATIONS IN ARTICLE 10.</w:t>
      </w:r>
    </w:p>
    <w:p>
      <w:pPr>
        <w:spacing w:after="0" w:line="188"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 xml:space="preserve">14.15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two (2) years thereafter, neither Party shall solicit or otherwise induce or attempt to induce any employee of the other Party directly involved in the performance of the IO Discovery Program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33" w:lineRule="exact"/>
        <w:rPr>
          <w:sz w:val="20"/>
          <w:szCs w:val="20"/>
          <w:color w:val="auto"/>
        </w:rPr>
      </w:pPr>
    </w:p>
    <w:p>
      <w:pPr>
        <w:ind w:left="260" w:firstLine="1288"/>
        <w:spacing w:after="0" w:line="262" w:lineRule="auto"/>
        <w:tabs>
          <w:tab w:leader="none" w:pos="197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w:t>
      </w:r>
    </w:p>
    <w:p>
      <w:pPr>
        <w:spacing w:after="0" w:line="180" w:lineRule="exact"/>
        <w:rPr>
          <w:rFonts w:ascii="Arial" w:cs="Arial" w:eastAsia="Arial" w:hAnsi="Arial"/>
          <w:sz w:val="21"/>
          <w:szCs w:val="21"/>
          <w:color w:val="auto"/>
        </w:rPr>
      </w:pPr>
    </w:p>
    <w:p>
      <w:pPr>
        <w:ind w:left="260" w:firstLine="1288"/>
        <w:spacing w:after="0" w:line="294" w:lineRule="auto"/>
        <w:tabs>
          <w:tab w:leader="none" w:pos="198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captions of this Agreement are for convenience or reference only and in no way define, describe, extend or limit the scope of intent of this Agreement or in the intent of any provision contained in this Agreement. Unless otherwise specified, (i) the references in this Agreement to any Article, Section, Schedule or Appendix means references to such Article, Section, Schedule or Appendix of this Agreement, (ii) references in any section to any clause are references to such clause of such section and (iii) unless the context otherwise requires, references to any agreement, instrument or other document in this Agreement refer to such agreement, instrument or other document as originally executed or, if subsequently varied, replaced or supplemented from time to time, so varied, replaced or supplemented and in effect at the relevant time of reference thereto.</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380"/>
          </w:cols>
          <w:pgMar w:left="240" w:top="631" w:right="279" w:bottom="1440" w:gutter="0" w:footer="0" w:header="0"/>
        </w:sectPr>
      </w:pPr>
    </w:p>
    <w:bookmarkStart w:id="228" w:name="page229"/>
    <w:bookmarkEnd w:id="228"/>
    <w:p>
      <w:pPr>
        <w:ind w:firstLine="1288"/>
        <w:spacing w:after="0" w:line="250" w:lineRule="auto"/>
        <w:tabs>
          <w:tab w:leader="none" w:pos="171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Whenever a provision of this Agreement requires an approval or consent by a Party to this Agreement within a specified time period and notification of such approval or consent is not delivered within such time period,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188" w:lineRule="exact"/>
        <w:rPr>
          <w:rFonts w:ascii="Arial" w:cs="Arial" w:eastAsia="Arial" w:hAnsi="Arial"/>
          <w:sz w:val="22"/>
          <w:szCs w:val="22"/>
          <w:color w:val="auto"/>
        </w:rPr>
      </w:pPr>
    </w:p>
    <w:p>
      <w:pPr>
        <w:ind w:right="160" w:firstLine="1288"/>
        <w:spacing w:after="0" w:line="276" w:lineRule="auto"/>
        <w:tabs>
          <w:tab w:leader="none" w:pos="172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event of any conflict between this Agreement and the Schedules, Exhibits or Appendices hereto, this Agreement shall prevail.</w:t>
      </w:r>
    </w:p>
    <w:p>
      <w:pPr>
        <w:spacing w:after="0" w:line="3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140"/>
          </w:cols>
          <w:pgMar w:left="500" w:top="632" w:right="259" w:bottom="1440" w:gutter="0" w:footer="0" w:header="0"/>
        </w:sectPr>
      </w:pPr>
    </w:p>
    <w:bookmarkStart w:id="229" w:name="page230"/>
    <w:bookmarkEnd w:id="229"/>
    <w:p>
      <w:pPr>
        <w:ind w:firstLine="648"/>
        <w:spacing w:after="0" w:line="343" w:lineRule="auto"/>
        <w:rPr>
          <w:sz w:val="20"/>
          <w:szCs w:val="20"/>
          <w:color w:val="auto"/>
        </w:rPr>
      </w:pPr>
      <w:r>
        <w:rPr>
          <w:rFonts w:ascii="Arial" w:cs="Arial" w:eastAsia="Arial" w:hAnsi="Arial"/>
          <w:sz w:val="19"/>
          <w:szCs w:val="19"/>
          <w:color w:val="auto"/>
        </w:rPr>
        <w:t>IN WITNESS WHEREOF, Sanofi and Regeneron have caused this Amended and Restated Immuno-Oncology Discovery and Development Agreement to be executed by their duly authorized representatives as of the day and year first above written.</w:t>
      </w:r>
    </w:p>
    <w:p>
      <w:pPr>
        <w:spacing w:after="0" w:line="200" w:lineRule="exact"/>
        <w:rPr>
          <w:sz w:val="20"/>
          <w:szCs w:val="20"/>
          <w:color w:val="auto"/>
        </w:rPr>
      </w:pPr>
    </w:p>
    <w:p>
      <w:pPr>
        <w:spacing w:after="0" w:line="377"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Philippe Grillet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-17780</wp:posOffset>
            </wp:positionV>
            <wp:extent cx="1425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7">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Philippe Grillet</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Kerry Reinertsen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-17780</wp:posOffset>
            </wp:positionV>
            <wp:extent cx="15163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8">
                      <a:extLst>
                        <a:ext uri="{28A0092B-C50C-407E-A947-70E740481C1C}"/>
                      </a:extLst>
                    </a:blip>
                    <a:srcRect/>
                    <a:stretch>
                      <a:fillRect/>
                    </a:stretch>
                  </pic:blipFill>
                  <pic:spPr bwMode="auto">
                    <a:xfrm>
                      <a:off x="0" y="0"/>
                      <a:ext cx="151638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Kerry Reinertsen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Strategic Alliances</w:t>
      </w:r>
    </w:p>
    <w:p>
      <w:pPr>
        <w:sectPr>
          <w:pgSz w:w="11900" w:h="16838" w:orient="portrait"/>
          <w:cols w:equalWidth="0" w:num="1">
            <w:col w:w="11160"/>
          </w:cols>
          <w:pgMar w:left="240" w:top="631" w:right="499" w:bottom="1440" w:gutter="0" w:footer="0" w:header="0"/>
        </w:sectPr>
      </w:pPr>
    </w:p>
    <w:bookmarkStart w:id="230" w:name="page231"/>
    <w:bookmarkEnd w:id="230"/>
    <w:p>
      <w:pPr>
        <w:ind w:left="4728"/>
        <w:spacing w:after="0"/>
        <w:rPr>
          <w:sz w:val="20"/>
          <w:szCs w:val="20"/>
          <w:color w:val="auto"/>
        </w:rPr>
      </w:pPr>
      <w:r>
        <w:rPr>
          <w:rFonts w:ascii="Arial" w:cs="Arial" w:eastAsia="Arial" w:hAnsi="Arial"/>
          <w:sz w:val="22"/>
          <w:szCs w:val="22"/>
          <w:color w:val="auto"/>
        </w:rPr>
        <w:t>SCHEDULE 1</w:t>
      </w:r>
    </w:p>
    <w:p>
      <w:pPr>
        <w:spacing w:after="0" w:line="200" w:lineRule="exact"/>
        <w:rPr>
          <w:sz w:val="20"/>
          <w:szCs w:val="20"/>
          <w:color w:val="auto"/>
        </w:rPr>
      </w:pPr>
    </w:p>
    <w:p>
      <w:pPr>
        <w:spacing w:after="0" w:line="236" w:lineRule="exact"/>
        <w:rPr>
          <w:sz w:val="20"/>
          <w:szCs w:val="20"/>
          <w:color w:val="auto"/>
        </w:rPr>
      </w:pPr>
    </w:p>
    <w:p>
      <w:pPr>
        <w:jc w:val="right"/>
        <w:ind w:right="2859"/>
        <w:spacing w:after="0"/>
        <w:rPr>
          <w:sz w:val="20"/>
          <w:szCs w:val="20"/>
          <w:color w:val="auto"/>
        </w:rPr>
      </w:pPr>
      <w:r>
        <w:rPr>
          <w:rFonts w:ascii="Arial" w:cs="Arial" w:eastAsia="Arial" w:hAnsi="Arial"/>
          <w:sz w:val="22"/>
          <w:szCs w:val="22"/>
          <w:u w:val="single" w:color="auto"/>
          <w:color w:val="auto"/>
        </w:rPr>
        <w:t>IO Discovery Program Target Profiles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 w:hanging="328"/>
        <w:spacing w:after="0"/>
        <w:tabs>
          <w:tab w:leader="none" w:pos="32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 bi-specific Antibody that targets solely BCMA and CD3</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 bi-specific Antibody that targets solely MUC16 and CD3</w:t>
      </w:r>
    </w:p>
    <w:p>
      <w:pPr>
        <w:sectPr>
          <w:pgSz w:w="11900" w:h="16838" w:orient="portrait"/>
          <w:cols w:equalWidth="0" w:num="1">
            <w:col w:w="9887"/>
          </w:cols>
          <w:pgMar w:left="572" w:top="848" w:right="1440" w:bottom="1440" w:gutter="0" w:footer="0" w:header="0"/>
        </w:sectPr>
      </w:pPr>
    </w:p>
    <w:bookmarkStart w:id="231" w:name="page232"/>
    <w:bookmarkEnd w:id="231"/>
    <w:p>
      <w:pPr>
        <w:jc w:val="right"/>
        <w:ind w:right="2659"/>
        <w:spacing w:after="0"/>
        <w:rPr>
          <w:sz w:val="20"/>
          <w:szCs w:val="20"/>
          <w:color w:val="auto"/>
        </w:rPr>
      </w:pPr>
      <w:r>
        <w:rPr>
          <w:rFonts w:ascii="Arial" w:cs="Arial" w:eastAsia="Arial" w:hAnsi="Arial"/>
          <w:sz w:val="22"/>
          <w:szCs w:val="22"/>
          <w:color w:val="auto"/>
        </w:rPr>
        <w:t>SCHEDULE 2 – Restricted Target Profiles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739" w:right="1440" w:bottom="1440" w:gutter="0" w:footer="0" w:header="0"/>
        </w:sectPr>
      </w:pPr>
    </w:p>
    <w:bookmarkStart w:id="232" w:name="page233"/>
    <w:bookmarkEnd w:id="232"/>
    <w:p>
      <w:pPr>
        <w:ind w:left="5060"/>
        <w:spacing w:after="0"/>
        <w:rPr>
          <w:sz w:val="20"/>
          <w:szCs w:val="20"/>
          <w:color w:val="auto"/>
        </w:rPr>
      </w:pPr>
      <w:r>
        <w:rPr>
          <w:rFonts w:ascii="Arial" w:cs="Arial" w:eastAsia="Arial" w:hAnsi="Arial"/>
          <w:sz w:val="22"/>
          <w:szCs w:val="22"/>
          <w:color w:val="auto"/>
        </w:rPr>
        <w:t>SCHEDULE 3</w:t>
      </w:r>
    </w:p>
    <w:p>
      <w:pPr>
        <w:spacing w:after="0" w:line="200" w:lineRule="exact"/>
        <w:rPr>
          <w:sz w:val="20"/>
          <w:szCs w:val="20"/>
          <w:color w:val="auto"/>
        </w:rPr>
      </w:pPr>
    </w:p>
    <w:p>
      <w:pPr>
        <w:spacing w:after="0" w:line="236" w:lineRule="exact"/>
        <w:rPr>
          <w:sz w:val="20"/>
          <w:szCs w:val="20"/>
          <w:color w:val="auto"/>
        </w:rPr>
      </w:pPr>
    </w:p>
    <w:p>
      <w:pPr>
        <w:jc w:val="right"/>
        <w:ind w:right="3639"/>
        <w:spacing w:after="0"/>
        <w:rPr>
          <w:sz w:val="20"/>
          <w:szCs w:val="20"/>
          <w:color w:val="auto"/>
        </w:rPr>
      </w:pPr>
      <w:r>
        <w:rPr>
          <w:rFonts w:ascii="Arial" w:cs="Arial" w:eastAsia="Arial" w:hAnsi="Arial"/>
          <w:sz w:val="22"/>
          <w:szCs w:val="22"/>
          <w:u w:val="single" w:color="auto"/>
          <w:color w:val="auto"/>
        </w:rPr>
        <w:t>Manufacturing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47" w:right="1440" w:bottom="1440" w:gutter="0" w:footer="0" w:header="0"/>
        </w:sectPr>
      </w:pPr>
    </w:p>
    <w:bookmarkStart w:id="233" w:name="page234"/>
    <w:bookmarkEnd w:id="233"/>
    <w:p>
      <w:pPr>
        <w:jc w:val="center"/>
        <w:ind w:right="-1200"/>
        <w:spacing w:after="0"/>
        <w:rPr>
          <w:sz w:val="20"/>
          <w:szCs w:val="20"/>
          <w:color w:val="auto"/>
        </w:rPr>
      </w:pPr>
      <w:r>
        <w:rPr>
          <w:rFonts w:ascii="Arial" w:cs="Arial" w:eastAsia="Arial" w:hAnsi="Arial"/>
          <w:sz w:val="19"/>
          <w:szCs w:val="19"/>
          <w:color w:val="auto"/>
        </w:rPr>
        <w:t>SCHEDULE 4</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Notices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If to Sanofi: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 Biotechnology SAS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President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Copy (which shall not constitute notice)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Sanofi</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 rue La Boétie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75008 Paris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Executive Vice President and General Counsel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If to Regeneron: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General Counsel</w:t>
      </w:r>
    </w:p>
    <w:p>
      <w:pPr>
        <w:sectPr>
          <w:pgSz w:w="11900" w:h="16838" w:orient="portrait"/>
          <w:cols w:equalWidth="0" w:num="1">
            <w:col w:w="10219"/>
          </w:cols>
          <w:pgMar w:left="240" w:top="631" w:right="1440" w:bottom="1440" w:gutter="0" w:footer="0" w:header="0"/>
        </w:sectPr>
      </w:pPr>
    </w:p>
    <w:bookmarkStart w:id="234" w:name="page235"/>
    <w:bookmarkEnd w:id="234"/>
    <w:p>
      <w:pPr>
        <w:jc w:val="center"/>
        <w:ind w:right="-1020"/>
        <w:spacing w:after="0"/>
        <w:rPr>
          <w:sz w:val="20"/>
          <w:szCs w:val="20"/>
          <w:color w:val="auto"/>
        </w:rPr>
      </w:pPr>
      <w:r>
        <w:rPr>
          <w:rFonts w:ascii="Arial" w:cs="Arial" w:eastAsia="Arial" w:hAnsi="Arial"/>
          <w:sz w:val="22"/>
          <w:szCs w:val="22"/>
          <w:color w:val="auto"/>
        </w:rPr>
        <w:t>SCHEDULE 5</w:t>
      </w:r>
    </w:p>
    <w:p>
      <w:pPr>
        <w:spacing w:after="0" w:line="260" w:lineRule="exact"/>
        <w:rPr>
          <w:sz w:val="20"/>
          <w:szCs w:val="20"/>
          <w:color w:val="auto"/>
        </w:rPr>
      </w:pPr>
    </w:p>
    <w:p>
      <w:pPr>
        <w:jc w:val="right"/>
        <w:ind w:right="3479"/>
        <w:spacing w:after="0"/>
        <w:rPr>
          <w:sz w:val="20"/>
          <w:szCs w:val="20"/>
          <w:color w:val="auto"/>
        </w:rPr>
      </w:pPr>
      <w:r>
        <w:rPr>
          <w:rFonts w:ascii="Arial" w:cs="Arial" w:eastAsia="Arial" w:hAnsi="Arial"/>
          <w:sz w:val="22"/>
          <w:szCs w:val="22"/>
          <w:u w:val="single" w:color="auto"/>
          <w:color w:val="auto"/>
        </w:rPr>
        <w:t>Quarterly IOSC Update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039"/>
          </w:cols>
          <w:pgMar w:left="420" w:top="631" w:right="1440" w:bottom="1440" w:gutter="0" w:footer="0" w:header="0"/>
        </w:sectPr>
      </w:pPr>
    </w:p>
    <w:bookmarkStart w:id="235" w:name="page236"/>
    <w:bookmarkEnd w:id="235"/>
    <w:p>
      <w:pPr>
        <w:jc w:val="right"/>
        <w:ind w:right="3859"/>
        <w:spacing w:after="0"/>
        <w:rPr>
          <w:sz w:val="20"/>
          <w:szCs w:val="20"/>
          <w:color w:val="auto"/>
        </w:rPr>
      </w:pPr>
      <w:r>
        <w:rPr>
          <w:rFonts w:ascii="Arial" w:cs="Arial" w:eastAsia="Arial" w:hAnsi="Arial"/>
          <w:sz w:val="22"/>
          <w:szCs w:val="22"/>
          <w:color w:val="auto"/>
        </w:rPr>
        <w:t>SCHEDULE 6</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9"/>
          <w:szCs w:val="19"/>
          <w:u w:val="single" w:color="auto"/>
          <w:color w:val="auto"/>
        </w:rPr>
        <w:t>Opt-In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631" w:right="1440" w:bottom="1440" w:gutter="0" w:footer="0" w:header="0"/>
        </w:sectPr>
      </w:pPr>
    </w:p>
    <w:bookmarkStart w:id="236" w:name="page237"/>
    <w:bookmarkEnd w:id="236"/>
    <w:p>
      <w:pPr>
        <w:ind w:left="5020"/>
        <w:spacing w:after="0"/>
        <w:rPr>
          <w:sz w:val="20"/>
          <w:szCs w:val="20"/>
          <w:color w:val="auto"/>
        </w:rPr>
      </w:pPr>
      <w:r>
        <w:rPr>
          <w:rFonts w:ascii="Arial" w:cs="Arial" w:eastAsia="Arial" w:hAnsi="Arial"/>
          <w:sz w:val="22"/>
          <w:szCs w:val="22"/>
          <w:color w:val="auto"/>
        </w:rPr>
        <w:t>SCHEDULE 7</w:t>
      </w:r>
    </w:p>
    <w:p>
      <w:pPr>
        <w:spacing w:after="0" w:line="200" w:lineRule="exact"/>
        <w:rPr>
          <w:sz w:val="20"/>
          <w:szCs w:val="20"/>
          <w:color w:val="auto"/>
        </w:rPr>
      </w:pPr>
    </w:p>
    <w:p>
      <w:pPr>
        <w:spacing w:after="0" w:line="236" w:lineRule="exact"/>
        <w:rPr>
          <w:sz w:val="20"/>
          <w:szCs w:val="20"/>
          <w:color w:val="auto"/>
        </w:rPr>
      </w:pPr>
    </w:p>
    <w:p>
      <w:pPr>
        <w:jc w:val="right"/>
        <w:ind w:right="2359"/>
        <w:spacing w:after="0"/>
        <w:rPr>
          <w:sz w:val="20"/>
          <w:szCs w:val="20"/>
          <w:color w:val="auto"/>
        </w:rPr>
      </w:pPr>
      <w:r>
        <w:rPr>
          <w:rFonts w:ascii="Arial" w:cs="Arial" w:eastAsia="Arial" w:hAnsi="Arial"/>
          <w:sz w:val="22"/>
          <w:szCs w:val="22"/>
          <w:color w:val="auto"/>
        </w:rPr>
        <w:t>Terminated IO Discovery Program IO Antibodies</w:t>
      </w:r>
    </w:p>
    <w:p>
      <w:pPr>
        <w:spacing w:after="0" w:line="200" w:lineRule="exact"/>
        <w:rPr>
          <w:sz w:val="20"/>
          <w:szCs w:val="20"/>
          <w:color w:val="auto"/>
        </w:rPr>
      </w:pPr>
    </w:p>
    <w:p>
      <w:pPr>
        <w:spacing w:after="0" w:line="23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667385</wp:posOffset>
            </wp:positionV>
            <wp:extent cx="7254875" cy="1140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9">
                      <a:extLst>
                        <a:ext uri="{28A0092B-C50C-407E-A947-70E740481C1C}"/>
                      </a:extLst>
                    </a:blip>
                    <a:srcRect/>
                    <a:stretch>
                      <a:fillRect/>
                    </a:stretch>
                  </pic:blipFill>
                  <pic:spPr bwMode="auto">
                    <a:xfrm>
                      <a:off x="0" y="0"/>
                      <a:ext cx="725487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REGN3767 (an IO Antibody that targets solely LAG3)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REGN4659 (an IO Antibody that targets solely CTLA-4)</w:t>
      </w:r>
    </w:p>
    <w:p>
      <w:pPr>
        <w:sectPr>
          <w:pgSz w:w="11900" w:h="16838" w:orient="portrait"/>
          <w:cols w:equalWidth="0" w:num="1">
            <w:col w:w="10179"/>
          </w:cols>
          <w:pgMar w:left="280" w:top="847" w:right="1440"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Form of Opt-In Notice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[Sanofi Letterhead]</w:t>
      </w:r>
    </w:p>
    <w:p>
      <w:pPr>
        <w:spacing w:after="0" w:line="200" w:lineRule="exact"/>
        <w:rPr>
          <w:sz w:val="20"/>
          <w:szCs w:val="20"/>
          <w:color w:val="auto"/>
        </w:rPr>
      </w:pP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Regeneron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Tarrytown, New York 10591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 &amp;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Copy: General Counsel Regeneron Pharmaceuticals, Inc.</w:t>
      </w:r>
    </w:p>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Reference is hereby made to the Amended and Restated Immuno-Oncology Discovery and Development Agreement (the “IO Discovery Agreement”) by and between Sanofi Biotechnology SAS, a societe par actions simplifiée, organized under the laws of France, having a principal place of business located at 54, rue La Boétie, 75008 Paris, France, and Regeneron Pharmaceuticals, Inc., a New York corporation with a principal place of business located at 777 Old Saw Mill River Road, Tarrytown, New York 10591. Capitalized terms used herein shall have the defined meanings set forth in the IO Discovery Agreement.</w:t>
      </w:r>
    </w:p>
    <w:p>
      <w:pPr>
        <w:spacing w:after="0" w:line="147"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Pursuant to Section [__] of the IO Discovery Agreement, Sanofi hereby provides this Opt-In Notice to Regeneron to license [INSERT PRODUCT CANDIDATE FAMILY] under the IO License and Collaboration Agreement. Sanofi has determined, in its reasonable opinion, that the Parties [are][OR][are not] required by applicable Law to file an HSR Filing with respect to the transactions contemplated by the IO License and Collaboration Agreement with respect to [INSERT PRODUCT CANDIDATE FAMILY]. Effective immediately, [subject to Section 6.1(a) of the IO License and Collaboration Agreement, ]each member of [INSERT PRODUCT CANDIDATE FAMILY] shall be considered an IO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SANOFI BIOTECHNOLOGY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360"/>
          </w:cols>
          <w:pgMar w:left="240" w:top="848" w:right="29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Press Release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848" w:right="1440" w:bottom="1440" w:gutter="0" w:footer="0" w:header="0"/>
        </w:sectPr>
      </w:pPr>
    </w:p>
    <w:bookmarkStart w:id="239" w:name="page240"/>
    <w:bookmarkEnd w:id="2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4D4F53"/>
        </w:rPr>
        <w:t>Press Release</w:t>
      </w:r>
    </w:p>
    <w:p>
      <w:pPr>
        <w:spacing w:after="0" w:line="249" w:lineRule="exact"/>
        <w:rPr>
          <w:sz w:val="20"/>
          <w:szCs w:val="20"/>
          <w:color w:val="auto"/>
        </w:rPr>
      </w:pPr>
    </w:p>
    <w:p>
      <w:pPr>
        <w:ind w:right="180"/>
        <w:spacing w:after="0" w:line="259" w:lineRule="auto"/>
        <w:rPr>
          <w:sz w:val="20"/>
          <w:szCs w:val="20"/>
          <w:color w:val="auto"/>
        </w:rPr>
      </w:pPr>
      <w:r>
        <w:rPr>
          <w:rFonts w:ascii="Arial" w:cs="Arial" w:eastAsia="Arial" w:hAnsi="Arial"/>
          <w:sz w:val="29"/>
          <w:szCs w:val="29"/>
          <w:b w:val="1"/>
          <w:bCs w:val="1"/>
          <w:color w:val="0F4DBC"/>
        </w:rPr>
        <w:t>Regeneron and Sanofi Restructure Immuno-Oncology Collaboration for Discovery and Development Programs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Companies select two clinical-stage bispecific antibodies for ongoing collaboration</w:t>
      </w:r>
    </w:p>
    <w:p>
      <w:pPr>
        <w:spacing w:after="0" w:line="18"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i w:val="1"/>
          <w:iCs w:val="1"/>
          <w:color w:val="auto"/>
        </w:rPr>
        <w:t>Regeneron retains full rights to all its other investigational immuno-oncology programs; Sanofi able to independently pursue own immuno-oncology programs</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auto"/>
        </w:rPr>
        <w:t xml:space="preserve">Tarrytown, New York and Paris, France (January 7, 2019) </w:t>
      </w:r>
      <w:r>
        <w:rPr>
          <w:rFonts w:ascii="Arial" w:cs="Arial" w:eastAsia="Arial" w:hAnsi="Arial"/>
          <w:sz w:val="20"/>
          <w:szCs w:val="20"/>
          <w:color w:val="auto"/>
        </w:rPr>
        <w:t>-- Regeneron Pharmaceuticals, Inc. (NASDAQ:</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REGN</w:t>
      </w:r>
      <w:r>
        <w:rPr>
          <w:rFonts w:ascii="Arial" w:cs="Arial" w:eastAsia="Arial" w:hAnsi="Arial"/>
          <w:sz w:val="21"/>
          <w:szCs w:val="2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and Sanofi</w:t>
      </w:r>
      <w:r>
        <w:rPr>
          <w:rFonts w:ascii="Arial" w:cs="Arial" w:eastAsia="Arial" w:hAnsi="Arial"/>
          <w:sz w:val="20"/>
          <w:szCs w:val="20"/>
          <w:b w:val="1"/>
          <w:bCs w:val="1"/>
          <w:color w:val="auto"/>
        </w:rPr>
        <w:t xml:space="preserve"> </w:t>
      </w:r>
      <w:r>
        <w:rPr>
          <w:rFonts w:ascii="Arial" w:cs="Arial" w:eastAsia="Arial" w:hAnsi="Arial"/>
          <w:sz w:val="20"/>
          <w:szCs w:val="20"/>
          <w:color w:val="auto"/>
        </w:rPr>
        <w:t>have restructured their global Immuno-oncology Discovery and Development Agreement for new immuno-oncology cancer treatments. The 2015 Agreement was scheduled to end in approximately mid-2020, and this revision provides for ongoing collaborative development of two clinical-stage bispecifc antibody programs. The revised agreement allows Regeneron to retain all rights to its other immuno-oncology discovery and development programs and provides Sanofi increased flexibility to advance its early-stage immuno-oncology pipeline independently.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 the terms of the restructured Agreement:</w:t>
      </w:r>
    </w:p>
    <w:p>
      <w:pPr>
        <w:spacing w:after="0" w:line="24" w:lineRule="exact"/>
        <w:rPr>
          <w:sz w:val="20"/>
          <w:szCs w:val="20"/>
          <w:color w:val="auto"/>
        </w:rPr>
      </w:pPr>
    </w:p>
    <w:p>
      <w:pPr>
        <w:ind w:left="340" w:right="40" w:hanging="332"/>
        <w:spacing w:after="0" w:line="239"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Sanofi will pay Regeneron $462 million representing the balance of payments due under the original Immuno-oncology Agreement, which covers the Sanofi share of the immuno-oncology discovery program costs for the last quarter of 2018 and up to $120 million in development costs for the two selected clinical-stage bispecific antibodies, plus the termination fee for the other programs under the original immuno-oncology agreement.</w:t>
      </w:r>
    </w:p>
    <w:p>
      <w:pPr>
        <w:spacing w:after="0" w:line="2" w:lineRule="exact"/>
        <w:rPr>
          <w:rFonts w:ascii="Arial" w:cs="Arial" w:eastAsia="Arial" w:hAnsi="Arial"/>
          <w:sz w:val="20"/>
          <w:szCs w:val="20"/>
          <w:color w:val="auto"/>
        </w:rPr>
      </w:pPr>
    </w:p>
    <w:p>
      <w:pPr>
        <w:ind w:left="340" w:right="160" w:hanging="332"/>
        <w:spacing w:after="0" w:line="239"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Sanofi secures the right to opt-in to the BCMAxCD3 and MUC16xCD3 bispecific programs when proof of concept is achieved or when the allocated funding is expended.</w:t>
      </w:r>
    </w:p>
    <w:p>
      <w:pPr>
        <w:spacing w:after="0" w:line="1" w:lineRule="exact"/>
        <w:rPr>
          <w:rFonts w:ascii="Arial" w:cs="Arial" w:eastAsia="Arial" w:hAnsi="Arial"/>
          <w:sz w:val="20"/>
          <w:szCs w:val="20"/>
          <w:color w:val="auto"/>
        </w:rPr>
      </w:pPr>
    </w:p>
    <w:p>
      <w:pPr>
        <w:ind w:left="340" w:right="100" w:hanging="332"/>
        <w:spacing w:after="0" w:line="239"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Regeneron will commit up to $70 million to further develop the BCMAxCD3 bispecific antibody for multiple myeloma and up to $50 million to further develop the MUC16xCD3 bispecific for mucin-16 expressing cancers.</w:t>
      </w:r>
    </w:p>
    <w:p>
      <w:pPr>
        <w:spacing w:after="0" w:line="1" w:lineRule="exact"/>
        <w:rPr>
          <w:rFonts w:ascii="Arial" w:cs="Arial" w:eastAsia="Arial" w:hAnsi="Arial"/>
          <w:sz w:val="20"/>
          <w:szCs w:val="20"/>
          <w:color w:val="auto"/>
        </w:rPr>
      </w:pPr>
    </w:p>
    <w:p>
      <w:pPr>
        <w:ind w:left="340" w:right="820" w:hanging="332"/>
        <w:spacing w:after="0" w:line="239"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Post opt-in, Sanofi will lead development and commercialization of the BCMAxCD3 bispecific and fund 100 percent of development costs, with Regeneron reimbursing up to 50 percent out of its share of collaboration profits. Sanofi and Regeneron will share global profits equally.</w:t>
      </w:r>
    </w:p>
    <w:p>
      <w:pPr>
        <w:spacing w:after="0" w:line="1" w:lineRule="exact"/>
        <w:rPr>
          <w:rFonts w:ascii="Arial" w:cs="Arial" w:eastAsia="Arial" w:hAnsi="Arial"/>
          <w:sz w:val="20"/>
          <w:szCs w:val="20"/>
          <w:color w:val="auto"/>
        </w:rPr>
      </w:pPr>
    </w:p>
    <w:p>
      <w:pPr>
        <w:ind w:left="340" w:right="180" w:hanging="332"/>
        <w:spacing w:after="0" w:line="239"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Post opt-in, Regeneron will lead MUC16xCD3 bispecific development and lead commercialization in the U.S. The companies will share development costs and global profits equally. Sanofi will lead commercialization outside the U.S.</w:t>
      </w:r>
    </w:p>
    <w:p>
      <w:pPr>
        <w:spacing w:after="0" w:line="1" w:lineRule="exact"/>
        <w:rPr>
          <w:rFonts w:ascii="Arial" w:cs="Arial" w:eastAsia="Arial" w:hAnsi="Arial"/>
          <w:sz w:val="20"/>
          <w:szCs w:val="20"/>
          <w:color w:val="auto"/>
        </w:rPr>
      </w:pPr>
    </w:p>
    <w:p>
      <w:pPr>
        <w:ind w:left="340" w:right="600" w:hanging="332"/>
        <w:spacing w:after="0" w:line="212" w:lineRule="auto"/>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companies’ ongoing collaboration for the development and commercialization of Libtayo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(cemiplimab-rwlc), a PD-1 antibody, is unaffected by the amended Discovery and Development Agreement.</w:t>
      </w:r>
    </w:p>
    <w:p>
      <w:pPr>
        <w:spacing w:after="0" w:line="2" w:lineRule="exact"/>
        <w:rPr>
          <w:rFonts w:ascii="Arial" w:cs="Arial" w:eastAsia="Arial" w:hAnsi="Arial"/>
          <w:sz w:val="20"/>
          <w:szCs w:val="20"/>
          <w:color w:val="auto"/>
        </w:rPr>
      </w:pPr>
    </w:p>
    <w:p>
      <w:pPr>
        <w:ind w:left="340" w:hanging="332"/>
        <w:spacing w:after="0"/>
        <w:tabs>
          <w:tab w:leader="none" w:pos="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Regeneron retains full rights to its other immuno-oncology programs.</w:t>
      </w:r>
    </w:p>
    <w:p>
      <w:pPr>
        <w:sectPr>
          <w:pgSz w:w="11900" w:h="16838" w:orient="portrait"/>
          <w:cols w:equalWidth="0" w:num="1">
            <w:col w:w="11420"/>
          </w:cols>
          <w:pgMar w:left="240" w:top="610" w:right="239" w:bottom="1440" w:gutter="0" w:footer="0" w:header="0"/>
        </w:sectPr>
      </w:pPr>
    </w:p>
    <w:bookmarkStart w:id="241" w:name="page242"/>
    <w:bookmarkEnd w:id="241"/>
    <w:p>
      <w:pPr>
        <w:spacing w:after="0" w:line="241" w:lineRule="auto"/>
        <w:rPr>
          <w:sz w:val="20"/>
          <w:szCs w:val="20"/>
          <w:color w:val="auto"/>
        </w:rPr>
      </w:pPr>
      <w:r>
        <w:rPr>
          <w:rFonts w:ascii="Arial" w:cs="Arial" w:eastAsia="Arial" w:hAnsi="Arial"/>
          <w:sz w:val="20"/>
          <w:szCs w:val="20"/>
          <w:color w:val="auto"/>
        </w:rPr>
        <w:t>Under the Immuno-Oncology License and Collaboration Agreement, the companies have developed and received U.S. Food and Drug Administration approval of Libtayo for advanced cutaneous squamous cell cancer (CSCC). A regulatory application for Libtayo has also been submitted in the EU. An ongoing joint clinical program is investigating Libtayo in multiple other cancers, and includes potentially pivotal trials in lung, cervical and skin cancers. Libtayo’s safety and efficacy has not been fully evaluated by any regulatory authority for indications beyond advanced CSCC.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 AND INDICATION FOR U.S. PATIENTS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most important information I should know about Libtayo?</w:t>
      </w:r>
    </w:p>
    <w:p>
      <w:pPr>
        <w:spacing w:after="0" w:line="24"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Libtayo is a medicine that may treat a type of skin cancer by working with your immune system. Libtayo can cause your immune system to attack normal organs and tissues in any area of your body and can affect the way they work. These problems can sometimes become severe or life-threatening and can lead to death. These problems may happen anytime during treatment or even after your treatment has ended.</w:t>
      </w:r>
    </w:p>
    <w:p>
      <w:pPr>
        <w:spacing w:after="0" w:line="196" w:lineRule="exact"/>
        <w:rPr>
          <w:sz w:val="20"/>
          <w:szCs w:val="20"/>
          <w:color w:val="auto"/>
        </w:rPr>
      </w:pPr>
    </w:p>
    <w:p>
      <w:pPr>
        <w:ind w:right="840"/>
        <w:spacing w:after="0" w:line="272" w:lineRule="auto"/>
        <w:rPr>
          <w:sz w:val="20"/>
          <w:szCs w:val="20"/>
          <w:color w:val="auto"/>
        </w:rPr>
      </w:pPr>
      <w:r>
        <w:rPr>
          <w:rFonts w:ascii="Arial" w:cs="Arial" w:eastAsia="Arial" w:hAnsi="Arial"/>
          <w:sz w:val="20"/>
          <w:szCs w:val="20"/>
          <w:b w:val="1"/>
          <w:bCs w:val="1"/>
          <w:color w:val="auto"/>
        </w:rPr>
        <w:t>Call or see your healthcare provider right away if you develop any symptoms of the following problems or these symptoms get worse:</w:t>
      </w:r>
    </w:p>
    <w:p>
      <w:pPr>
        <w:spacing w:after="0" w:line="194" w:lineRule="exact"/>
        <w:rPr>
          <w:sz w:val="20"/>
          <w:szCs w:val="20"/>
          <w:color w:val="auto"/>
        </w:rPr>
      </w:pPr>
    </w:p>
    <w:p>
      <w:pPr>
        <w:ind w:left="660" w:right="140" w:hanging="652"/>
        <w:spacing w:after="0" w:line="281"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Lung problems (pneumonitis). </w:t>
      </w:r>
      <w:r>
        <w:rPr>
          <w:rFonts w:ascii="Arial" w:cs="Arial" w:eastAsia="Arial" w:hAnsi="Arial"/>
          <w:sz w:val="20"/>
          <w:szCs w:val="20"/>
          <w:color w:val="auto"/>
        </w:rPr>
        <w:t>Signs and symptoms of pneumonitis may include new or worsening cough, shortness of</w:t>
      </w:r>
      <w:r>
        <w:rPr>
          <w:rFonts w:ascii="Arial" w:cs="Arial" w:eastAsia="Arial" w:hAnsi="Arial"/>
          <w:sz w:val="20"/>
          <w:szCs w:val="20"/>
          <w:b w:val="1"/>
          <w:bCs w:val="1"/>
          <w:color w:val="auto"/>
        </w:rPr>
        <w:t xml:space="preserve"> </w:t>
      </w:r>
      <w:r>
        <w:rPr>
          <w:rFonts w:ascii="Arial" w:cs="Arial" w:eastAsia="Arial" w:hAnsi="Arial"/>
          <w:sz w:val="20"/>
          <w:szCs w:val="20"/>
          <w:color w:val="auto"/>
        </w:rPr>
        <w:t>breath, and chest pain.</w:t>
      </w:r>
    </w:p>
    <w:p>
      <w:pPr>
        <w:spacing w:after="0" w:line="1" w:lineRule="exact"/>
        <w:rPr>
          <w:rFonts w:ascii="Arial" w:cs="Arial" w:eastAsia="Arial" w:hAnsi="Arial"/>
          <w:sz w:val="20"/>
          <w:szCs w:val="20"/>
          <w:color w:val="auto"/>
        </w:rPr>
      </w:pPr>
    </w:p>
    <w:p>
      <w:pPr>
        <w:ind w:left="660" w:right="360" w:hanging="652"/>
        <w:spacing w:after="0" w:line="277"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Intestinal problems (colitis) that can lead to tears or holes in your intestine. </w:t>
      </w:r>
      <w:r>
        <w:rPr>
          <w:rFonts w:ascii="Arial" w:cs="Arial" w:eastAsia="Arial" w:hAnsi="Arial"/>
          <w:sz w:val="20"/>
          <w:szCs w:val="20"/>
          <w:color w:val="auto"/>
        </w:rPr>
        <w:t>Signs and symptoms of colitis may</w:t>
      </w:r>
      <w:r>
        <w:rPr>
          <w:rFonts w:ascii="Arial" w:cs="Arial" w:eastAsia="Arial" w:hAnsi="Arial"/>
          <w:sz w:val="20"/>
          <w:szCs w:val="20"/>
          <w:b w:val="1"/>
          <w:bCs w:val="1"/>
          <w:color w:val="auto"/>
        </w:rPr>
        <w:t xml:space="preserve"> </w:t>
      </w:r>
      <w:r>
        <w:rPr>
          <w:rFonts w:ascii="Arial" w:cs="Arial" w:eastAsia="Arial" w:hAnsi="Arial"/>
          <w:sz w:val="20"/>
          <w:szCs w:val="20"/>
          <w:color w:val="auto"/>
        </w:rPr>
        <w:t>include diarrhea (loose stools) or more frequent bowel movements than usual; stools that are black, tarry, sticky or that have blood or mucus; and severe stomach-area (abdomen) pain or tenderness.</w:t>
      </w:r>
    </w:p>
    <w:p>
      <w:pPr>
        <w:jc w:val="both"/>
        <w:ind w:left="660" w:right="460" w:hanging="652"/>
        <w:spacing w:after="0" w:line="277"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Liver problems (hepatitis). </w:t>
      </w:r>
      <w:r>
        <w:rPr>
          <w:rFonts w:ascii="Arial" w:cs="Arial" w:eastAsia="Arial" w:hAnsi="Arial"/>
          <w:sz w:val="20"/>
          <w:szCs w:val="20"/>
          <w:color w:val="auto"/>
        </w:rPr>
        <w:t>Signs and symptoms of hepatitis may include yellowing of your skin or the whites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eyes, severe nausea or vomiting, pain on the right side of your stomach area (abdomen), drowsiness, dark urine (tea colored), bleeding or bruising more easily than normal, and feeling less hungry than usual.</w:t>
      </w:r>
    </w:p>
    <w:p>
      <w:pPr>
        <w:ind w:left="660" w:hanging="652"/>
        <w:spacing w:after="0" w:line="272"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Hormone gland problems </w:t>
      </w:r>
      <w:r>
        <w:rPr>
          <w:rFonts w:ascii="Arial" w:cs="Arial" w:eastAsia="Arial" w:hAnsi="Arial"/>
          <w:sz w:val="20"/>
          <w:szCs w:val="20"/>
          <w:color w:val="auto"/>
        </w:rPr>
        <w:t>(especially the adrenal glands, pituitary, thyroid and pancreas). Signs and symptoms that your</w:t>
      </w:r>
      <w:r>
        <w:rPr>
          <w:rFonts w:ascii="Arial" w:cs="Arial" w:eastAsia="Arial" w:hAnsi="Arial"/>
          <w:sz w:val="20"/>
          <w:szCs w:val="20"/>
          <w:b w:val="1"/>
          <w:bCs w:val="1"/>
          <w:color w:val="auto"/>
        </w:rPr>
        <w:t xml:space="preserve"> </w:t>
      </w:r>
      <w:r>
        <w:rPr>
          <w:rFonts w:ascii="Arial" w:cs="Arial" w:eastAsia="Arial" w:hAnsi="Arial"/>
          <w:sz w:val="20"/>
          <w:szCs w:val="20"/>
          <w:color w:val="auto"/>
        </w:rPr>
        <w:t>hormone glands are not working properly may include headaches that will not go away or unusual headaches, rapid heartbeat, increased sweating, extreme tiredness, weight gain or weight loss, dizziness or fainting, feeling more hungry or thirsty than usual, hair loss, feeling cold, constipation, deeper voice, very low blood pressure, urinating more often than usual, nausea or vomiting, stomach-area (abdomen) pain, and changes in mood or behavior, such as decreased sex drive, irritability, or forgetfulness.</w:t>
      </w:r>
    </w:p>
    <w:p>
      <w:pPr>
        <w:spacing w:after="0" w:line="2" w:lineRule="exact"/>
        <w:rPr>
          <w:rFonts w:ascii="Arial" w:cs="Arial" w:eastAsia="Arial" w:hAnsi="Arial"/>
          <w:sz w:val="20"/>
          <w:szCs w:val="20"/>
          <w:color w:val="auto"/>
        </w:rPr>
      </w:pPr>
    </w:p>
    <w:p>
      <w:pPr>
        <w:ind w:left="660" w:right="20" w:hanging="652"/>
        <w:spacing w:after="0" w:line="281"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Kidney problems, </w:t>
      </w:r>
      <w:r>
        <w:rPr>
          <w:rFonts w:ascii="Arial" w:cs="Arial" w:eastAsia="Arial" w:hAnsi="Arial"/>
          <w:sz w:val="20"/>
          <w:szCs w:val="20"/>
          <w:color w:val="auto"/>
        </w:rPr>
        <w:t>including nephritis and kidney failure. Signs of these problems may include decrease in your amount of</w:t>
      </w:r>
      <w:r>
        <w:rPr>
          <w:rFonts w:ascii="Arial" w:cs="Arial" w:eastAsia="Arial" w:hAnsi="Arial"/>
          <w:sz w:val="20"/>
          <w:szCs w:val="20"/>
          <w:b w:val="1"/>
          <w:bCs w:val="1"/>
          <w:color w:val="auto"/>
        </w:rPr>
        <w:t xml:space="preserve"> </w:t>
      </w:r>
      <w:r>
        <w:rPr>
          <w:rFonts w:ascii="Arial" w:cs="Arial" w:eastAsia="Arial" w:hAnsi="Arial"/>
          <w:sz w:val="20"/>
          <w:szCs w:val="20"/>
          <w:color w:val="auto"/>
        </w:rPr>
        <w:t>urine, blood in your urine, swelling in your ankles, and loss of appetite.</w:t>
      </w:r>
    </w:p>
    <w:p>
      <w:pPr>
        <w:spacing w:after="0" w:line="1" w:lineRule="exact"/>
        <w:rPr>
          <w:rFonts w:ascii="Arial" w:cs="Arial" w:eastAsia="Arial" w:hAnsi="Arial"/>
          <w:sz w:val="20"/>
          <w:szCs w:val="20"/>
          <w:color w:val="auto"/>
        </w:rPr>
      </w:pPr>
    </w:p>
    <w:p>
      <w:pPr>
        <w:ind w:left="660" w:right="620" w:hanging="652"/>
        <w:spacing w:after="0" w:line="281"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Skin problems. </w:t>
      </w:r>
      <w:r>
        <w:rPr>
          <w:rFonts w:ascii="Arial" w:cs="Arial" w:eastAsia="Arial" w:hAnsi="Arial"/>
          <w:sz w:val="20"/>
          <w:szCs w:val="20"/>
          <w:color w:val="auto"/>
        </w:rPr>
        <w:t>Signs of these problems may include rash, itching, skin blistering, and painful sores or ulcers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mouth, nose, throat, or genital area.</w:t>
      </w:r>
    </w:p>
    <w:p>
      <w:pPr>
        <w:spacing w:after="0" w:line="1" w:lineRule="exact"/>
        <w:rPr>
          <w:rFonts w:ascii="Arial" w:cs="Arial" w:eastAsia="Arial" w:hAnsi="Arial"/>
          <w:sz w:val="20"/>
          <w:szCs w:val="20"/>
          <w:color w:val="auto"/>
        </w:rPr>
      </w:pPr>
    </w:p>
    <w:p>
      <w:pPr>
        <w:ind w:left="660" w:right="80" w:hanging="652"/>
        <w:spacing w:after="0" w:line="284" w:lineRule="auto"/>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 xml:space="preserve">Problems in other organs. </w:t>
      </w:r>
      <w:r>
        <w:rPr>
          <w:rFonts w:ascii="Arial" w:cs="Arial" w:eastAsia="Arial" w:hAnsi="Arial"/>
          <w:sz w:val="20"/>
          <w:szCs w:val="20"/>
          <w:color w:val="auto"/>
        </w:rPr>
        <w:t>Signs of these problems may include headache, tiredness or weakness, sleepiness, changes</w:t>
      </w:r>
      <w:r>
        <w:rPr>
          <w:rFonts w:ascii="Arial" w:cs="Arial" w:eastAsia="Arial" w:hAnsi="Arial"/>
          <w:sz w:val="20"/>
          <w:szCs w:val="20"/>
          <w:b w:val="1"/>
          <w:bCs w:val="1"/>
          <w:color w:val="auto"/>
        </w:rPr>
        <w:t xml:space="preserve"> </w:t>
      </w:r>
      <w:r>
        <w:rPr>
          <w:rFonts w:ascii="Arial" w:cs="Arial" w:eastAsia="Arial" w:hAnsi="Arial"/>
          <w:sz w:val="20"/>
          <w:szCs w:val="20"/>
          <w:color w:val="auto"/>
        </w:rPr>
        <w:t>in heartbeat (such as beating fast, seeming to skip a beat, or a pounding sensation), confusion, fever, muscle weakness, balance problems, nausea, vomiting, stiff neck, memory problems, seizures (encephalitis), swollen lymph</w:t>
      </w:r>
    </w:p>
    <w:p>
      <w:pPr>
        <w:sectPr>
          <w:pgSz w:w="11900" w:h="16838" w:orient="portrait"/>
          <w:cols w:equalWidth="0" w:num="1">
            <w:col w:w="11380"/>
          </w:cols>
          <w:pgMar w:left="240" w:top="636" w:right="279" w:bottom="1440" w:gutter="0" w:footer="0" w:header="0"/>
        </w:sectPr>
      </w:pPr>
    </w:p>
    <w:bookmarkStart w:id="242" w:name="page243"/>
    <w:bookmarkEnd w:id="242"/>
    <w:p>
      <w:pPr>
        <w:ind w:left="660" w:right="240"/>
        <w:spacing w:after="0" w:line="268" w:lineRule="auto"/>
        <w:rPr>
          <w:sz w:val="20"/>
          <w:szCs w:val="20"/>
          <w:color w:val="auto"/>
        </w:rPr>
      </w:pPr>
      <w:r>
        <w:rPr>
          <w:rFonts w:ascii="Arial" w:cs="Arial" w:eastAsia="Arial" w:hAnsi="Arial"/>
          <w:sz w:val="20"/>
          <w:szCs w:val="20"/>
          <w:color w:val="auto"/>
        </w:rPr>
        <w:t>nodes, rash or tender lumps on skin, cough, shortness of breath, vision changes, or eye pain (sarcoidosis), seeing or hearing things that are not there (hallucinations), severe muscle weakness, low red blood cells (anemia), bruises on the skin or bleeding, and changes in eyesight.</w:t>
      </w:r>
    </w:p>
    <w:p>
      <w:pPr>
        <w:spacing w:after="0" w:line="2" w:lineRule="exact"/>
        <w:rPr>
          <w:sz w:val="20"/>
          <w:szCs w:val="20"/>
          <w:color w:val="auto"/>
        </w:rPr>
      </w:pPr>
    </w:p>
    <w:p>
      <w:pPr>
        <w:ind w:left="660" w:right="80" w:hanging="652"/>
        <w:spacing w:after="0" w:line="281"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Rejection of a transplanted organ. </w:t>
      </w:r>
      <w:r>
        <w:rPr>
          <w:rFonts w:ascii="Arial" w:cs="Arial" w:eastAsia="Arial" w:hAnsi="Arial"/>
          <w:sz w:val="20"/>
          <w:szCs w:val="20"/>
          <w:color w:val="auto"/>
        </w:rPr>
        <w:t>Your doctor should tell you what signs and symptoms you should report and monitor</w:t>
      </w:r>
      <w:r>
        <w:rPr>
          <w:rFonts w:ascii="Arial" w:cs="Arial" w:eastAsia="Arial" w:hAnsi="Arial"/>
          <w:sz w:val="20"/>
          <w:szCs w:val="20"/>
          <w:b w:val="1"/>
          <w:bCs w:val="1"/>
          <w:color w:val="auto"/>
        </w:rPr>
        <w:t xml:space="preserve"> </w:t>
      </w:r>
      <w:r>
        <w:rPr>
          <w:rFonts w:ascii="Arial" w:cs="Arial" w:eastAsia="Arial" w:hAnsi="Arial"/>
          <w:sz w:val="20"/>
          <w:szCs w:val="20"/>
          <w:color w:val="auto"/>
        </w:rPr>
        <w:t>you, depending on the type of organ transplant that you have had.</w:t>
      </w:r>
    </w:p>
    <w:p>
      <w:pPr>
        <w:spacing w:after="0" w:line="1" w:lineRule="exact"/>
        <w:rPr>
          <w:rFonts w:ascii="Arial" w:cs="Arial" w:eastAsia="Arial" w:hAnsi="Arial"/>
          <w:sz w:val="20"/>
          <w:szCs w:val="20"/>
          <w:color w:val="auto"/>
        </w:rPr>
      </w:pPr>
    </w:p>
    <w:p>
      <w:pPr>
        <w:jc w:val="both"/>
        <w:ind w:left="660" w:hanging="652"/>
        <w:spacing w:after="0" w:line="284" w:lineRule="auto"/>
        <w:tabs>
          <w:tab w:leader="none" w:pos="660"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Infusion (IV) reactions that can sometimes be severe and life-threatening. </w:t>
      </w:r>
      <w:r>
        <w:rPr>
          <w:rFonts w:ascii="Arial" w:cs="Arial" w:eastAsia="Arial" w:hAnsi="Arial"/>
          <w:sz w:val="20"/>
          <w:szCs w:val="20"/>
          <w:color w:val="auto"/>
        </w:rPr>
        <w:t>Signs of these problems may include chills</w:t>
      </w:r>
      <w:r>
        <w:rPr>
          <w:rFonts w:ascii="Arial" w:cs="Arial" w:eastAsia="Arial" w:hAnsi="Arial"/>
          <w:sz w:val="20"/>
          <w:szCs w:val="20"/>
          <w:b w:val="1"/>
          <w:bCs w:val="1"/>
          <w:color w:val="auto"/>
        </w:rPr>
        <w:t xml:space="preserve"> </w:t>
      </w:r>
      <w:r>
        <w:rPr>
          <w:rFonts w:ascii="Arial" w:cs="Arial" w:eastAsia="Arial" w:hAnsi="Arial"/>
          <w:sz w:val="20"/>
          <w:szCs w:val="20"/>
          <w:color w:val="auto"/>
        </w:rPr>
        <w:t>or shaking, itching or rash, flushing, shortness of breath or wheezing, dizziness, fever, feeling of passing out, back or neck pain, and facial swelling.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Getting medical treatment right away may help keep these problems from becoming more serious.</w:t>
      </w:r>
    </w:p>
    <w:p>
      <w:pPr>
        <w:spacing w:after="0" w:line="25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Your healthcare provider will check you for these problems during your treatment with Libtayo. Your healthcare provider may treat you with corticosteroid or hormone replacement medicines. Your healthcare provider may delay or completely stop treatment if you have severe side effects.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Before you receive Libtayo, tell your healthcare provider about all your medical conditions, including if you:</w:t>
      </w:r>
    </w:p>
    <w:p>
      <w:pPr>
        <w:spacing w:after="0" w:line="294" w:lineRule="exact"/>
        <w:rPr>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have immune system problems such as Crohn's disease, ulcerative colitis, or lupus;</w:t>
      </w:r>
    </w:p>
    <w:p>
      <w:pPr>
        <w:spacing w:after="0" w:line="40" w:lineRule="exact"/>
        <w:rPr>
          <w:rFonts w:ascii="Arial" w:cs="Arial" w:eastAsia="Arial" w:hAnsi="Arial"/>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have had an organ transplant;</w:t>
      </w:r>
    </w:p>
    <w:p>
      <w:pPr>
        <w:spacing w:after="0" w:line="40" w:lineRule="exact"/>
        <w:rPr>
          <w:rFonts w:ascii="Arial" w:cs="Arial" w:eastAsia="Arial" w:hAnsi="Arial"/>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have lung or breathing problems;</w:t>
      </w:r>
    </w:p>
    <w:p>
      <w:pPr>
        <w:spacing w:after="0" w:line="40" w:lineRule="exact"/>
        <w:rPr>
          <w:rFonts w:ascii="Arial" w:cs="Arial" w:eastAsia="Arial" w:hAnsi="Arial"/>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have liver or kidney problems;</w:t>
      </w:r>
    </w:p>
    <w:p>
      <w:pPr>
        <w:spacing w:after="0" w:line="40" w:lineRule="exact"/>
        <w:rPr>
          <w:rFonts w:ascii="Arial" w:cs="Arial" w:eastAsia="Arial" w:hAnsi="Arial"/>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have diabetes;</w:t>
      </w:r>
    </w:p>
    <w:p>
      <w:pPr>
        <w:spacing w:after="0" w:line="26" w:lineRule="exact"/>
        <w:rPr>
          <w:rFonts w:ascii="Arial" w:cs="Arial" w:eastAsia="Arial" w:hAnsi="Arial"/>
          <w:sz w:val="20"/>
          <w:szCs w:val="20"/>
          <w:color w:val="auto"/>
        </w:rPr>
      </w:pPr>
    </w:p>
    <w:p>
      <w:pPr>
        <w:ind w:left="720" w:hanging="712"/>
        <w:spacing w:after="0"/>
        <w:tabs>
          <w:tab w:leader="none" w:pos="7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are pregnant or plan to become pregnant; Libtayo can harm your unborn baby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Females who are able to become pregnant:</w:t>
      </w:r>
    </w:p>
    <w:p>
      <w:pPr>
        <w:spacing w:after="0" w:line="280"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Your healthcare provider will give you a pregnancy test before you start treatment.</w:t>
      </w:r>
    </w:p>
    <w:p>
      <w:pPr>
        <w:spacing w:after="0" w:line="26" w:lineRule="exact"/>
        <w:rPr>
          <w:rFonts w:ascii="Arial" w:cs="Arial" w:eastAsia="Arial" w:hAnsi="Arial"/>
          <w:sz w:val="20"/>
          <w:szCs w:val="20"/>
          <w:color w:val="auto"/>
        </w:rPr>
      </w:pPr>
    </w:p>
    <w:p>
      <w:pPr>
        <w:ind w:left="660" w:right="120" w:hanging="652"/>
        <w:spacing w:after="0" w:line="267" w:lineRule="auto"/>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You should use an effective method of birth control during your treatment and for at least 4 months after your last dose of Libtayo. Talk with your healthcare provider about birth control methods that you can use during this time.</w:t>
      </w:r>
    </w:p>
    <w:p>
      <w:pPr>
        <w:spacing w:after="0" w:line="1" w:lineRule="exact"/>
        <w:rPr>
          <w:rFonts w:ascii="Arial" w:cs="Arial" w:eastAsia="Arial" w:hAnsi="Arial"/>
          <w:sz w:val="20"/>
          <w:szCs w:val="20"/>
          <w:color w:val="auto"/>
        </w:rPr>
      </w:pPr>
    </w:p>
    <w:p>
      <w:pPr>
        <w:ind w:left="660" w:right="600" w:hanging="652"/>
        <w:spacing w:after="0" w:line="246" w:lineRule="auto"/>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Tell your healthcare provider right away if you become pregnant or think you may be pregnant during treatment with Libtayo.</w:t>
      </w:r>
    </w:p>
    <w:p>
      <w:pPr>
        <w:spacing w:after="0" w:line="1" w:lineRule="exact"/>
        <w:rPr>
          <w:rFonts w:ascii="Arial" w:cs="Arial" w:eastAsia="Arial" w:hAnsi="Arial"/>
          <w:sz w:val="20"/>
          <w:szCs w:val="20"/>
          <w:color w:val="auto"/>
        </w:rPr>
      </w:pPr>
    </w:p>
    <w:p>
      <w:pPr>
        <w:ind w:left="660" w:right="200" w:hanging="652"/>
        <w:spacing w:after="0" w:line="289" w:lineRule="auto"/>
        <w:tabs>
          <w:tab w:leader="none" w:pos="71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are breastfeeding or plan to breastfeed. It is not known if Libtayo passes into your breast milk. Do not breastfeed during treatment and for at least 4 months after the last dose of Libtayo.</w:t>
      </w:r>
    </w:p>
    <w:p>
      <w:pPr>
        <w:spacing w:after="0" w:line="178" w:lineRule="exact"/>
        <w:rPr>
          <w:sz w:val="20"/>
          <w:szCs w:val="20"/>
          <w:color w:val="auto"/>
        </w:rPr>
      </w:pPr>
    </w:p>
    <w:p>
      <w:pPr>
        <w:ind w:right="660"/>
        <w:spacing w:after="0" w:line="314" w:lineRule="auto"/>
        <w:rPr>
          <w:sz w:val="20"/>
          <w:szCs w:val="20"/>
          <w:color w:val="auto"/>
        </w:rPr>
      </w:pPr>
      <w:r>
        <w:rPr>
          <w:rFonts w:ascii="Arial" w:cs="Arial" w:eastAsia="Arial" w:hAnsi="Arial"/>
          <w:sz w:val="20"/>
          <w:szCs w:val="20"/>
          <w:b w:val="1"/>
          <w:bCs w:val="1"/>
          <w:color w:val="auto"/>
        </w:rPr>
        <w:t xml:space="preserve">Tell your healthcare provider about all the medicines you take, </w:t>
      </w:r>
      <w:r>
        <w:rPr>
          <w:rFonts w:ascii="Arial" w:cs="Arial" w:eastAsia="Arial" w:hAnsi="Arial"/>
          <w:sz w:val="20"/>
          <w:szCs w:val="20"/>
          <w:color w:val="auto"/>
        </w:rPr>
        <w:t>including prescription and over-the-counter medicines,</w:t>
      </w:r>
      <w:r>
        <w:rPr>
          <w:rFonts w:ascii="Arial" w:cs="Arial" w:eastAsia="Arial" w:hAnsi="Arial"/>
          <w:sz w:val="20"/>
          <w:szCs w:val="20"/>
          <w:b w:val="1"/>
          <w:bCs w:val="1"/>
          <w:color w:val="auto"/>
        </w:rPr>
        <w:t xml:space="preserve"> </w:t>
      </w:r>
      <w:r>
        <w:rPr>
          <w:rFonts w:ascii="Arial" w:cs="Arial" w:eastAsia="Arial" w:hAnsi="Arial"/>
          <w:sz w:val="20"/>
          <w:szCs w:val="20"/>
          <w:color w:val="auto"/>
        </w:rPr>
        <w:t>vitamins, and herbal supplements.</w:t>
      </w:r>
    </w:p>
    <w:p>
      <w:pPr>
        <w:spacing w:after="0" w:line="165"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The most common side effects of Libtayo include tiredness, rash, and diarrhea. These are not all the possible side effects of Libtayo. Call your doctor for medical advice about side effects.</w:t>
      </w:r>
    </w:p>
    <w:p>
      <w:pPr>
        <w:sectPr>
          <w:pgSz w:w="11900" w:h="16838" w:orient="portrait"/>
          <w:cols w:equalWidth="0" w:num="1">
            <w:col w:w="11340"/>
          </w:cols>
          <w:pgMar w:left="240" w:top="649" w:right="319" w:bottom="1440" w:gutter="0" w:footer="0" w:header="0"/>
        </w:sectPr>
      </w:pPr>
    </w:p>
    <w:bookmarkStart w:id="243" w:name="page244"/>
    <w:bookmarkEnd w:id="243"/>
    <w:p>
      <w:pPr>
        <w:ind w:right="2440"/>
        <w:spacing w:after="0" w:line="289" w:lineRule="auto"/>
        <w:rPr>
          <w:sz w:val="20"/>
          <w:szCs w:val="20"/>
          <w:color w:val="auto"/>
        </w:rPr>
      </w:pPr>
      <w:r>
        <w:rPr>
          <w:rFonts w:ascii="Arial" w:cs="Arial" w:eastAsia="Arial" w:hAnsi="Arial"/>
          <w:sz w:val="20"/>
          <w:szCs w:val="20"/>
          <w:color w:val="auto"/>
        </w:rPr>
        <w:t>You may report side effects to FDA at 1-800-FDA-1088. You may also report side effects to Regeneron Pharmaceuticals and Sanofi at 1-877-542-8296.</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Please see accompanying </w:t>
      </w:r>
      <w:r>
        <w:rPr>
          <w:rFonts w:ascii="Arial" w:cs="Arial" w:eastAsia="Arial" w:hAnsi="Arial"/>
          <w:sz w:val="20"/>
          <w:szCs w:val="20"/>
          <w:b w:val="1"/>
          <w:bCs w:val="1"/>
          <w:color w:val="4472C4"/>
        </w:rPr>
        <w:t>full Prescribing Information,</w:t>
      </w:r>
      <w:r>
        <w:rPr>
          <w:rFonts w:ascii="Arial" w:cs="Arial" w:eastAsia="Arial" w:hAnsi="Arial"/>
          <w:sz w:val="20"/>
          <w:szCs w:val="20"/>
          <w:b w:val="1"/>
          <w:bCs w:val="1"/>
          <w:color w:val="auto"/>
        </w:rPr>
        <w:t xml:space="preserve"> including Medication Guide.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Libtayo?</w:t>
      </w:r>
    </w:p>
    <w:p>
      <w:pPr>
        <w:spacing w:after="0" w:line="267" w:lineRule="exact"/>
        <w:rPr>
          <w:sz w:val="20"/>
          <w:szCs w:val="20"/>
          <w:color w:val="auto"/>
        </w:rPr>
      </w:pPr>
    </w:p>
    <w:p>
      <w:pPr>
        <w:ind w:right="580"/>
        <w:spacing w:after="0" w:line="247" w:lineRule="auto"/>
        <w:rPr>
          <w:sz w:val="20"/>
          <w:szCs w:val="20"/>
          <w:color w:val="auto"/>
        </w:rPr>
      </w:pPr>
      <w:r>
        <w:rPr>
          <w:rFonts w:ascii="Arial" w:cs="Arial" w:eastAsia="Arial" w:hAnsi="Arial"/>
          <w:sz w:val="20"/>
          <w:szCs w:val="20"/>
          <w:color w:val="auto"/>
        </w:rPr>
        <w:t>Libtayo is a prescription medicine used to treat people with a type of skin cancer called cutaneous squamous cell carcinoma (CSCC) that has spread or cannot be cured by surgery or radiation.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It is not known if Libtayo is safe and effective in children.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Sanofi</w:t>
      </w:r>
    </w:p>
    <w:p>
      <w:pPr>
        <w:spacing w:after="0" w:line="24"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Sanofi is dedicated to supporting people through their health challenges. We are a global biopharmaceutical company focused on human health. We prevent illness with vaccines, provide innovative treatments to fight pain and ease suffering. We stand by the few who suffer from rare diseases and the millions with long-term chronic conditions.</w:t>
      </w:r>
    </w:p>
    <w:p>
      <w:pPr>
        <w:spacing w:after="0" w:line="220"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With more than 100,000 people in 100 countries, Sanofi is transforming scientific innovation into healthcare solutions around the globe. Sanofi, Empowering Life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Regeneron</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auto"/>
        </w:rPr>
        <w:t>Regeneron (NASDAQ: REGN) is a leading biotechnology company that invents life-transforming medicines for people with serious diseases. Founded and led for 30 years by physician-scientists, our unique ability to repeatedly and consistently translate science into medicine has led to seven FDA-approved treatments and numerous product candidates in development, all of which were homegrown in our laboratories. Our medicines and pipeline are designed to help patients with eye diseases, allergic and inflammatory diseases, cancer, cardiovascular and metabolic diseases, neuromuscular diseases, infectious diseases and rare diseases.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Regeneron is accelerating and improving the traditional drug development process through our</w:t>
      </w:r>
    </w:p>
    <w:p>
      <w:pPr>
        <w:spacing w:after="0" w:line="40" w:lineRule="exact"/>
        <w:rPr>
          <w:sz w:val="20"/>
          <w:szCs w:val="20"/>
          <w:color w:val="auto"/>
        </w:rPr>
      </w:pPr>
    </w:p>
    <w:p>
      <w:pPr>
        <w:jc w:val="both"/>
        <w:ind w:right="120"/>
        <w:spacing w:after="0" w:line="271" w:lineRule="auto"/>
        <w:rPr>
          <w:sz w:val="20"/>
          <w:szCs w:val="20"/>
          <w:color w:val="auto"/>
        </w:rPr>
      </w:pPr>
      <w:r>
        <w:rPr>
          <w:rFonts w:ascii="Arial" w:cs="Arial" w:eastAsia="Arial" w:hAnsi="Arial"/>
          <w:sz w:val="20"/>
          <w:szCs w:val="20"/>
          <w:color w:val="auto"/>
        </w:rPr>
        <w:t>proprietary VelociSuite® technologies, such as VelocImmune® which produces optimized fully-human antibodies, and ambitious research initiatives such as the Regeneron Genetics Center, which is conducting one of the largest genetics sequencing efforts in the world.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about the company, please visit </w:t>
      </w:r>
      <w:r>
        <w:rPr>
          <w:rFonts w:ascii="Arial" w:cs="Arial" w:eastAsia="Arial" w:hAnsi="Arial"/>
          <w:sz w:val="20"/>
          <w:szCs w:val="20"/>
          <w:color w:val="4472C4"/>
        </w:rPr>
        <w:t>www.regeneron.com</w:t>
      </w:r>
      <w:r>
        <w:rPr>
          <w:rFonts w:ascii="Arial" w:cs="Arial" w:eastAsia="Arial" w:hAnsi="Arial"/>
          <w:sz w:val="20"/>
          <w:szCs w:val="20"/>
          <w:color w:val="auto"/>
        </w:rPr>
        <w:t xml:space="preserve"> or follow @Regeneron on Twitter.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Forward-Looking Statements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press release contains forward-looking statements as defined in the Private Securities Litigation Reform Act of 1995, as amended. Forward-looking statements are statements that are not historical facts. These statements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w:t>
      </w:r>
    </w:p>
    <w:p>
      <w:pPr>
        <w:sectPr>
          <w:pgSz w:w="11900" w:h="16838" w:orient="portrait"/>
          <w:cols w:equalWidth="0" w:num="1">
            <w:col w:w="11420"/>
          </w:cols>
          <w:pgMar w:left="240" w:top="663" w:right="239" w:bottom="1440" w:gutter="0" w:footer="0" w:header="0"/>
        </w:sectPr>
      </w:pPr>
    </w:p>
    <w:bookmarkStart w:id="244" w:name="page245"/>
    <w:bookmarkEnd w:id="244"/>
    <w:p>
      <w:pPr>
        <w:jc w:val="both"/>
        <w:spacing w:after="0" w:line="253" w:lineRule="auto"/>
        <w:rPr>
          <w:sz w:val="20"/>
          <w:szCs w:val="20"/>
          <w:color w:val="auto"/>
        </w:rPr>
      </w:pPr>
      <w:r>
        <w:rPr>
          <w:rFonts w:ascii="Arial" w:cs="Arial" w:eastAsia="Arial" w:hAnsi="Arial"/>
          <w:sz w:val="18"/>
          <w:szCs w:val="18"/>
          <w:i w:val="1"/>
          <w:iCs w:val="1"/>
          <w:color w:val="auto"/>
        </w:rPr>
        <w:t>generally beyond the control of Sanofi,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EMA, regarding whether and when to approve any drug, device or biological application that may be filed for any such product candidates as well as their decisions regarding labelling and other matters that could affect the availability or commercial potential of such product candidates, the absence of guarantee that the product candidates if approved will be commercially successful, the future approval and commercial success of therapeutic alternatives, Sanofi's ability to benefit from external growth opportunities and/or obtain regulatory clearances, risks associated with intellectual property and any related pending or future litigation and the ultimate outcome of such litigation, trends in exchange rates and prevailing interest rates, volatile economic conditions, the impact of cost containment initiatives and subsequent changes thereto, the average number of shares outstanding as well as those discussed or identified in the public filings with the SEC and the AMF made by Sanofi, including those listed under "Risk Factors" and "Cautionary Statement Regarding Forward-Looking Statements" in Sanofi's annual report on Form 20-F for the year ended December 31, 2017. Other than as required by applicable law, Sanofi does not undertake any obligation to update or revise any forward-looking information or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Forward-Looking Statements and Use of Digital Media</w:t>
      </w:r>
    </w:p>
    <w:p>
      <w:pPr>
        <w:spacing w:after="0" w:line="3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Libtayo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(cemiplimab-rwlc) and Regeneron’s other immuno-oncology programs (such as the BCMAxCD3 and MUC16xCD3 bispecific programs referenced in this press release); the likelihood, timing, and scope of possible regulatory approval and commercial launch of Regeneron's late-stage product candidates and new indications for marketed products, such as Libtayo for the treatment of lung, cervical, and skin cancers and other potential indications; the potential for any discovery, development, or collaboration agreements, including Regeneron’s agreements with Sanofi (or its affiliated companies) (such as the Amended and Restated Immuno-oncology Discovery and Development Agreement discussed in this press release), to be cancelled or terminated without any further product success; unforeseen safety issues resulting from the administration of products and product candidates in patients, including serious complications or side effects in connection with the use of Regeneron’s product candidates in clinical trials; ongoing regulatory obligations and oversight impacting Regeneron’s marketed products (such as Libtayo),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the availability and extent of reimbursement of the Company’s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uncertainty of market acceptance and commercial success of Regeneron’s products and product candidates and the impact of studies (whether conducted by Regeneron or others and whether mandated or voluntary) on the commercial success of any such products and product candidates; competing drugs and product candidates that may be superior to Regeneron's products and product candidates; the extent to which the results from the research and development programs conducted by Regeneron or its collaborators may be replicated in other studies and lead to therapeutic applications; the ability of Regeneron to manufacture and manage supply chains for multiple products and product candidates; the ability of Regeneron’s collaborators, suppliers, or other third parties to perform filling, finishing, packaging, labeling, distribution, and other</w:t>
      </w:r>
    </w:p>
    <w:p>
      <w:pPr>
        <w:sectPr>
          <w:pgSz w:w="11900" w:h="16838" w:orient="portrait"/>
          <w:cols w:equalWidth="0" w:num="1">
            <w:col w:w="11420"/>
          </w:cols>
          <w:pgMar w:left="240" w:top="621" w:right="239" w:bottom="1440" w:gutter="0" w:footer="0" w:header="0"/>
        </w:sectPr>
      </w:pPr>
    </w:p>
    <w:bookmarkStart w:id="245" w:name="page246"/>
    <w:bookmarkEnd w:id="245"/>
    <w:p>
      <w:pPr>
        <w:spacing w:after="0" w:line="249" w:lineRule="auto"/>
        <w:rPr>
          <w:sz w:val="20"/>
          <w:szCs w:val="20"/>
          <w:color w:val="auto"/>
        </w:rPr>
      </w:pPr>
      <w:r>
        <w:rPr>
          <w:rFonts w:ascii="Arial" w:cs="Arial" w:eastAsia="Arial" w:hAnsi="Arial"/>
          <w:sz w:val="18"/>
          <w:szCs w:val="18"/>
          <w:i w:val="1"/>
          <w:iCs w:val="1"/>
          <w:color w:val="auto"/>
        </w:rPr>
        <w:t>steps related to Regeneron’s products and product candidates; unanticipated expenses; the costs of developing, producing, and selling products; the ability of Regeneron to meet any of its financial projections or guidance and changes to the assumptions underlying those projections or guidance; and risks associated with intellectual property of other parties and pending or future litigation relating thereto, including without limitation the patent litigation proceedings relating to EYLEA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(aflibercept) Injection, Dupixent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(dupilumab) Injection, and Praluent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(alirocumab) Injection, the ultimate outcome of any such litigation proceedings,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10-Q for the quarterly period ended September 30, 2018.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1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Contacts Sanofi:</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8"/>
        </w:trPr>
        <w:tc>
          <w:tcPr>
            <w:tcW w:w="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Media Relations</w:t>
            </w: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Investor Relations</w:t>
            </w:r>
          </w:p>
        </w:tc>
      </w:tr>
      <w:tr>
        <w:trPr>
          <w:trHeight w:val="225"/>
        </w:trPr>
        <w:tc>
          <w:tcPr>
            <w:tcW w:w="4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Ashleigh Koss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George Grofik</w:t>
            </w:r>
          </w:p>
        </w:tc>
      </w:tr>
      <w:tr>
        <w:trPr>
          <w:trHeight w:val="203"/>
        </w:trPr>
        <w:tc>
          <w:tcPr>
            <w:tcW w:w="4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Tel: +1 (908) 981-8745</w:t>
            </w: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spacing w:after="0" w:line="202" w:lineRule="exact"/>
              <w:rPr>
                <w:sz w:val="20"/>
                <w:szCs w:val="20"/>
                <w:color w:val="auto"/>
              </w:rPr>
            </w:pPr>
            <w:r>
              <w:rPr>
                <w:rFonts w:ascii="Arial" w:cs="Arial" w:eastAsia="Arial" w:hAnsi="Arial"/>
                <w:sz w:val="18"/>
                <w:szCs w:val="18"/>
                <w:color w:val="auto"/>
              </w:rPr>
              <w:t>Tel: +33 (0)1 53 77 45 45</w:t>
            </w:r>
          </w:p>
        </w:tc>
      </w:tr>
      <w:tr>
        <w:trPr>
          <w:trHeight w:val="176"/>
        </w:trPr>
        <w:tc>
          <w:tcPr>
            <w:tcW w:w="40" w:type="dxa"/>
            <w:vAlign w:val="bottom"/>
          </w:tcPr>
          <w:p>
            <w:pPr>
              <w:spacing w:after="0"/>
              <w:rPr>
                <w:sz w:val="15"/>
                <w:szCs w:val="15"/>
                <w:color w:val="auto"/>
              </w:rPr>
            </w:pPr>
          </w:p>
        </w:tc>
        <w:tc>
          <w:tcPr>
            <w:tcW w:w="2400" w:type="dxa"/>
            <w:vAlign w:val="bottom"/>
          </w:tcPr>
          <w:p>
            <w:pPr>
              <w:spacing w:after="0" w:line="176" w:lineRule="exact"/>
              <w:rPr>
                <w:sz w:val="20"/>
                <w:szCs w:val="20"/>
                <w:color w:val="auto"/>
              </w:rPr>
            </w:pPr>
            <w:r>
              <w:rPr>
                <w:rFonts w:ascii="Arial" w:cs="Arial" w:eastAsia="Arial" w:hAnsi="Arial"/>
                <w:sz w:val="18"/>
                <w:szCs w:val="18"/>
                <w:color w:val="auto"/>
              </w:rPr>
              <w:t>Ashleigh.Koss@sanofi.com</w:t>
            </w: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3"/>
          </w:tcPr>
          <w:p>
            <w:pPr>
              <w:spacing w:after="0" w:line="176" w:lineRule="exact"/>
              <w:rPr>
                <w:sz w:val="20"/>
                <w:szCs w:val="20"/>
                <w:color w:val="auto"/>
              </w:rPr>
            </w:pPr>
            <w:r>
              <w:rPr>
                <w:rFonts w:ascii="Arial" w:cs="Arial" w:eastAsia="Arial" w:hAnsi="Arial"/>
                <w:sz w:val="18"/>
                <w:szCs w:val="18"/>
                <w:color w:val="444492"/>
              </w:rPr>
              <w:t>IR@sanofi.com</w:t>
            </w:r>
          </w:p>
        </w:tc>
      </w:tr>
      <w:tr>
        <w:trPr>
          <w:trHeight w:val="669"/>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Contacts Regeneron:</w:t>
            </w: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444492"/>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8"/>
        </w:trPr>
        <w:tc>
          <w:tcPr>
            <w:tcW w:w="4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Media Relations</w:t>
            </w:r>
          </w:p>
        </w:tc>
        <w:tc>
          <w:tcPr>
            <w:tcW w:w="5860" w:type="dxa"/>
            <w:vAlign w:val="bottom"/>
            <w:gridSpan w:val="5"/>
          </w:tcPr>
          <w:p>
            <w:pPr>
              <w:ind w:left="3420"/>
              <w:spacing w:after="0"/>
              <w:rPr>
                <w:sz w:val="20"/>
                <w:szCs w:val="20"/>
                <w:color w:val="auto"/>
              </w:rPr>
            </w:pPr>
            <w:r>
              <w:rPr>
                <w:rFonts w:ascii="Arial" w:cs="Arial" w:eastAsia="Arial" w:hAnsi="Arial"/>
                <w:sz w:val="18"/>
                <w:szCs w:val="18"/>
                <w:b w:val="1"/>
                <w:bCs w:val="1"/>
                <w:color w:val="auto"/>
              </w:rPr>
              <w:t>Investor Relations</w:t>
            </w:r>
          </w:p>
        </w:tc>
      </w:tr>
      <w:tr>
        <w:trPr>
          <w:trHeight w:val="225"/>
        </w:trPr>
        <w:tc>
          <w:tcPr>
            <w:tcW w:w="4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Hala Mirza</w:t>
            </w:r>
          </w:p>
        </w:tc>
        <w:tc>
          <w:tcPr>
            <w:tcW w:w="5860" w:type="dxa"/>
            <w:vAlign w:val="bottom"/>
            <w:gridSpan w:val="5"/>
          </w:tcPr>
          <w:p>
            <w:pPr>
              <w:ind w:left="3420"/>
              <w:spacing w:after="0"/>
              <w:rPr>
                <w:sz w:val="20"/>
                <w:szCs w:val="20"/>
                <w:color w:val="auto"/>
              </w:rPr>
            </w:pPr>
            <w:r>
              <w:rPr>
                <w:rFonts w:ascii="Arial" w:cs="Arial" w:eastAsia="Arial" w:hAnsi="Arial"/>
                <w:sz w:val="18"/>
                <w:szCs w:val="18"/>
                <w:b w:val="1"/>
                <w:bCs w:val="1"/>
                <w:color w:val="auto"/>
              </w:rPr>
              <w:t>Mark Hudson</w:t>
            </w:r>
          </w:p>
        </w:tc>
      </w:tr>
      <w:tr>
        <w:trPr>
          <w:trHeight w:val="182"/>
        </w:trPr>
        <w:tc>
          <w:tcPr>
            <w:tcW w:w="40" w:type="dxa"/>
            <w:vAlign w:val="bottom"/>
          </w:tcPr>
          <w:p>
            <w:pPr>
              <w:spacing w:after="0"/>
              <w:rPr>
                <w:sz w:val="15"/>
                <w:szCs w:val="15"/>
                <w:color w:val="auto"/>
              </w:rPr>
            </w:pPr>
          </w:p>
        </w:tc>
        <w:tc>
          <w:tcPr>
            <w:tcW w:w="2400" w:type="dxa"/>
            <w:vAlign w:val="bottom"/>
          </w:tcPr>
          <w:p>
            <w:pPr>
              <w:spacing w:after="0" w:line="182" w:lineRule="exact"/>
              <w:rPr>
                <w:sz w:val="20"/>
                <w:szCs w:val="20"/>
                <w:color w:val="auto"/>
              </w:rPr>
            </w:pPr>
            <w:r>
              <w:rPr>
                <w:rFonts w:ascii="Arial" w:cs="Arial" w:eastAsia="Arial" w:hAnsi="Arial"/>
                <w:sz w:val="18"/>
                <w:szCs w:val="18"/>
                <w:color w:val="auto"/>
              </w:rPr>
              <w:t>Tel: +1 (914) 847-3422</w:t>
            </w:r>
          </w:p>
        </w:tc>
        <w:tc>
          <w:tcPr>
            <w:tcW w:w="5860" w:type="dxa"/>
            <w:vAlign w:val="bottom"/>
            <w:gridSpan w:val="5"/>
          </w:tcPr>
          <w:p>
            <w:pPr>
              <w:ind w:left="3420"/>
              <w:spacing w:after="0" w:line="182" w:lineRule="exact"/>
              <w:rPr>
                <w:sz w:val="20"/>
                <w:szCs w:val="20"/>
                <w:color w:val="auto"/>
              </w:rPr>
            </w:pPr>
            <w:r>
              <w:rPr>
                <w:rFonts w:ascii="Arial" w:cs="Arial" w:eastAsia="Arial" w:hAnsi="Arial"/>
                <w:sz w:val="18"/>
                <w:szCs w:val="18"/>
                <w:color w:val="auto"/>
              </w:rPr>
              <w:t>Tel: +1 (914) 847-3482</w:t>
            </w:r>
          </w:p>
        </w:tc>
      </w:tr>
      <w:tr>
        <w:trPr>
          <w:trHeight w:val="197"/>
        </w:trPr>
        <w:tc>
          <w:tcPr>
            <w:tcW w:w="40" w:type="dxa"/>
            <w:vAlign w:val="bottom"/>
          </w:tcPr>
          <w:p>
            <w:pPr>
              <w:spacing w:after="0"/>
              <w:rPr>
                <w:sz w:val="17"/>
                <w:szCs w:val="17"/>
                <w:color w:val="auto"/>
              </w:rPr>
            </w:pPr>
          </w:p>
        </w:tc>
        <w:tc>
          <w:tcPr>
            <w:tcW w:w="2400" w:type="dxa"/>
            <w:vAlign w:val="bottom"/>
          </w:tcPr>
          <w:p>
            <w:pPr>
              <w:spacing w:after="0" w:line="190" w:lineRule="exact"/>
              <w:rPr>
                <w:sz w:val="20"/>
                <w:szCs w:val="20"/>
                <w:color w:val="auto"/>
              </w:rPr>
            </w:pPr>
            <w:r>
              <w:rPr>
                <w:rFonts w:ascii="Arial" w:cs="Arial" w:eastAsia="Arial" w:hAnsi="Arial"/>
                <w:sz w:val="22"/>
                <w:szCs w:val="22"/>
                <w:color w:val="0000FF"/>
                <w:w w:val="87"/>
              </w:rPr>
              <w:t>hala.mirza@regeneron.com</w:t>
            </w:r>
          </w:p>
        </w:tc>
        <w:tc>
          <w:tcPr>
            <w:tcW w:w="3420" w:type="dxa"/>
            <w:vAlign w:val="bottom"/>
          </w:tcPr>
          <w:p>
            <w:pPr>
              <w:spacing w:after="0"/>
              <w:rPr>
                <w:sz w:val="17"/>
                <w:szCs w:val="17"/>
                <w:color w:val="auto"/>
              </w:rPr>
            </w:pPr>
          </w:p>
        </w:tc>
        <w:tc>
          <w:tcPr>
            <w:tcW w:w="2420" w:type="dxa"/>
            <w:vAlign w:val="bottom"/>
            <w:tcBorders>
              <w:bottom w:val="single" w:sz="8" w:color="444492"/>
            </w:tcBorders>
            <w:gridSpan w:val="3"/>
          </w:tcPr>
          <w:p>
            <w:pPr>
              <w:spacing w:after="0" w:line="177" w:lineRule="exact"/>
              <w:rPr>
                <w:sz w:val="20"/>
                <w:szCs w:val="20"/>
                <w:color w:val="auto"/>
              </w:rPr>
            </w:pPr>
            <w:r>
              <w:rPr>
                <w:rFonts w:ascii="Arial" w:cs="Arial" w:eastAsia="Arial" w:hAnsi="Arial"/>
                <w:sz w:val="18"/>
                <w:szCs w:val="18"/>
                <w:color w:val="444492"/>
                <w:w w:val="98"/>
              </w:rPr>
              <w:t>mark.hudson@regeneron.com</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Borders>
              <w:bottom w:val="single" w:sz="8" w:color="0000FF"/>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60"/>
          </w:cols>
          <w:pgMar w:left="240" w:top="620" w:right="29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5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 of Subsidiary*</w:t>
            </w:r>
          </w:p>
        </w:tc>
        <w:tc>
          <w:tcPr>
            <w:tcW w:w="2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0"/>
        </w:trPr>
        <w:tc>
          <w:tcPr>
            <w:tcW w:w="1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91"/>
        </w:trPr>
        <w:tc>
          <w:tcPr>
            <w:tcW w:w="514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Old Saw Mill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OSMR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Assurance,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Atlantic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Belgium BVBA</w:t>
            </w:r>
          </w:p>
        </w:tc>
        <w:tc>
          <w:tcPr>
            <w:tcW w:w="236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International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Holdings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Ireland Unlimited Company</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140" w:type="dxa"/>
            <w:vAlign w:val="bottom"/>
            <w:gridSpan w:val="2"/>
          </w:tcPr>
          <w:p>
            <w:pPr>
              <w:spacing w:after="0"/>
              <w:rPr>
                <w:sz w:val="20"/>
                <w:szCs w:val="20"/>
                <w:color w:val="auto"/>
              </w:rPr>
            </w:pPr>
            <w:r>
              <w:rPr>
                <w:rFonts w:ascii="Arial" w:cs="Arial" w:eastAsia="Arial" w:hAnsi="Arial"/>
                <w:sz w:val="18"/>
                <w:szCs w:val="18"/>
                <w:color w:val="auto"/>
              </w:rPr>
              <w:t>Rockwood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_____________</w:t>
            </w:r>
          </w:p>
        </w:tc>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65"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S-3 (No. 333-228352) and S</w:t>
      </w:r>
      <w:r>
        <w:rPr>
          <w:rFonts w:ascii="MS PGothic" w:cs="MS PGothic" w:eastAsia="MS PGothic" w:hAnsi="MS PGothic"/>
          <w:sz w:val="16"/>
          <w:szCs w:val="16"/>
          <w:color w:val="auto"/>
        </w:rPr>
        <w:t>‑</w:t>
      </w:r>
      <w:r>
        <w:rPr>
          <w:rFonts w:ascii="Arial" w:cs="Arial" w:eastAsia="Arial" w:hAnsi="Arial"/>
          <w:sz w:val="16"/>
          <w:szCs w:val="16"/>
          <w:color w:val="auto"/>
        </w:rPr>
        <w:t>8 (Nos. 333-61132, 333-97375, 333-119257, 333-151941, 333-169569, 333-174863, 333-196799, 333-198794, and 333-218669) of Regeneron Pharmaceuticals, Inc., of our report dated February 7, 2019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ectPr>
          <w:pgSz w:w="11900" w:h="16838" w:orient="portrait"/>
          <w:cols w:equalWidth="0" w:num="1">
            <w:col w:w="11420"/>
          </w:cols>
          <w:pgMar w:left="240" w:top="585"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February 7, 2019</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February 7, 2019</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2018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7, 2019</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1)"/>
      <w:numFmt w:val="decimal"/>
      <w:start w:val="1"/>
    </w:lvl>
  </w:abstractNum>
  <w:abstractNum w:abstractNumId="4">
    <w:nsid w:val="7BD3EE7B"/>
    <w:multiLevelType w:val="hybridMultilevel"/>
    <w:lvl w:ilvl="0">
      <w:lvlJc w:val="left"/>
      <w:lvlText w:val="Ÿ"/>
      <w:numFmt w:val="bullet"/>
      <w:start w:val="1"/>
    </w:lvl>
  </w:abstractNum>
  <w:abstractNum w:abstractNumId="5">
    <w:nsid w:val="51D9C564"/>
    <w:multiLevelType w:val="hybridMultilevel"/>
    <w:lvl w:ilvl="0">
      <w:lvlJc w:val="left"/>
      <w:lvlText w:val="Ÿ"/>
      <w:numFmt w:val="bullet"/>
      <w:start w:val="1"/>
    </w:lvl>
  </w:abstractNum>
  <w:abstractNum w:abstractNumId="6">
    <w:nsid w:val="613EFDC5"/>
    <w:multiLevelType w:val="hybridMultilevel"/>
    <w:lvl w:ilvl="0">
      <w:lvlJc w:val="left"/>
      <w:lvlText w:val="Ÿ"/>
      <w:numFmt w:val="bullet"/>
      <w:start w:val="1"/>
    </w:lvl>
  </w:abstractNum>
  <w:abstractNum w:abstractNumId="7">
    <w:nsid w:val="BF72B14"/>
    <w:multiLevelType w:val="hybridMultilevel"/>
    <w:lvl w:ilvl="0">
      <w:lvlJc w:val="left"/>
      <w:lvlText w:val="Ÿ"/>
      <w:numFmt w:val="bullet"/>
      <w:start w:val="1"/>
    </w:lvl>
  </w:abstractNum>
  <w:abstractNum w:abstractNumId="8">
    <w:nsid w:val="11447B73"/>
    <w:multiLevelType w:val="hybridMultilevel"/>
    <w:lvl w:ilvl="0">
      <w:lvlJc w:val="left"/>
      <w:lvlText w:val="(%1)"/>
      <w:numFmt w:val="lowerLetter"/>
      <w:start w:val="1"/>
    </w:lvl>
  </w:abstractNum>
  <w:abstractNum w:abstractNumId="9">
    <w:nsid w:val="42963E5A"/>
    <w:multiLevelType w:val="hybridMultilevel"/>
    <w:lvl w:ilvl="0">
      <w:lvlJc w:val="left"/>
      <w:lvlText w:val="Ÿ"/>
      <w:numFmt w:val="bullet"/>
      <w:start w:val="1"/>
    </w:lvl>
  </w:abstractNum>
  <w:abstractNum w:abstractNumId="10">
    <w:nsid w:val="A0382C5"/>
    <w:multiLevelType w:val="hybridMultilevel"/>
    <w:lvl w:ilvl="0">
      <w:lvlJc w:val="left"/>
      <w:lvlText w:val="Ÿ"/>
      <w:numFmt w:val="bullet"/>
      <w:start w:val="1"/>
    </w:lvl>
  </w:abstractNum>
  <w:abstractNum w:abstractNumId="11">
    <w:nsid w:val="8F2B15E"/>
    <w:multiLevelType w:val="hybridMultilevel"/>
    <w:lvl w:ilvl="0">
      <w:lvlJc w:val="left"/>
      <w:lvlText w:val="Ÿ"/>
      <w:numFmt w:val="bullet"/>
      <w:start w:val="1"/>
    </w:lvl>
  </w:abstractNum>
  <w:abstractNum w:abstractNumId="12">
    <w:nsid w:val="1A32234B"/>
    <w:multiLevelType w:val="hybridMultilevel"/>
    <w:lvl w:ilvl="0">
      <w:lvlJc w:val="left"/>
      <w:lvlText w:val="Ÿ"/>
      <w:numFmt w:val="bullet"/>
      <w:start w:val="1"/>
    </w:lvl>
  </w:abstractNum>
  <w:abstractNum w:abstractNumId="13">
    <w:nsid w:val="3B0FD379"/>
    <w:multiLevelType w:val="hybridMultilevel"/>
    <w:lvl w:ilvl="0">
      <w:lvlJc w:val="left"/>
      <w:lvlText w:val="Ÿ"/>
      <w:numFmt w:val="bullet"/>
      <w:start w:val="1"/>
    </w:lvl>
  </w:abstractNum>
  <w:abstractNum w:abstractNumId="14">
    <w:nsid w:val="68EB2F63"/>
    <w:multiLevelType w:val="hybridMultilevel"/>
    <w:lvl w:ilvl="0">
      <w:lvlJc w:val="left"/>
      <w:lvlText w:val="Ÿ"/>
      <w:numFmt w:val="bullet"/>
      <w:start w:val="1"/>
    </w:lvl>
  </w:abstractNum>
  <w:abstractNum w:abstractNumId="15">
    <w:nsid w:val="4962813B"/>
    <w:multiLevelType w:val="hybridMultilevel"/>
    <w:lvl w:ilvl="0">
      <w:lvlJc w:val="left"/>
      <w:lvlText w:val="Ÿ"/>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1)"/>
      <w:numFmt w:val="lowerRoman"/>
      <w:start w:val="4"/>
    </w:lvl>
  </w:abstractNum>
  <w:abstractNum w:abstractNumId="27">
    <w:nsid w:val="885E1B"/>
    <w:multiLevelType w:val="hybridMultilevel"/>
    <w:lvl w:ilvl="0">
      <w:lvlJc w:val="left"/>
      <w:lvlText w:val="(%1)"/>
      <w:numFmt w:val="decimal"/>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1)"/>
      <w:numFmt w:val="decimal"/>
      <w:start w:val="1"/>
    </w:lvl>
  </w:abstractNum>
  <w:abstractNum w:abstractNumId="31">
    <w:nsid w:val="14E17E33"/>
    <w:multiLevelType w:val="hybridMultilevel"/>
    <w:lvl w:ilvl="0">
      <w:lvlJc w:val="left"/>
      <w:lvlText w:val="%1"/>
      <w:numFmt w:val="decimal"/>
      <w:start w:val="32"/>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1."/>
      <w:numFmt w:val="lowerLetter"/>
      <w:start w:val="1"/>
    </w:lvl>
  </w:abstractNum>
  <w:abstractNum w:abstractNumId="35">
    <w:nsid w:val="2DF6D648"/>
    <w:multiLevelType w:val="hybridMultilevel"/>
    <w:lvl w:ilvl="0">
      <w:lvlJc w:val="left"/>
      <w:lvlText w:val="(%1)"/>
      <w:numFmt w:val="lowerRoman"/>
      <w:start w:val="3"/>
    </w:lvl>
  </w:abstractNum>
  <w:abstractNum w:abstractNumId="36">
    <w:nsid w:val="46B7D447"/>
    <w:multiLevelType w:val="hybridMultilevel"/>
    <w:lvl w:ilvl="0">
      <w:lvlJc w:val="left"/>
      <w:lvlText w:val="(%1)"/>
      <w:numFmt w:val="decimal"/>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1)"/>
      <w:numFmt w:val="lowerLetter"/>
      <w:start w:val="2"/>
    </w:lvl>
  </w:abstractNum>
  <w:abstractNum w:abstractNumId="41">
    <w:nsid w:val="43F18422"/>
    <w:multiLevelType w:val="hybridMultilevel"/>
    <w:lvl w:ilvl="0">
      <w:lvlJc w:val="left"/>
      <w:lvlText w:val="%1"/>
      <w:numFmt w:val="decimal"/>
      <w:start w:val="1"/>
    </w:lvl>
    <w:lvl w:ilvl="1">
      <w:lvlJc w:val="left"/>
      <w:lvlText w:val="(%2)"/>
      <w:numFmt w:val="lowerLetter"/>
      <w:start w:val="3"/>
    </w:lvl>
  </w:abstractNum>
  <w:abstractNum w:abstractNumId="42">
    <w:nsid w:val="60EF0119"/>
    <w:multiLevelType w:val="hybridMultilevel"/>
    <w:lvl w:ilvl="0">
      <w:lvlJc w:val="left"/>
      <w:lvlText w:val="%1."/>
      <w:numFmt w:val="decimal"/>
      <w:start w:val="3"/>
    </w:lvl>
    <w:lvl w:ilvl="1">
      <w:lvlJc w:val="left"/>
      <w:lvlText w:val="%2"/>
      <w:numFmt w:val="lowerLetter"/>
      <w:start w:val="1"/>
    </w:lvl>
  </w:abstractNum>
  <w:abstractNum w:abstractNumId="43">
    <w:nsid w:val="26F324BA"/>
    <w:multiLevelType w:val="hybridMultilevel"/>
    <w:lvl w:ilvl="0">
      <w:lvlJc w:val="left"/>
      <w:lvlText w:val="(%1)"/>
      <w:numFmt w:val="lowerLetter"/>
      <w:start w:val="2"/>
    </w:lvl>
  </w:abstractNum>
  <w:abstractNum w:abstractNumId="44">
    <w:nsid w:val="7F01579B"/>
    <w:multiLevelType w:val="hybridMultilevel"/>
    <w:lvl w:ilvl="0">
      <w:lvlJc w:val="left"/>
      <w:lvlText w:val="(%1)"/>
      <w:numFmt w:val="upperLetter"/>
      <w:start w:val="2"/>
    </w:lvl>
    <w:lvl w:ilvl="1">
      <w:lvlJc w:val="left"/>
      <w:lvlText w:val="(%2)"/>
      <w:numFmt w:val="lowerLetter"/>
      <w:start w:val="3"/>
    </w:lvl>
  </w:abstractNum>
  <w:abstractNum w:abstractNumId="45">
    <w:nsid w:val="49DA307D"/>
    <w:multiLevelType w:val="hybridMultilevel"/>
    <w:lvl w:ilvl="0">
      <w:lvlJc w:val="left"/>
      <w:lvlText w:val="%1."/>
      <w:numFmt w:val="decimal"/>
      <w:start w:val="4"/>
    </w:lvl>
  </w:abstractNum>
  <w:abstractNum w:abstractNumId="46">
    <w:nsid w:val="7055A5F5"/>
    <w:multiLevelType w:val="hybridMultilevel"/>
    <w:lvl w:ilvl="0">
      <w:lvlJc w:val="left"/>
      <w:lvlText w:val="%1."/>
      <w:numFmt w:val="decimal"/>
      <w:start w:val="6"/>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1."/>
      <w:numFmt w:val="decimal"/>
      <w:start w:val="1"/>
    </w:lvl>
  </w:abstractNum>
  <w:abstractNum w:abstractNumId="50">
    <w:nsid w:val="5FB8011C"/>
    <w:multiLevelType w:val="hybridMultilevel"/>
    <w:lvl w:ilvl="0">
      <w:lvlJc w:val="left"/>
      <w:lvlText w:val="(%1)"/>
      <w:numFmt w:val="lowerLetter"/>
      <w:start w:val="2"/>
    </w:lvl>
  </w:abstractNum>
  <w:abstractNum w:abstractNumId="51">
    <w:nsid w:val="6AA78F7F"/>
    <w:multiLevelType w:val="hybridMultilevel"/>
    <w:lvl w:ilvl="0">
      <w:lvlJc w:val="left"/>
      <w:lvlText w:val="%1"/>
      <w:numFmt w:val="decimal"/>
      <w:start w:val="1"/>
    </w:lvl>
    <w:lvl w:ilvl="1">
      <w:lvlJc w:val="left"/>
      <w:lvlText w:val="(%2)"/>
      <w:numFmt w:val="lowerLetter"/>
      <w:start w:val="3"/>
    </w:lvl>
  </w:abstractNum>
  <w:abstractNum w:abstractNumId="52">
    <w:nsid w:val="7672BD23"/>
    <w:multiLevelType w:val="hybridMultilevel"/>
    <w:lvl w:ilvl="0">
      <w:lvlJc w:val="left"/>
      <w:lvlText w:val="%1."/>
      <w:numFmt w:val="decimal"/>
      <w:start w:val="3"/>
    </w:lvl>
    <w:lvl w:ilvl="1">
      <w:lvlJc w:val="left"/>
      <w:lvlText w:val="%2"/>
      <w:numFmt w:val="lowerLetter"/>
      <w:start w:val="1"/>
    </w:lvl>
  </w:abstractNum>
  <w:abstractNum w:abstractNumId="53">
    <w:nsid w:val="6FC75AF8"/>
    <w:multiLevelType w:val="hybridMultilevel"/>
    <w:lvl w:ilvl="0">
      <w:lvlJc w:val="left"/>
      <w:lvlText w:val="(%1)"/>
      <w:numFmt w:val="lowerLetter"/>
      <w:start w:val="2"/>
    </w:lvl>
  </w:abstractNum>
  <w:abstractNum w:abstractNumId="54">
    <w:nsid w:val="6A5F7029"/>
    <w:multiLevelType w:val="hybridMultilevel"/>
    <w:lvl w:ilvl="0">
      <w:lvlJc w:val="left"/>
      <w:lvlText w:val="%1."/>
      <w:numFmt w:val="decimal"/>
      <w:start w:val="4"/>
    </w:lvl>
  </w:abstractNum>
  <w:abstractNum w:abstractNumId="55">
    <w:nsid w:val="7D5E18F8"/>
    <w:multiLevelType w:val="hybridMultilevel"/>
    <w:lvl w:ilvl="0">
      <w:lvlJc w:val="left"/>
      <w:lvlText w:val="%1."/>
      <w:numFmt w:val="decimal"/>
      <w:start w:val="5"/>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1"/>
      <w:numFmt w:val="lowerLetter"/>
      <w:start w:val="1"/>
    </w:lvl>
    <w:lvl w:ilvl="1">
      <w:lvlJc w:val="left"/>
      <w:lvlText w:val="(%2)"/>
      <w:numFmt w:val="lowerLetter"/>
      <w:start w:val="2"/>
    </w:lvl>
  </w:abstractNum>
  <w:abstractNum w:abstractNumId="58">
    <w:nsid w:val="7DE67713"/>
    <w:multiLevelType w:val="hybridMultilevel"/>
    <w:lvl w:ilvl="0">
      <w:lvlJc w:val="left"/>
      <w:lvlText w:val="(%1)"/>
      <w:numFmt w:val="lowerLetter"/>
      <w:start w:val="3"/>
    </w:lvl>
    <w:lvl w:ilvl="1">
      <w:lvlJc w:val="left"/>
      <w:lvlText w:val="%2"/>
      <w:numFmt w:val="lowerLetter"/>
      <w:start w:val="1"/>
    </w:lvl>
  </w:abstractNum>
  <w:abstractNum w:abstractNumId="59">
    <w:nsid w:val="555C55B5"/>
    <w:multiLevelType w:val="hybridMultilevel"/>
    <w:lvl w:ilvl="0">
      <w:lvlJc w:val="left"/>
      <w:lvlText w:val="%1."/>
      <w:numFmt w:val="decimal"/>
      <w:start w:val="3"/>
    </w:lvl>
  </w:abstractNum>
  <w:abstractNum w:abstractNumId="60">
    <w:nsid w:val="3FA62ACA"/>
    <w:multiLevelType w:val="hybridMultilevel"/>
    <w:lvl w:ilvl="0">
      <w:lvlJc w:val="left"/>
      <w:lvlText w:val="%1."/>
      <w:numFmt w:val="decimal"/>
      <w:start w:val="7"/>
    </w:lvl>
  </w:abstractNum>
  <w:abstractNum w:abstractNumId="61">
    <w:nsid w:val="14FCE74E"/>
    <w:multiLevelType w:val="hybridMultilevel"/>
    <w:lvl w:ilvl="0">
      <w:lvlJc w:val="left"/>
      <w:lvlText w:val="%1."/>
      <w:numFmt w:val="decimal"/>
      <w:start w:val="8"/>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1."/>
      <w:numFmt w:val="decimal"/>
      <w:start w:val="1"/>
    </w:lvl>
  </w:abstractNum>
  <w:abstractNum w:abstractNumId="64">
    <w:nsid w:val="9DAF632"/>
    <w:multiLevelType w:val="hybridMultilevel"/>
    <w:lvl w:ilvl="0">
      <w:lvlJc w:val="left"/>
      <w:lvlText w:val="(%1)"/>
      <w:numFmt w:val="lowerLetter"/>
      <w:start w:val="2"/>
    </w:lvl>
  </w:abstractNum>
  <w:abstractNum w:abstractNumId="65">
    <w:nsid w:val="53299938"/>
    <w:multiLevelType w:val="hybridMultilevel"/>
    <w:lvl w:ilvl="0">
      <w:lvlJc w:val="left"/>
      <w:lvlText w:val="%1"/>
      <w:numFmt w:val="decimal"/>
      <w:start w:val="1"/>
    </w:lvl>
    <w:lvl w:ilvl="1">
      <w:lvlJc w:val="left"/>
      <w:lvlText w:val="(%2)"/>
      <w:numFmt w:val="lowerLetter"/>
      <w:start w:val="3"/>
    </w:lvl>
  </w:abstractNum>
  <w:abstractNum w:abstractNumId="66">
    <w:nsid w:val="1FBFE8E0"/>
    <w:multiLevelType w:val="hybridMultilevel"/>
    <w:lvl w:ilvl="0">
      <w:lvlJc w:val="left"/>
      <w:lvlText w:val="%1."/>
      <w:numFmt w:val="decimal"/>
      <w:start w:val="3"/>
    </w:lvl>
    <w:lvl w:ilvl="1">
      <w:lvlJc w:val="left"/>
      <w:lvlText w:val="%2"/>
      <w:numFmt w:val="lowerLetter"/>
      <w:start w:val="1"/>
    </w:lvl>
  </w:abstractNum>
  <w:abstractNum w:abstractNumId="67">
    <w:nsid w:val="5092CA79"/>
    <w:multiLevelType w:val="hybridMultilevel"/>
    <w:lvl w:ilvl="0">
      <w:lvlJc w:val="left"/>
      <w:lvlText w:val="%1."/>
      <w:numFmt w:val="decimal"/>
      <w:start w:val="7"/>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lowerLetter"/>
      <w:start w:val="2"/>
    </w:lvl>
  </w:abstractNum>
  <w:abstractNum w:abstractNumId="71">
    <w:nsid w:val="2A155DBC"/>
    <w:multiLevelType w:val="hybridMultilevel"/>
    <w:lvl w:ilvl="0">
      <w:lvlJc w:val="left"/>
      <w:lvlText w:val="(%1)"/>
      <w:numFmt w:val="lowerLetter"/>
      <w:start w:val="3"/>
    </w:lvl>
  </w:abstractNum>
  <w:abstractNum w:abstractNumId="72">
    <w:nsid w:val="1D9F6E5F"/>
    <w:multiLevelType w:val="hybridMultilevel"/>
    <w:lvl w:ilvl="0">
      <w:lvlJc w:val="left"/>
      <w:lvlText w:val="%1."/>
      <w:numFmt w:val="decimal"/>
      <w:start w:val="3"/>
    </w:lvl>
  </w:abstractNum>
  <w:abstractNum w:abstractNumId="73">
    <w:nsid w:val="97E1B4E"/>
    <w:multiLevelType w:val="hybridMultilevel"/>
    <w:lvl w:ilvl="0">
      <w:lvlJc w:val="left"/>
      <w:lvlText w:val="%1."/>
      <w:numFmt w:val="decimal"/>
      <w:start w:val="9"/>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start w:val="9"/>
    </w:lvl>
  </w:abstractNum>
  <w:abstractNum w:abstractNumId="76">
    <w:nsid w:val="53584B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415E286C"/>
    <w:multiLevelType w:val="hybridMultilevel"/>
    <w:lvl w:ilvl="0">
      <w:lvlJc w:val="left"/>
      <w:lvlText w:val="(%1)"/>
      <w:numFmt w:val="upperLetter"/>
      <w:start w:val="4"/>
    </w:lvl>
  </w:abstractNum>
  <w:abstractNum w:abstractNumId="78">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79">
    <w:nsid w:val="23D86AA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0">
    <w:nsid w:val="45E6D486"/>
    <w:multiLevelType w:val="hybridMultilevel"/>
    <w:lvl w:ilvl="0">
      <w:lvlJc w:val="left"/>
      <w:lvlText w:val="(%1)"/>
      <w:numFmt w:val="lowerRoman"/>
      <w:start w:val="2"/>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lowerLetter"/>
      <w:start w:val="2"/>
    </w:lvl>
    <w:lvl w:ilvl="1">
      <w:lvlJc w:val="left"/>
      <w:lvlText w:val="(%2)"/>
      <w:numFmt w:val="lowerRoman"/>
      <w:start w:val="1"/>
    </w:lvl>
  </w:abstractNum>
  <w:abstractNum w:abstractNumId="84">
    <w:nsid w:val="4BD8591A"/>
    <w:multiLevelType w:val="hybridMultilevel"/>
    <w:lvl w:ilvl="0">
      <w:lvlJc w:val="left"/>
      <w:lvlText w:val="(%1)"/>
      <w:numFmt w:val="lowerLetter"/>
      <w:start w:val="5"/>
    </w:lvl>
  </w:abstractNum>
  <w:abstractNum w:abstractNumId="85">
    <w:nsid w:val="78DF6A55"/>
    <w:multiLevelType w:val="hybridMultilevel"/>
    <w:lvl w:ilvl="0">
      <w:lvlJc w:val="left"/>
      <w:lvlText w:val="(%1)"/>
      <w:numFmt w:val="lowerRoman"/>
      <w:start w:val="2"/>
    </w:lvl>
  </w:abstractNum>
  <w:abstractNum w:abstractNumId="86">
    <w:nsid w:val="39B7AAA2"/>
    <w:multiLevelType w:val="hybridMultilevel"/>
    <w:lvl w:ilvl="0">
      <w:lvlJc w:val="left"/>
      <w:lvlText w:val="(%1)"/>
      <w:numFmt w:val="lowerLetter"/>
      <w:start w:val="1"/>
    </w:lvl>
    <w:lvl w:ilvl="1">
      <w:lvlJc w:val="left"/>
      <w:lvlText w:val="(%2)"/>
      <w:numFmt w:val="lowerLetter"/>
      <w:start w:val="9"/>
    </w:lvl>
  </w:abstractNum>
  <w:abstractNum w:abstractNumId="87">
    <w:nsid w:val="2B0D8DB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8">
    <w:nsid w:val="6C80EC7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9">
    <w:nsid w:val="379E21B5"/>
    <w:multiLevelType w:val="hybridMultilevel"/>
    <w:lvl w:ilvl="0">
      <w:lvlJc w:val="left"/>
      <w:lvlText w:val="(%1)"/>
      <w:numFmt w:val="lowerLetter"/>
      <w:start w:val="4"/>
    </w:lvl>
  </w:abstractNum>
  <w:abstractNum w:abstractNumId="90">
    <w:nsid w:val="69E373"/>
    <w:multiLevelType w:val="hybridMultilevel"/>
    <w:lvl w:ilvl="0">
      <w:lvlJc w:val="left"/>
      <w:lvlText w:val="(%1)"/>
      <w:numFmt w:val="lowerLetter"/>
      <w:start w:val="1"/>
    </w:lvl>
  </w:abstractNum>
  <w:abstractNum w:abstractNumId="91">
    <w:nsid w:val="2C27173B"/>
    <w:multiLevelType w:val="hybridMultilevel"/>
    <w:lvl w:ilvl="0">
      <w:lvlJc w:val="left"/>
      <w:lvlText w:val="(%1)"/>
      <w:numFmt w:val="lowerLetter"/>
      <w:start w:val="1"/>
    </w:lvl>
  </w:abstractNum>
  <w:abstractNum w:abstractNumId="92">
    <w:nsid w:val="4C9B0904"/>
    <w:multiLevelType w:val="hybridMultilevel"/>
    <w:lvl w:ilvl="0">
      <w:lvlJc w:val="left"/>
      <w:lvlText w:val="(%1)"/>
      <w:numFmt w:val="lowerLetter"/>
      <w:start w:val="3"/>
    </w:lvl>
    <w:lvl w:ilvl="1">
      <w:lvlJc w:val="left"/>
      <w:lvlText w:val="(%2)"/>
      <w:numFmt w:val="lowerRoman"/>
      <w:start w:val="1"/>
    </w:lvl>
  </w:abstractNum>
  <w:abstractNum w:abstractNumId="93">
    <w:nsid w:val="6AA7B75C"/>
    <w:multiLevelType w:val="hybridMultilevel"/>
    <w:lvl w:ilvl="0">
      <w:lvlJc w:val="left"/>
      <w:lvlText w:val="%1"/>
      <w:numFmt w:val="lowerLetter"/>
      <w:start w:val="1"/>
    </w:lvl>
    <w:lvl w:ilvl="1">
      <w:lvlJc w:val="left"/>
      <w:lvlText w:val="(%2)"/>
      <w:numFmt w:val="lowerRoman"/>
      <w:start w:val="7"/>
    </w:lvl>
  </w:abstractNum>
  <w:abstractNum w:abstractNumId="94">
    <w:nsid w:val="1DF029D3"/>
    <w:multiLevelType w:val="hybridMultilevel"/>
    <w:lvl w:ilvl="0">
      <w:lvlJc w:val="left"/>
      <w:lvlText w:val="(%1)"/>
      <w:numFmt w:val="lowerLetter"/>
      <w:start w:val="4"/>
    </w:lvl>
    <w:lvl w:ilvl="1">
      <w:lvlJc w:val="left"/>
      <w:lvlText w:val="%2"/>
      <w:numFmt w:val="lowerRoman"/>
      <w:start w:val="1"/>
    </w:lvl>
  </w:abstractNum>
  <w:abstractNum w:abstractNumId="95">
    <w:nsid w:val="5675FF36"/>
    <w:multiLevelType w:val="hybridMultilevel"/>
    <w:lvl w:ilvl="0">
      <w:lvlJc w:val="left"/>
      <w:lvlText w:val="%1"/>
      <w:numFmt w:val="lowerLetter"/>
      <w:start w:val="1"/>
    </w:lvl>
    <w:lvl w:ilvl="1">
      <w:lvlJc w:val="left"/>
      <w:lvlText w:val="(%2)"/>
      <w:numFmt w:val="lowerLetter"/>
      <w:start w:val="1"/>
    </w:lvl>
  </w:abstractNum>
  <w:abstractNum w:abstractNumId="96">
    <w:nsid w:val="3DD15094"/>
    <w:multiLevelType w:val="hybridMultilevel"/>
    <w:lvl w:ilvl="0">
      <w:lvlJc w:val="left"/>
      <w:lvlText w:val="(%1)"/>
      <w:numFmt w:val="lowerLetter"/>
      <w:start w:val="24"/>
    </w:lvl>
    <w:lvl w:ilvl="1">
      <w:lvlJc w:val="left"/>
      <w:lvlText w:val="(%2)"/>
      <w:numFmt w:val="lowerLetter"/>
      <w:start w:val="3"/>
    </w:lvl>
  </w:abstractNum>
  <w:abstractNum w:abstractNumId="97">
    <w:nsid w:val="3DB012B3"/>
    <w:multiLevelType w:val="hybridMultilevel"/>
    <w:lvl w:ilvl="0">
      <w:lvlJc w:val="left"/>
      <w:lvlText w:val="(%1)"/>
      <w:numFmt w:val="lowerLetter"/>
      <w:start w:val="1"/>
    </w:lvl>
    <w:lvl w:ilvl="1">
      <w:lvlJc w:val="left"/>
      <w:lvlText w:val="(%2)"/>
      <w:numFmt w:val="lowerLetter"/>
      <w:start w:val="9"/>
    </w:lvl>
  </w:abstractNum>
  <w:abstractNum w:abstractNumId="98">
    <w:nsid w:val="2708C9AF"/>
    <w:multiLevelType w:val="hybridMultilevel"/>
    <w:lvl w:ilvl="0">
      <w:lvlJc w:val="left"/>
      <w:lvlText w:val="(%1)"/>
      <w:numFmt w:val="lowerRoman"/>
      <w:start w:val="2"/>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Letter"/>
      <w:start w:val="1"/>
    </w:lvl>
  </w:abstractNum>
  <w:abstractNum w:abstractNumId="101">
    <w:nsid w:val="4F97E3E4"/>
    <w:multiLevelType w:val="hybridMultilevel"/>
    <w:lvl w:ilvl="0">
      <w:lvlJc w:val="left"/>
      <w:lvlText w:val="(%1)"/>
      <w:numFmt w:val="lowerLetter"/>
      <w:start w:val="2"/>
    </w:lvl>
  </w:abstractNum>
  <w:abstractNum w:abstractNumId="102">
    <w:nsid w:val="53B0A9E"/>
    <w:multiLevelType w:val="hybridMultilevel"/>
    <w:lvl w:ilvl="0">
      <w:lvlJc w:val="left"/>
      <w:lvlText w:val="(%1)"/>
      <w:numFmt w:val="lowerLetter"/>
      <w:start w:val="4"/>
    </w:lvl>
  </w:abstractNum>
  <w:abstractNum w:abstractNumId="103">
    <w:nsid w:val="34FD6B4F"/>
    <w:multiLevelType w:val="hybridMultilevel"/>
    <w:lvl w:ilvl="0">
      <w:lvlJc w:val="left"/>
      <w:lvlText w:val="(%1)"/>
      <w:numFmt w:val="lowerLetter"/>
      <w:start w:val="5"/>
    </w:lvl>
  </w:abstractNum>
  <w:abstractNum w:abstractNumId="104">
    <w:nsid w:val="5915FF32"/>
    <w:multiLevelType w:val="hybridMultilevel"/>
    <w:lvl w:ilvl="0">
      <w:lvlJc w:val="left"/>
      <w:lvlText w:val="(%1)"/>
      <w:numFmt w:val="lowerLetter"/>
      <w:start w:val="7"/>
    </w:lvl>
    <w:lvl w:ilvl="1">
      <w:lvlJc w:val="left"/>
      <w:lvlText w:val="(%2)"/>
      <w:numFmt w:val="lowerRoman"/>
      <w:start w:val="1"/>
    </w:lvl>
  </w:abstractNum>
  <w:abstractNum w:abstractNumId="105">
    <w:nsid w:val="56438D15"/>
    <w:multiLevelType w:val="hybridMultilevel"/>
    <w:lvl w:ilvl="0">
      <w:lvlJc w:val="left"/>
      <w:lvlText w:val="(%1)"/>
      <w:numFmt w:val="lowerRoman"/>
      <w:start w:val="6"/>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Letter"/>
      <w:start w:val="2"/>
    </w:lvl>
  </w:abstractNum>
  <w:abstractNum w:abstractNumId="108">
    <w:nsid w:val="17A1B582"/>
    <w:multiLevelType w:val="hybridMultilevel"/>
    <w:lvl w:ilvl="0">
      <w:lvlJc w:val="left"/>
      <w:lvlText w:val="(%1)"/>
      <w:numFmt w:val="lowerLetter"/>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1)"/>
      <w:numFmt w:val="lowerLetter"/>
      <w:start w:val="5"/>
    </w:lvl>
  </w:abstractNum>
  <w:abstractNum w:abstractNumId="111">
    <w:nsid w:val="5D888A08"/>
    <w:multiLevelType w:val="hybridMultilevel"/>
    <w:lvl w:ilvl="0">
      <w:lvlJc w:val="left"/>
      <w:lvlText w:val="(%1)"/>
      <w:numFmt w:val="lowerLetter"/>
      <w:start w:val="1"/>
    </w:lvl>
  </w:abstractNum>
  <w:abstractNum w:abstractNumId="112">
    <w:nsid w:val="2A082C70"/>
    <w:multiLevelType w:val="hybridMultilevel"/>
    <w:lvl w:ilvl="0">
      <w:lvlJc w:val="left"/>
      <w:lvlText w:val="%1"/>
      <w:numFmt w:val="decimal"/>
      <w:start w:val="1"/>
    </w:lvl>
    <w:lvl w:ilvl="1">
      <w:lvlJc w:val="left"/>
      <w:lvlText w:val="(%2)"/>
      <w:numFmt w:val="lowerLetter"/>
      <w:start w:val="2"/>
    </w:lvl>
  </w:abstractNum>
  <w:abstractNum w:abstractNumId="113">
    <w:nsid w:val="5EC6AFD4"/>
    <w:multiLevelType w:val="hybridMultilevel"/>
    <w:lvl w:ilvl="0">
      <w:lvlJc w:val="left"/>
      <w:lvlText w:val="(%1)"/>
      <w:numFmt w:val="decimal"/>
      <w:start w:val="30"/>
    </w:lvl>
    <w:lvl w:ilvl="1">
      <w:lvlJc w:val="left"/>
      <w:lvlText w:val="%2"/>
      <w:numFmt w:val="lowerLetter"/>
      <w:start w:val="1"/>
    </w:lvl>
  </w:abstractNum>
  <w:abstractNum w:abstractNumId="114">
    <w:nsid w:val="19E21BB2"/>
    <w:multiLevelType w:val="hybridMultilevel"/>
    <w:lvl w:ilvl="0">
      <w:lvlJc w:val="left"/>
      <w:lvlText w:val="(%1)"/>
      <w:numFmt w:val="lowerLetter"/>
      <w:start w:val="4"/>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1)"/>
      <w:numFmt w:val="lowerLetter"/>
      <w:start w:val="4"/>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3"/>
    </w:lvl>
  </w:abstractNum>
  <w:abstractNum w:abstractNumId="119">
    <w:nsid w:val="4427069A"/>
    <w:multiLevelType w:val="hybridMultilevel"/>
    <w:lvl w:ilvl="0">
      <w:lvlJc w:val="left"/>
      <w:lvlText w:val="(%1)"/>
      <w:numFmt w:val="lowerLetter"/>
      <w:start w:val="1"/>
    </w:lvl>
    <w:lvl w:ilvl="1">
      <w:lvlJc w:val="left"/>
      <w:lvlText w:val="(%2)"/>
      <w:numFmt w:val="lowerRoman"/>
      <w:start w:val="1"/>
    </w:lvl>
  </w:abstractNum>
  <w:abstractNum w:abstractNumId="120">
    <w:nsid w:val="B37E80A"/>
    <w:multiLevelType w:val="hybridMultilevel"/>
    <w:lvl w:ilvl="0">
      <w:lvlJc w:val="left"/>
      <w:lvlText w:val="(%1)"/>
      <w:numFmt w:val="lowerLetter"/>
      <w:start w:val="2"/>
    </w:lvl>
  </w:abstractNum>
  <w:abstractNum w:abstractNumId="121">
    <w:nsid w:val="2157F6BC"/>
    <w:multiLevelType w:val="hybridMultilevel"/>
    <w:lvl w:ilvl="0">
      <w:lvlJc w:val="left"/>
      <w:lvlText w:val="(%1)"/>
      <w:numFmt w:val="lowerRoman"/>
      <w:start w:val="1"/>
    </w:lvl>
  </w:abstractNum>
  <w:abstractNum w:abstractNumId="122">
    <w:nsid w:val="704E1DD5"/>
    <w:multiLevelType w:val="hybridMultilevel"/>
    <w:lvl w:ilvl="0">
      <w:lvlJc w:val="left"/>
      <w:lvlText w:val="(%1)"/>
      <w:numFmt w:val="lowerLetter"/>
      <w:start w:val="1"/>
    </w:lvl>
  </w:abstractNum>
  <w:abstractNum w:abstractNumId="123">
    <w:nsid w:val="57D2F10E"/>
    <w:multiLevelType w:val="hybridMultilevel"/>
    <w:lvl w:ilvl="0">
      <w:lvlJc w:val="left"/>
      <w:lvlText w:val="(%1)"/>
      <w:numFmt w:val="lowerLetter"/>
      <w:start w:val="9"/>
    </w:lvl>
    <w:lvl w:ilvl="1">
      <w:lvlJc w:val="left"/>
      <w:lvlText w:val="(%2)"/>
      <w:numFmt w:val="lowerLetter"/>
      <w:start w:val="3"/>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lowerLetter"/>
      <w:start w:val="1"/>
    </w:lvl>
  </w:abstractNum>
  <w:abstractNum w:abstractNumId="126">
    <w:nsid w:val="2E48F044"/>
    <w:multiLevelType w:val="hybridMultilevel"/>
    <w:lvl w:ilvl="0">
      <w:lvlJc w:val="left"/>
      <w:lvlText w:val="(%1)"/>
      <w:numFmt w:val="lowerLetter"/>
      <w:start w:val="1"/>
    </w:lvl>
  </w:abstractNum>
  <w:abstractNum w:abstractNumId="127">
    <w:nsid w:val="49D0FEAC"/>
    <w:multiLevelType w:val="hybridMultilevel"/>
    <w:lvl w:ilvl="0">
      <w:lvlJc w:val="left"/>
      <w:lvlText w:val="(%1)"/>
      <w:numFmt w:val="lowerLetter"/>
      <w:start w:val="3"/>
    </w:lvl>
  </w:abstractNum>
  <w:abstractNum w:abstractNumId="128">
    <w:nsid w:val="4BEE5A5B"/>
    <w:multiLevelType w:val="hybridMultilevel"/>
    <w:lvl w:ilvl="0">
      <w:lvlJc w:val="left"/>
      <w:lvlText w:val="(%1)"/>
      <w:numFmt w:val="lowerLetter"/>
      <w:start w:val="2"/>
    </w:lvl>
  </w:abstractNum>
  <w:abstractNum w:abstractNumId="129">
    <w:nsid w:val="5551B9F3"/>
    <w:multiLevelType w:val="hybridMultilevel"/>
    <w:lvl w:ilvl="0">
      <w:lvlJc w:val="left"/>
      <w:lvlText w:val="(%1)"/>
      <w:numFmt w:val="lowerLetter"/>
      <w:start w:val="1"/>
    </w:lvl>
    <w:lvl w:ilvl="1">
      <w:lvlJc w:val="left"/>
      <w:lvlText w:val="(%2)"/>
      <w:numFmt w:val="lowerRoman"/>
      <w:start w:val="1"/>
    </w:lvl>
  </w:abstractNum>
  <w:abstractNum w:abstractNumId="130">
    <w:nsid w:val="24F6AB8E"/>
    <w:multiLevelType w:val="hybridMultilevel"/>
    <w:lvl w:ilvl="0">
      <w:lvlJc w:val="left"/>
      <w:lvlText w:val="(%1)"/>
      <w:numFmt w:val="lowerRoman"/>
      <w:start w:val="4"/>
    </w:lvl>
  </w:abstractNum>
  <w:abstractNum w:abstractNumId="131">
    <w:nsid w:val="634C574C"/>
    <w:multiLevelType w:val="hybridMultilevel"/>
    <w:lvl w:ilvl="0">
      <w:lvlJc w:val="left"/>
      <w:lvlText w:val="(%1)"/>
      <w:numFmt w:val="lowerRoman"/>
      <w:start w:val="6"/>
    </w:lvl>
  </w:abstractNum>
  <w:abstractNum w:abstractNumId="132">
    <w:nsid w:val="24E99DD7"/>
    <w:multiLevelType w:val="hybridMultilevel"/>
    <w:lvl w:ilvl="0">
      <w:lvlJc w:val="left"/>
      <w:lvlText w:val="(%1)"/>
      <w:numFmt w:val="lowerLetter"/>
      <w:start w:val="1"/>
    </w:lvl>
  </w:abstractNum>
  <w:abstractNum w:abstractNumId="133">
    <w:nsid w:val="2A31B62D"/>
    <w:multiLevelType w:val="hybridMultilevel"/>
    <w:lvl w:ilvl="0">
      <w:lvlJc w:val="left"/>
      <w:lvlText w:val="(%1)"/>
      <w:numFmt w:val="lowerLetter"/>
      <w:start w:val="2"/>
    </w:lvl>
  </w:abstractNum>
  <w:abstractNum w:abstractNumId="134">
    <w:nsid w:val="1849C29B"/>
    <w:multiLevelType w:val="hybridMultilevel"/>
    <w:lvl w:ilvl="0">
      <w:lvlJc w:val="left"/>
      <w:lvlText w:val="(%1)"/>
      <w:numFmt w:val="lowerLetter"/>
      <w:start w:val="1"/>
    </w:lvl>
  </w:abstractNum>
  <w:abstractNum w:abstractNumId="135">
    <w:nsid w:val="7DFF9D09"/>
    <w:multiLevelType w:val="hybridMultilevel"/>
    <w:lvl w:ilvl="0">
      <w:lvlJc w:val="left"/>
      <w:lvlText w:val="(%1)"/>
      <w:numFmt w:val="lowerLetter"/>
      <w:start w:val="3"/>
    </w:lvl>
  </w:abstractNum>
  <w:abstractNum w:abstractNumId="136">
    <w:nsid w:val="754342"/>
    <w:multiLevelType w:val="hybridMultilevel"/>
    <w:lvl w:ilvl="0">
      <w:lvlJc w:val="left"/>
      <w:lvlText w:val="•"/>
      <w:numFmt w:val="bullet"/>
      <w:start w:val="1"/>
    </w:lvl>
  </w:abstractNum>
  <w:abstractNum w:abstractNumId="137">
    <w:nsid w:val="69E7F3E5"/>
    <w:multiLevelType w:val="hybridMultilevel"/>
    <w:lvl w:ilvl="0">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
      <w:numFmt w:val="bullet"/>
      <w:start w:val="1"/>
    </w:lvl>
  </w:abstractNum>
  <w:abstractNum w:abstractNumId="140">
    <w:nsid w:val="37DF2233"/>
    <w:multiLevelType w:val="hybridMultilevel"/>
    <w:lvl w:ilvl="0">
      <w:lvlJc w:val="left"/>
      <w:lvlText w:val="•"/>
      <w:numFmt w:val="bullet"/>
      <w:start w:val="1"/>
    </w:lvl>
  </w:abstractNum>
  <w:abstractNum w:abstractNumId="141">
    <w:nsid w:val="7AB49DAF"/>
    <w:multiLevelType w:val="hybridMultilevel"/>
    <w:lvl w:ilvl="0">
      <w:lvlJc w:val="left"/>
      <w:lvlText w:val="•"/>
      <w:numFmt w:val="bullet"/>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49" Type="http://schemas.openxmlformats.org/officeDocument/2006/relationships/image" Target="media/image28.png"/><Relationship Id="rId52" Type="http://schemas.openxmlformats.org/officeDocument/2006/relationships/image" Target="media/image29.png"/><Relationship Id="rId55" Type="http://schemas.openxmlformats.org/officeDocument/2006/relationships/image" Target="media/image30.png"/><Relationship Id="rId58" Type="http://schemas.openxmlformats.org/officeDocument/2006/relationships/image" Target="media/image31.png"/><Relationship Id="rId61" Type="http://schemas.openxmlformats.org/officeDocument/2006/relationships/image" Target="media/image32.png"/><Relationship Id="rId64" Type="http://schemas.openxmlformats.org/officeDocument/2006/relationships/image" Target="media/image33.png"/><Relationship Id="rId67" Type="http://schemas.openxmlformats.org/officeDocument/2006/relationships/image" Target="media/image34.png"/><Relationship Id="rId99" Type="http://schemas.openxmlformats.org/officeDocument/2006/relationships/image" Target="media/image35.png"/><Relationship Id="rId100" Type="http://schemas.openxmlformats.org/officeDocument/2006/relationships/image" Target="media/image36.png"/><Relationship Id="rId101" Type="http://schemas.openxmlformats.org/officeDocument/2006/relationships/image" Target="media/image37.png"/><Relationship Id="rId102" Type="http://schemas.openxmlformats.org/officeDocument/2006/relationships/image" Target="media/image38.png"/><Relationship Id="rId103" Type="http://schemas.openxmlformats.org/officeDocument/2006/relationships/image" Target="media/image39.png"/><Relationship Id="rId104" Type="http://schemas.openxmlformats.org/officeDocument/2006/relationships/image" Target="media/image40.png"/><Relationship Id="rId105" Type="http://schemas.openxmlformats.org/officeDocument/2006/relationships/image" Target="media/image41.png"/><Relationship Id="rId106" Type="http://schemas.openxmlformats.org/officeDocument/2006/relationships/image" Target="media/image42.png"/><Relationship Id="rId107" Type="http://schemas.openxmlformats.org/officeDocument/2006/relationships/image" Target="media/image43.png"/><Relationship Id="rId108" Type="http://schemas.openxmlformats.org/officeDocument/2006/relationships/image" Target="media/image44.png"/><Relationship Id="rId109" Type="http://schemas.openxmlformats.org/officeDocument/2006/relationships/image" Target="media/image45.png"/><Relationship Id="rId110" Type="http://schemas.openxmlformats.org/officeDocument/2006/relationships/image" Target="media/image46.png"/><Relationship Id="rId111" Type="http://schemas.openxmlformats.org/officeDocument/2006/relationships/image" Target="media/image47.png"/><Relationship Id="rId112" Type="http://schemas.openxmlformats.org/officeDocument/2006/relationships/image" Target="media/image48.png"/><Relationship Id="rId113" Type="http://schemas.openxmlformats.org/officeDocument/2006/relationships/image" Target="media/image49.png"/><Relationship Id="rId114" Type="http://schemas.openxmlformats.org/officeDocument/2006/relationships/image" Target="media/image50.png"/><Relationship Id="rId115" Type="http://schemas.openxmlformats.org/officeDocument/2006/relationships/image" Target="media/image51.png"/><Relationship Id="rId116" Type="http://schemas.openxmlformats.org/officeDocument/2006/relationships/image" Target="media/image52.png"/><Relationship Id="rId117" Type="http://schemas.openxmlformats.org/officeDocument/2006/relationships/image" Target="media/image53.png"/><Relationship Id="rId118" Type="http://schemas.openxmlformats.org/officeDocument/2006/relationships/image" Target="media/image54.png"/><Relationship Id="rId119" Type="http://schemas.openxmlformats.org/officeDocument/2006/relationships/image" Target="media/image55.png"/><Relationship Id="rId120" Type="http://schemas.openxmlformats.org/officeDocument/2006/relationships/image" Target="media/image56.png"/><Relationship Id="rId121" Type="http://schemas.openxmlformats.org/officeDocument/2006/relationships/image" Target="media/image57.png"/><Relationship Id="rId122" Type="http://schemas.openxmlformats.org/officeDocument/2006/relationships/image" Target="media/image58.png"/><Relationship Id="rId123" Type="http://schemas.openxmlformats.org/officeDocument/2006/relationships/image" Target="media/image59.png"/><Relationship Id="rId124" Type="http://schemas.openxmlformats.org/officeDocument/2006/relationships/image" Target="media/image60.png"/><Relationship Id="rId125" Type="http://schemas.openxmlformats.org/officeDocument/2006/relationships/image" Target="media/image61.png"/><Relationship Id="rId126" Type="http://schemas.openxmlformats.org/officeDocument/2006/relationships/image" Target="media/image62.png"/><Relationship Id="rId127" Type="http://schemas.openxmlformats.org/officeDocument/2006/relationships/image" Target="media/image63.png"/><Relationship Id="rId128" Type="http://schemas.openxmlformats.org/officeDocument/2006/relationships/image" Target="media/image64.png"/><Relationship Id="rId129" Type="http://schemas.openxmlformats.org/officeDocument/2006/relationships/image" Target="media/image65.png"/><Relationship Id="rId130" Type="http://schemas.openxmlformats.org/officeDocument/2006/relationships/image" Target="media/image66.png"/><Relationship Id="rId131" Type="http://schemas.openxmlformats.org/officeDocument/2006/relationships/image" Target="media/image67.png"/><Relationship Id="rId132" Type="http://schemas.openxmlformats.org/officeDocument/2006/relationships/image" Target="media/image68.png"/><Relationship Id="rId35" Type="http://schemas.openxmlformats.org/officeDocument/2006/relationships/hyperlink" Target="http://www.sec.gov/Archives/edgar/data/872589/000153217615000029/regn-ex_31x06302015x10q.htm" TargetMode="External"/><Relationship Id="rId36" Type="http://schemas.openxmlformats.org/officeDocument/2006/relationships/hyperlink" Target="http://www.sec.gov/Archives/edgar/data/872589/000110465916163216/a16-23471_1ex3d2.htm" TargetMode="External"/><Relationship Id="rId37" Type="http://schemas.openxmlformats.org/officeDocument/2006/relationships/hyperlink" Target="http://www.sec.gov/Archives/edgar/data/872589/000120677411001374/exhibit99-1.htm" TargetMode="External"/><Relationship Id="rId38" Type="http://schemas.openxmlformats.org/officeDocument/2006/relationships/hyperlink" Target="http://www.sec.gov/Archives/edgar/data/872589/000095012305014882/y15671exv10w01.htm" TargetMode="External"/><Relationship Id="rId39" Type="http://schemas.openxmlformats.org/officeDocument/2006/relationships/hyperlink" Target="http://www.sec.gov/Archives/edgar/data/872589/000095012305014882/y15671exv10w02.htm" TargetMode="External"/><Relationship Id="rId40" Type="http://schemas.openxmlformats.org/officeDocument/2006/relationships/hyperlink" Target="http://www.sec.gov/Archives/edgar/data/872589/000095012304014716/y69569exv10w03.htm" TargetMode="External"/><Relationship Id="rId41" Type="http://schemas.openxmlformats.org/officeDocument/2006/relationships/hyperlink" Target="http://www.sec.gov/Archives/edgar/data/872589/000120677409000907/exhibit10-1.htm" TargetMode="External"/><Relationship Id="rId42" Type="http://schemas.openxmlformats.org/officeDocument/2006/relationships/hyperlink" Target="http://www.sec.gov/Archives/edgar/data/872589/000120677409000907/exhibit10-2.htm" TargetMode="External"/><Relationship Id="rId43" Type="http://schemas.openxmlformats.org/officeDocument/2006/relationships/hyperlink" Target="http://www.sec.gov/Archives/edgar/data/872589/000120677411000263/exhibit10_1-7.htm" TargetMode="External"/><Relationship Id="rId44" Type="http://schemas.openxmlformats.org/officeDocument/2006/relationships/hyperlink" Target="http://www.sec.gov/Archives/edgar/data/872589/000120677411000263/exhibit10_1-8.htm" TargetMode="External"/><Relationship Id="rId45" Type="http://schemas.openxmlformats.org/officeDocument/2006/relationships/hyperlink" Target="http://www.sec.gov/Archives/edgar/data/872589/000120677412000709/exhibit10-1_9.htm" TargetMode="External"/><Relationship Id="rId46" Type="http://schemas.openxmlformats.org/officeDocument/2006/relationships/hyperlink" Target="http://www.sec.gov/Archives/edgar/data/872589/000153217614000008/exhibit10110.htm" TargetMode="External"/><Relationship Id="rId47" Type="http://schemas.openxmlformats.org/officeDocument/2006/relationships/hyperlink" Target="http://www.sec.gov/Archives/edgar/data/872589/000110465917038718/a17-14867_1ex99d1.htm" TargetMode="External"/><Relationship Id="rId48" Type="http://schemas.openxmlformats.org/officeDocument/2006/relationships/hyperlink" Target="http://www.sec.gov/Archives/edgar/data/872589/000119312514240075/d741250dex101.htm" TargetMode="External"/><Relationship Id="rId50" Type="http://schemas.openxmlformats.org/officeDocument/2006/relationships/hyperlink" Target="http://www.sec.gov/Archives/edgar/data/872589/000119312514240075/d741250dex102.htm" TargetMode="External"/><Relationship Id="rId51" Type="http://schemas.openxmlformats.org/officeDocument/2006/relationships/hyperlink" Target="http://www.sec.gov/Archives/edgar/data/872589/000119312514240075/d741250dex103.htm" TargetMode="External"/><Relationship Id="rId53" Type="http://schemas.openxmlformats.org/officeDocument/2006/relationships/hyperlink" Target="http://www.sec.gov/Archives/edgar/data/872589/000119312514240075/d741250dex104.htm" TargetMode="External"/><Relationship Id="rId54" Type="http://schemas.openxmlformats.org/officeDocument/2006/relationships/hyperlink" Target="http://www.sec.gov/Archives/edgar/data/872589/000153217616000045/regn-ex_1025x12312015x10k.htm" TargetMode="External"/><Relationship Id="rId56" Type="http://schemas.openxmlformats.org/officeDocument/2006/relationships/hyperlink" Target="http://www.sec.gov/Archives/edgar/data/872589/000153217616000045/regn-ex_1026x12312015x10k.htm" TargetMode="External"/><Relationship Id="rId57" Type="http://schemas.openxmlformats.org/officeDocument/2006/relationships/hyperlink" Target="http://www.sec.gov/Archives/edgar/data/872589/000110465915080234/a15-23696_1ex10d1.htm" TargetMode="External"/><Relationship Id="rId59" Type="http://schemas.openxmlformats.org/officeDocument/2006/relationships/hyperlink" Target="http://www.sec.gov/Archives/edgar/data/872589/000110465915080234/a15-23696_1ex10d2.htm" TargetMode="External"/><Relationship Id="rId60" Type="http://schemas.openxmlformats.org/officeDocument/2006/relationships/hyperlink" Target="http://www.sec.gov/Archives/edgar/data/872589/000110465915080234/a15-23696_1ex10d3.htm" TargetMode="External"/><Relationship Id="rId62" Type="http://schemas.openxmlformats.org/officeDocument/2006/relationships/hyperlink" Target="http://www.sec.gov/Archives/edgar/data/872589/000153217616000045/regn-ex_10210x12312015x10k.htm" TargetMode="External"/><Relationship Id="rId63" Type="http://schemas.openxmlformats.org/officeDocument/2006/relationships/hyperlink" Target="http://www.sec.gov/Archives/edgar/data/872589/000153217618000013/regn-ex_10211xar2014ltipnq.htm" TargetMode="External"/><Relationship Id="rId65" Type="http://schemas.openxmlformats.org/officeDocument/2006/relationships/hyperlink" Target="http://www.sec.gov/Archives/edgar/data/872589/000153217618000013/regn-ex_10212xar2014ltipis.htm" TargetMode="External"/><Relationship Id="rId66" Type="http://schemas.openxmlformats.org/officeDocument/2006/relationships/hyperlink" Target="http://www.sec.gov/Archives/edgar/data/872589/000153217618000013/regn-ex_10213xar2014ltipnq.htm" TargetMode="External"/><Relationship Id="rId68" Type="http://schemas.openxmlformats.org/officeDocument/2006/relationships/hyperlink" Target="http://www.sec.gov/Archives/edgar/data/872589/000153217618000013/regn-ex_10214xar2014ltipis.htm" TargetMode="External"/><Relationship Id="rId69" Type="http://schemas.openxmlformats.org/officeDocument/2006/relationships/hyperlink" Target="http://www.sec.gov/Archives/edgar/data/872589/000153217618000013/regn-ex_10215xar2014ltiprs.htm" TargetMode="External"/><Relationship Id="rId70" Type="http://schemas.openxmlformats.org/officeDocument/2006/relationships/hyperlink" Target="http://www.sec.gov/Archives/edgar/data/872589/000153217618000013/regn-ex_10216xar2014ltipnq.htm" TargetMode="External"/><Relationship Id="rId71" Type="http://schemas.openxmlformats.org/officeDocument/2006/relationships/hyperlink" Target="http://www.sec.gov/Archives/edgar/data/872589/000120677409000338/exhibit10-3.htm" TargetMode="External"/><Relationship Id="rId72" Type="http://schemas.openxmlformats.org/officeDocument/2006/relationships/hyperlink" Target="http://www.sec.gov/Archives/edgar/data/872589/000095012305002979/y06183exv10w7.txt" TargetMode="External"/><Relationship Id="rId73" Type="http://schemas.openxmlformats.org/officeDocument/2006/relationships/hyperlink" Target="http://www.sec.gov/Archives/edgar/data/872589/000119312513365438/d596986dex101.htm" TargetMode="External"/><Relationship Id="rId74" Type="http://schemas.openxmlformats.org/officeDocument/2006/relationships/hyperlink" Target="http://www.sec.gov/Archives/edgar/data/872589/000120677409000338/exhibit10-5.htm" TargetMode="External"/><Relationship Id="rId75" Type="http://schemas.openxmlformats.org/officeDocument/2006/relationships/hyperlink" Target="http://www.sec.gov/Archives/edgar/data/872589/000110465915045962/a15-14252_1ex10d1.htm" TargetMode="External"/><Relationship Id="rId76" Type="http://schemas.openxmlformats.org/officeDocument/2006/relationships/hyperlink" Target="http://www.sec.gov/Archives/edgar/data/872589/000120677409001498/exhibit10-1.htm" TargetMode="External"/><Relationship Id="rId77" Type="http://schemas.openxmlformats.org/officeDocument/2006/relationships/hyperlink" Target="http://www.sec.gov/Archives/edgar/data/872589/000153217615000020/regn-ex_101x03312015x10q.htm" TargetMode="External"/><Relationship Id="rId78" Type="http://schemas.openxmlformats.org/officeDocument/2006/relationships/hyperlink" Target="http://www.sec.gov/Archives/edgar/data/872589/000095012306013527/y26593exv10w1.htm" TargetMode="External"/><Relationship Id="rId79" Type="http://schemas.openxmlformats.org/officeDocument/2006/relationships/hyperlink" Target="http://www.sec.gov/Archives/edgar/data/872589/000153217615000008/regn-ex_10101x12312014x10k.htm" TargetMode="External"/><Relationship Id="rId80" Type="http://schemas.openxmlformats.org/officeDocument/2006/relationships/hyperlink" Target="http://www.sec.gov/Archives/edgar/data/872589/000153217614000022/regn-ex_102x03312014x10q.htm" TargetMode="External"/><Relationship Id="rId81" Type="http://schemas.openxmlformats.org/officeDocument/2006/relationships/hyperlink" Target="http://www.sec.gov/Archives/edgar/data/872589/000120677410001385/exhibit10-14.htm" TargetMode="External"/><Relationship Id="rId82" Type="http://schemas.openxmlformats.org/officeDocument/2006/relationships/hyperlink" Target="http://www.sec.gov/Archives/edgar/data/872589/000153217615000037/regn-ex_103x09302015x10q.htm" TargetMode="External"/><Relationship Id="rId83" Type="http://schemas.openxmlformats.org/officeDocument/2006/relationships/hyperlink" Target="http://www.sec.gov/Archives/edgar/data/872589/000120677410001385/exhibit10-15.htm" TargetMode="External"/><Relationship Id="rId84" Type="http://schemas.openxmlformats.org/officeDocument/2006/relationships/hyperlink" Target="http://www.sec.gov/Archives/edgar/data/872589/000153217613000022/regn-ex_105x6302013x10q.htm" TargetMode="External"/><Relationship Id="rId85" Type="http://schemas.openxmlformats.org/officeDocument/2006/relationships/hyperlink" Target="http://www.sec.gov/Archives/edgar/data/872589/000153217615000037/regn-ex_104x09302015x10q.htm" TargetMode="External"/><Relationship Id="rId86" Type="http://schemas.openxmlformats.org/officeDocument/2006/relationships/hyperlink" Target="http://www.sec.gov/Archives/edgar/data/872589/000119312514008775/d659864dex101.htm" TargetMode="External"/><Relationship Id="rId87" Type="http://schemas.openxmlformats.org/officeDocument/2006/relationships/hyperlink" Target="http://www.sec.gov/Archives/edgar/data/872589/000153217613000022/regn-ex_106x6302013x10q.htm" TargetMode="External"/><Relationship Id="rId88" Type="http://schemas.openxmlformats.org/officeDocument/2006/relationships/hyperlink" Target="http://www.sec.gov/Archives/edgar/data/872589/000110465918073328/a18-41689_1ex10d1.htm" TargetMode="External"/><Relationship Id="rId89" Type="http://schemas.openxmlformats.org/officeDocument/2006/relationships/hyperlink" Target="http://www.sec.gov/Archives/edgar/data/872589/000153217615000037/regn-ex_102x09302015x10q.htm" TargetMode="External"/><Relationship Id="rId90" Type="http://schemas.openxmlformats.org/officeDocument/2006/relationships/hyperlink" Target="http://www.sec.gov/Archives/edgar/data/872589/000153217615000037/regn-ex_107x09302015x10q.htm" TargetMode="External"/><Relationship Id="rId91" Type="http://schemas.openxmlformats.org/officeDocument/2006/relationships/hyperlink" Target="http://www.sec.gov/Archives/edgar/data/872589/000153217616000055/regn-ex_102x03312016x10q.htm" TargetMode="External"/><Relationship Id="rId92" Type="http://schemas.openxmlformats.org/officeDocument/2006/relationships/hyperlink" Target="http://www.sec.gov/Archives/edgar/data/872589/000153217616000082/regn-ex_101xteva.htm" TargetMode="External"/><Relationship Id="rId93" Type="http://schemas.openxmlformats.org/officeDocument/2006/relationships/hyperlink" Target="http://www.sec.gov/Archives/edgar/data/872589/000153217617000008/regn-ex_1035xlandmarkpsaex.htm" TargetMode="External"/><Relationship Id="rId94" Type="http://schemas.openxmlformats.org/officeDocument/2006/relationships/hyperlink" Target="http://www.sec.gov/Archives/edgar/data/872589/000110465917015313/a17-7791_1ex10d1.htm" TargetMode="External"/><Relationship Id="rId95" Type="http://schemas.openxmlformats.org/officeDocument/2006/relationships/hyperlink" Target="http://www.sec.gov/Archives/edgar/data/872589/000110465917015313/a17-7791_1ex10d2.htm" TargetMode="External"/><Relationship Id="rId96" Type="http://schemas.openxmlformats.org/officeDocument/2006/relationships/hyperlink" Target="http://www.sec.gov/Archives/edgar/data/872589/000110465917015313/a17-7791_1ex10d3.htm" TargetMode="External"/><Relationship Id="rId97" Type="http://schemas.openxmlformats.org/officeDocument/2006/relationships/hyperlink" Target="http://www.sec.gov/Archives/edgar/data/872589/000153217618000020/regn-ex_101xretirementagre.htm" TargetMode="External"/><Relationship Id="rId98" Type="http://schemas.openxmlformats.org/officeDocument/2006/relationships/hyperlink" Target="http://www.sec.gov/Archives/edgar/data/872589/000153217618000020/regn-ex_102xletter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2019-12-28T16:51:36Z</dcterms:created>
  <dcterms:modified xsi:type="dcterms:W3CDTF">2019-12-28T16:51:36Z</dcterms:modified>
</cp:coreProperties>
</file>