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6" w:lineRule="exact"/>
        <w:rPr>
          <w:sz w:val="24"/>
          <w:szCs w:val="24"/>
          <w:color w:val="auto"/>
        </w:rPr>
      </w:pPr>
    </w:p>
    <w:p>
      <w:pPr>
        <w:ind w:left="280" w:right="2560" w:hanging="274"/>
        <w:spacing w:after="0" w:line="314"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6"/>
          <w:szCs w:val="16"/>
          <w:color w:val="auto"/>
        </w:rPr>
      </w:pPr>
    </w:p>
    <w:p>
      <w:pPr>
        <w:ind w:left="1120"/>
        <w:spacing w:after="0"/>
        <w:rPr>
          <w:rFonts w:ascii="MS PGothic" w:cs="MS PGothic" w:eastAsia="MS PGothic" w:hAnsi="MS PGothic"/>
          <w:sz w:val="16"/>
          <w:szCs w:val="16"/>
          <w:color w:val="auto"/>
        </w:rPr>
      </w:pPr>
      <w:r>
        <w:rPr>
          <w:rFonts w:ascii="Arial" w:cs="Arial" w:eastAsia="Arial" w:hAnsi="Arial"/>
          <w:sz w:val="17"/>
          <w:szCs w:val="17"/>
          <w:b w:val="1"/>
          <w:bCs w:val="1"/>
          <w:color w:val="auto"/>
        </w:rPr>
        <w:t>OR</w:t>
      </w:r>
    </w:p>
    <w:p>
      <w:pPr>
        <w:spacing w:after="0" w:line="61" w:lineRule="exact"/>
        <w:rPr>
          <w:sz w:val="24"/>
          <w:szCs w:val="24"/>
          <w:color w:val="auto"/>
        </w:rPr>
      </w:pPr>
    </w:p>
    <w:p>
      <w:pPr>
        <w:ind w:left="280" w:right="2220" w:hanging="274"/>
        <w:spacing w:after="0" w:line="345" w:lineRule="auto"/>
        <w:tabs>
          <w:tab w:leader="none" w:pos="28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0-19034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REGENERON PHARMACEUTICALS,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80" w:type="dxa"/>
            <w:vAlign w:val="bottom"/>
          </w:tcPr>
          <w:p>
            <w:pPr>
              <w:jc w:val="center"/>
              <w:ind w:left="155"/>
              <w:spacing w:after="0"/>
              <w:rPr>
                <w:sz w:val="20"/>
                <w:szCs w:val="20"/>
                <w:color w:val="auto"/>
              </w:rPr>
            </w:pPr>
            <w:r>
              <w:rPr>
                <w:rFonts w:ascii="Arial" w:cs="Arial" w:eastAsia="Arial" w:hAnsi="Arial"/>
                <w:sz w:val="18"/>
                <w:szCs w:val="18"/>
                <w:b w:val="1"/>
                <w:bCs w:val="1"/>
                <w:color w:val="auto"/>
                <w:w w:val="92"/>
              </w:rPr>
              <w:t>New York</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gridSpan w:val="2"/>
          </w:tcPr>
          <w:p>
            <w:pPr>
              <w:jc w:val="right"/>
              <w:ind w:right="1550"/>
              <w:spacing w:after="0"/>
              <w:rPr>
                <w:sz w:val="20"/>
                <w:szCs w:val="20"/>
                <w:color w:val="auto"/>
              </w:rPr>
            </w:pPr>
            <w:r>
              <w:rPr>
                <w:rFonts w:ascii="Arial" w:cs="Arial" w:eastAsia="Arial" w:hAnsi="Arial"/>
                <w:sz w:val="18"/>
                <w:szCs w:val="18"/>
                <w:b w:val="1"/>
                <w:bCs w:val="1"/>
                <w:color w:val="auto"/>
              </w:rPr>
              <w:t>13-3444607</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4380" w:type="dxa"/>
            <w:vAlign w:val="bottom"/>
            <w:gridSpan w:val="4"/>
          </w:tcPr>
          <w:p>
            <w:pPr>
              <w:jc w:val="center"/>
              <w:ind w:left="32"/>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380" w:type="dxa"/>
            <w:vAlign w:val="bottom"/>
            <w:gridSpan w:val="3"/>
          </w:tcPr>
          <w:p>
            <w:pPr>
              <w:jc w:val="center"/>
              <w:ind w:right="690"/>
              <w:spacing w:after="0"/>
              <w:rPr>
                <w:sz w:val="20"/>
                <w:szCs w:val="20"/>
                <w:color w:val="auto"/>
              </w:rPr>
            </w:pPr>
            <w:r>
              <w:rPr>
                <w:rFonts w:ascii="Arial" w:cs="Arial" w:eastAsia="Arial" w:hAnsi="Arial"/>
                <w:sz w:val="16"/>
                <w:szCs w:val="16"/>
                <w:i w:val="1"/>
                <w:iCs w:val="1"/>
                <w:color w:val="auto"/>
                <w:w w:val="94"/>
              </w:rPr>
              <w:t>(I.R.S. Employer Identification No.)</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060" w:type="dxa"/>
            <w:vAlign w:val="bottom"/>
          </w:tcPr>
          <w:p>
            <w:pPr>
              <w:spacing w:after="0"/>
              <w:rPr>
                <w:sz w:val="24"/>
                <w:szCs w:val="24"/>
                <w:color w:val="auto"/>
              </w:rPr>
            </w:pPr>
          </w:p>
        </w:tc>
        <w:tc>
          <w:tcPr>
            <w:tcW w:w="7760" w:type="dxa"/>
            <w:vAlign w:val="bottom"/>
            <w:gridSpan w:val="7"/>
          </w:tcPr>
          <w:p>
            <w:pPr>
              <w:jc w:val="center"/>
              <w:ind w:right="570"/>
              <w:spacing w:after="0"/>
              <w:rPr>
                <w:sz w:val="20"/>
                <w:szCs w:val="20"/>
                <w:color w:val="auto"/>
              </w:rPr>
            </w:pPr>
            <w:r>
              <w:rPr>
                <w:rFonts w:ascii="Arial" w:cs="Arial" w:eastAsia="Arial" w:hAnsi="Arial"/>
                <w:sz w:val="18"/>
                <w:szCs w:val="18"/>
                <w:b w:val="1"/>
                <w:bCs w:val="1"/>
                <w:color w:val="auto"/>
                <w:w w:val="93"/>
              </w:rPr>
              <w:t>777 Old Saw Mill River Road Tarrytown, New York 10591-6707</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60" w:type="dxa"/>
            <w:vAlign w:val="bottom"/>
            <w:gridSpan w:val="6"/>
          </w:tcPr>
          <w:p>
            <w:pPr>
              <w:jc w:val="center"/>
              <w:ind w:right="1890"/>
              <w:spacing w:after="0"/>
              <w:rPr>
                <w:sz w:val="20"/>
                <w:szCs w:val="20"/>
                <w:color w:val="auto"/>
              </w:rPr>
            </w:pPr>
            <w:r>
              <w:rPr>
                <w:rFonts w:ascii="Arial" w:cs="Arial" w:eastAsia="Arial" w:hAnsi="Arial"/>
                <w:sz w:val="16"/>
                <w:szCs w:val="16"/>
                <w:i w:val="1"/>
                <w:iCs w:val="1"/>
                <w:color w:val="auto"/>
                <w:w w:val="92"/>
              </w:rPr>
              <w:t>(Address of principal executive offices, including zip code)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(914) 847-7000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60" w:type="dxa"/>
            <w:vAlign w:val="bottom"/>
            <w:gridSpan w:val="6"/>
          </w:tcPr>
          <w:p>
            <w:pPr>
              <w:jc w:val="center"/>
              <w:ind w:right="1890"/>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60" w:type="dxa"/>
            <w:vAlign w:val="bottom"/>
            <w:gridSpan w:val="6"/>
          </w:tcPr>
          <w:p>
            <w:pPr>
              <w:jc w:val="center"/>
              <w:ind w:right="18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0"/>
              </w:rPr>
              <w:t>Trading Symbol</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gridSpan w:val="4"/>
          </w:tcPr>
          <w:p>
            <w:pPr>
              <w:jc w:val="center"/>
              <w:ind w:right="380"/>
              <w:spacing w:after="0"/>
              <w:rPr>
                <w:sz w:val="20"/>
                <w:szCs w:val="20"/>
                <w:color w:val="auto"/>
              </w:rPr>
            </w:pPr>
            <w:r>
              <w:rPr>
                <w:rFonts w:ascii="Arial" w:cs="Arial" w:eastAsia="Arial" w:hAnsi="Arial"/>
                <w:sz w:val="18"/>
                <w:szCs w:val="18"/>
                <w:i w:val="1"/>
                <w:iCs w:val="1"/>
                <w:color w:val="auto"/>
                <w:w w:val="88"/>
              </w:rPr>
              <w:t>Name of each exchange on which registered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306"/>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REGN</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NASDAQ Global Select Market</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2060" w:type="dxa"/>
            <w:vAlign w:val="bottom"/>
          </w:tcPr>
          <w:p>
            <w:pPr>
              <w:spacing w:after="0"/>
              <w:rPr>
                <w:sz w:val="24"/>
                <w:szCs w:val="24"/>
                <w:color w:val="auto"/>
              </w:rPr>
            </w:pPr>
          </w:p>
        </w:tc>
        <w:tc>
          <w:tcPr>
            <w:tcW w:w="7760" w:type="dxa"/>
            <w:vAlign w:val="bottom"/>
            <w:gridSpan w:val="7"/>
          </w:tcPr>
          <w:p>
            <w:pPr>
              <w:jc w:val="center"/>
              <w:ind w:right="59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0" w:type="dxa"/>
            <w:vAlign w:val="bottom"/>
            <w:gridSpan w:val="2"/>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83"/>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0" w:type="dxa"/>
            <w:vAlign w:val="bottom"/>
            <w:gridSpan w:val="2"/>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12"/>
        </w:trPr>
        <w:tc>
          <w:tcPr>
            <w:tcW w:w="9820" w:type="dxa"/>
            <w:vAlign w:val="bottom"/>
            <w:gridSpan w:val="8"/>
          </w:tcPr>
          <w:p>
            <w:pPr>
              <w:spacing w:after="0"/>
              <w:rPr>
                <w:sz w:val="20"/>
                <w:szCs w:val="20"/>
                <w:color w:val="auto"/>
              </w:rPr>
            </w:pPr>
            <w:r>
              <w:rPr>
                <w:rFonts w:ascii="Arial" w:cs="Arial" w:eastAsia="Arial" w:hAnsi="Arial"/>
                <w:sz w:val="14"/>
                <w:szCs w:val="14"/>
                <w:color w:val="auto"/>
                <w:w w:val="98"/>
              </w:rPr>
              <w:t>Indicate by check mark whether the registrant (1) has filed all reports required to be filed by Section 13 or 15(d) of the Securities Exchange Act of 1934 during the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9820" w:type="dxa"/>
            <w:vAlign w:val="bottom"/>
            <w:gridSpan w:val="8"/>
          </w:tcPr>
          <w:p>
            <w:pPr>
              <w:spacing w:after="0" w:line="135" w:lineRule="exact"/>
              <w:rPr>
                <w:sz w:val="20"/>
                <w:szCs w:val="20"/>
                <w:color w:val="auto"/>
              </w:rPr>
            </w:pPr>
            <w:r>
              <w:rPr>
                <w:rFonts w:ascii="Arial" w:cs="Arial" w:eastAsia="Arial" w:hAnsi="Arial"/>
                <w:sz w:val="14"/>
                <w:szCs w:val="14"/>
                <w:color w:val="auto"/>
                <w:w w:val="94"/>
              </w:rPr>
              <w:t>preceding 12 months (or for such shorter period that the registrant was required to file such reports), and (2) has been subject to such filing requirements for the past 90</w:t>
            </w:r>
          </w:p>
        </w:tc>
        <w:tc>
          <w:tcPr>
            <w:tcW w:w="660" w:type="dxa"/>
            <w:vAlign w:val="bottom"/>
            <w:gridSpan w:val="2"/>
            <w:vMerge w:val="restart"/>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06"/>
        </w:trPr>
        <w:tc>
          <w:tcPr>
            <w:tcW w:w="5040" w:type="dxa"/>
            <w:vAlign w:val="bottom"/>
            <w:gridSpan w:val="3"/>
          </w:tcPr>
          <w:p>
            <w:pPr>
              <w:spacing w:after="0"/>
              <w:rPr>
                <w:sz w:val="20"/>
                <w:szCs w:val="20"/>
                <w:color w:val="auto"/>
              </w:rPr>
            </w:pPr>
            <w:r>
              <w:rPr>
                <w:rFonts w:ascii="Arial" w:cs="Arial" w:eastAsia="Arial" w:hAnsi="Arial"/>
                <w:sz w:val="14"/>
                <w:szCs w:val="14"/>
                <w:color w:val="auto"/>
              </w:rPr>
              <w:t>days.</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820" w:type="dxa"/>
            <w:vAlign w:val="bottom"/>
            <w:gridSpan w:val="8"/>
          </w:tcPr>
          <w:p>
            <w:pPr>
              <w:spacing w:after="0"/>
              <w:rPr>
                <w:sz w:val="20"/>
                <w:szCs w:val="20"/>
                <w:color w:val="auto"/>
              </w:rPr>
            </w:pPr>
            <w:r>
              <w:rPr>
                <w:rFonts w:ascii="Arial" w:cs="Arial" w:eastAsia="Arial" w:hAnsi="Arial"/>
                <w:sz w:val="14"/>
                <w:szCs w:val="14"/>
                <w:color w:val="auto"/>
                <w:w w:val="95"/>
              </w:rPr>
              <w:t>Indicate by check mark whether the registrant has submitted electronically every Interactive Data File required to be submitted pursuant to Rule 405 of Regulation S-T</w:t>
            </w:r>
          </w:p>
        </w:tc>
        <w:tc>
          <w:tcPr>
            <w:tcW w:w="660" w:type="dxa"/>
            <w:vAlign w:val="bottom"/>
            <w:gridSpan w:val="2"/>
            <w:vMerge w:val="restart"/>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07"/>
        </w:trPr>
        <w:tc>
          <w:tcPr>
            <w:tcW w:w="9820" w:type="dxa"/>
            <w:vAlign w:val="bottom"/>
            <w:gridSpan w:val="8"/>
          </w:tcPr>
          <w:p>
            <w:pPr>
              <w:spacing w:after="0"/>
              <w:rPr>
                <w:sz w:val="20"/>
                <w:szCs w:val="20"/>
                <w:color w:val="auto"/>
              </w:rPr>
            </w:pPr>
            <w:r>
              <w:rPr>
                <w:rFonts w:ascii="Arial" w:cs="Arial" w:eastAsia="Arial" w:hAnsi="Arial"/>
                <w:sz w:val="14"/>
                <w:szCs w:val="14"/>
                <w:color w:val="auto"/>
              </w:rPr>
              <w:t>(§232.405 of this chapter) during the preceding 12 months (or for such shorter period that the registrant was required to submit such files).</w:t>
            </w:r>
          </w:p>
        </w:tc>
        <w:tc>
          <w:tcPr>
            <w:tcW w:w="6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4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ind w:left="280"/>
        <w:spacing w:after="0" w:line="161" w:lineRule="exact"/>
        <w:tabs>
          <w:tab w:leader="none" w:pos="2260" w:val="left"/>
          <w:tab w:leader="none" w:pos="4020" w:val="left"/>
          <w:tab w:leader="none" w:pos="6040" w:val="left"/>
          <w:tab w:leader="none" w:pos="84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00"/>
          </w:cols>
          <w:pgMar w:left="340" w:top="796" w:right="359" w:bottom="1440" w:gutter="0" w:footer="0" w:header="0"/>
        </w:sectPr>
      </w:pPr>
    </w:p>
    <w:p>
      <w:pPr>
        <w:spacing w:after="0" w:line="163" w:lineRule="exact"/>
        <w:rPr>
          <w:sz w:val="24"/>
          <w:szCs w:val="24"/>
          <w:color w:val="auto"/>
        </w:rPr>
      </w:pPr>
    </w:p>
    <w:p>
      <w:pPr>
        <w:ind w:right="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2"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2">
            <w:col w:w="10720" w:space="200"/>
            <w:col w:w="280"/>
          </w:cols>
          <w:pgMar w:left="340" w:top="796" w:right="359" w:bottom="1440" w:gutter="0" w:footer="0" w:header="0"/>
          <w:type w:val="continuous"/>
        </w:sectPr>
      </w:pPr>
    </w:p>
    <w:p>
      <w:pPr>
        <w:spacing w:after="0" w:line="161" w:lineRule="exact"/>
        <w:tabs>
          <w:tab w:leader="none" w:pos="9980" w:val="left"/>
          <w:tab w:leader="none" w:pos="107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50" w:lineRule="exact"/>
        <w:rPr>
          <w:sz w:val="24"/>
          <w:szCs w:val="24"/>
          <w:color w:val="auto"/>
        </w:rPr>
      </w:pPr>
    </w:p>
    <w:p>
      <w:pPr>
        <w:jc w:val="both"/>
        <w:spacing w:after="0" w:line="286"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$57,065,000,000, computed by reference to the closing sales price of the stock on NASDAQ on June 30, 2021,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400" w:type="dxa"/>
            <w:vAlign w:val="bottom"/>
            <w:gridSpan w:val="4"/>
          </w:tcPr>
          <w:p>
            <w:pPr>
              <w:spacing w:after="0"/>
              <w:rPr>
                <w:sz w:val="20"/>
                <w:szCs w:val="20"/>
                <w:color w:val="auto"/>
              </w:rPr>
            </w:pPr>
            <w:r>
              <w:rPr>
                <w:rFonts w:ascii="Arial" w:cs="Arial" w:eastAsia="Arial" w:hAnsi="Arial"/>
                <w:sz w:val="14"/>
                <w:szCs w:val="14"/>
                <w:color w:val="auto"/>
                <w:w w:val="93"/>
              </w:rPr>
              <w:t>The number of shares outstanding of each of the registrant's classes of common stock as of January 27, 2022:</w:t>
            </w:r>
          </w:p>
        </w:tc>
        <w:tc>
          <w:tcPr>
            <w:tcW w:w="1680" w:type="dxa"/>
            <w:vAlign w:val="bottom"/>
          </w:tcPr>
          <w:p>
            <w:pPr>
              <w:spacing w:after="0"/>
              <w:rPr>
                <w:sz w:val="15"/>
                <w:szCs w:val="15"/>
                <w:color w:val="auto"/>
              </w:rPr>
            </w:pPr>
          </w:p>
        </w:tc>
      </w:tr>
      <w:tr>
        <w:trPr>
          <w:trHeight w:val="330"/>
        </w:trPr>
        <w:tc>
          <w:tcPr>
            <w:tcW w:w="3140" w:type="dxa"/>
            <w:vAlign w:val="bottom"/>
          </w:tcPr>
          <w:p>
            <w:pPr>
              <w:spacing w:after="0"/>
              <w:rPr>
                <w:sz w:val="24"/>
                <w:szCs w:val="24"/>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4"/>
                <w:szCs w:val="14"/>
                <w:color w:val="auto"/>
                <w:w w:val="94"/>
              </w:rPr>
              <w:t>Class of Common Stock</w:t>
            </w:r>
          </w:p>
        </w:tc>
        <w:tc>
          <w:tcPr>
            <w:tcW w:w="1680" w:type="dxa"/>
            <w:vAlign w:val="bottom"/>
          </w:tcPr>
          <w:p>
            <w:pPr>
              <w:ind w:left="100"/>
              <w:spacing w:after="0"/>
              <w:rPr>
                <w:sz w:val="20"/>
                <w:szCs w:val="20"/>
                <w:color w:val="auto"/>
              </w:rPr>
            </w:pPr>
            <w:r>
              <w:rPr>
                <w:rFonts w:ascii="Arial" w:cs="Arial" w:eastAsia="Arial" w:hAnsi="Arial"/>
                <w:sz w:val="14"/>
                <w:szCs w:val="14"/>
                <w:color w:val="auto"/>
              </w:rPr>
              <w:t>Number of Shares</w:t>
            </w:r>
          </w:p>
        </w:tc>
      </w:tr>
      <w:tr>
        <w:trPr>
          <w:trHeight w:val="182"/>
        </w:trPr>
        <w:tc>
          <w:tcPr>
            <w:tcW w:w="314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Stock, $.001 par value</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color w:val="auto"/>
              </w:rPr>
              <w:t>1,823,283</w:t>
            </w:r>
          </w:p>
        </w:tc>
      </w:tr>
      <w:tr>
        <w:trPr>
          <w:trHeight w:val="184"/>
        </w:trPr>
        <w:tc>
          <w:tcPr>
            <w:tcW w:w="3140" w:type="dxa"/>
            <w:vAlign w:val="bottom"/>
          </w:tcPr>
          <w:p>
            <w:pPr>
              <w:spacing w:after="0"/>
              <w:rPr>
                <w:sz w:val="15"/>
                <w:szCs w:val="15"/>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4"/>
                <w:szCs w:val="14"/>
                <w:color w:val="auto"/>
                <w:w w:val="92"/>
              </w:rPr>
              <w:t>Common Stock, $.001 par value</w:t>
            </w:r>
          </w:p>
        </w:tc>
        <w:tc>
          <w:tcPr>
            <w:tcW w:w="1680" w:type="dxa"/>
            <w:vAlign w:val="bottom"/>
          </w:tcPr>
          <w:p>
            <w:pPr>
              <w:jc w:val="right"/>
              <w:ind w:right="628"/>
              <w:spacing w:after="0"/>
              <w:rPr>
                <w:sz w:val="20"/>
                <w:szCs w:val="20"/>
                <w:color w:val="auto"/>
              </w:rPr>
            </w:pPr>
            <w:r>
              <w:rPr>
                <w:rFonts w:ascii="Arial" w:cs="Arial" w:eastAsia="Arial" w:hAnsi="Arial"/>
                <w:sz w:val="14"/>
                <w:szCs w:val="14"/>
                <w:color w:val="auto"/>
              </w:rPr>
              <w:t>106,715,999</w:t>
            </w:r>
          </w:p>
        </w:tc>
      </w:tr>
    </w:tbl>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Specified portions of the Registrant's definitive proxy statement to be filed in connection with solicitation of proxies for its 2022 Annual Meeting of Shareholders are incorporated by reference into Part III of this Form 10-K. Exhibit index is located on pages 95 to 101 of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424180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9"/>
          </w:tcPr>
          <w:p>
            <w:pPr>
              <w:ind w:left="580"/>
              <w:spacing w:after="0"/>
              <w:rPr>
                <w:sz w:val="20"/>
                <w:szCs w:val="20"/>
                <w:color w:val="auto"/>
              </w:rPr>
            </w:pPr>
            <w:r>
              <w:rPr>
                <w:rFonts w:ascii="Arial" w:cs="Arial" w:eastAsia="Arial" w:hAnsi="Arial"/>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680" w:type="dxa"/>
            <w:vAlign w:val="bottom"/>
            <w:tcBorders>
              <w:bottom w:val="single" w:sz="8" w:color="CCEEFF"/>
            </w:tcBorders>
            <w:gridSpan w:val="5"/>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89"/>
        </w:trPr>
        <w:tc>
          <w:tcPr>
            <w:tcW w:w="1280" w:type="dxa"/>
            <w:vAlign w:val="bottom"/>
            <w:gridSpan w:val="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6440" w:type="dxa"/>
            <w:vAlign w:val="bottom"/>
            <w:gridSpan w:val="2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240" w:type="dxa"/>
            <w:vAlign w:val="bottom"/>
            <w:gridSpan w:val="6"/>
          </w:tcPr>
          <w:p>
            <w:pPr>
              <w:jc w:val="center"/>
              <w:ind w:left="95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Item 1A.</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rFonts w:ascii="Arial" w:cs="Arial" w:eastAsia="Arial" w:hAnsi="Arial"/>
                <w:sz w:val="18"/>
                <w:szCs w:val="18"/>
                <w:color w:val="0000FF"/>
                <w:w w:val="92"/>
              </w:rPr>
            </w:pPr>
            <w:hyperlink w:anchor="page75">
              <w:r>
                <w:rPr>
                  <w:rFonts w:ascii="Arial" w:cs="Arial" w:eastAsia="Arial" w:hAnsi="Arial"/>
                  <w:sz w:val="18"/>
                  <w:szCs w:val="18"/>
                  <w:color w:val="0000FF"/>
                  <w:w w:val="92"/>
                </w:rPr>
                <w:t>Item 1B.</w:t>
              </w:r>
            </w:hyperlink>
          </w:p>
        </w:tc>
        <w:tc>
          <w:tcPr>
            <w:tcW w:w="640" w:type="dxa"/>
            <w:vAlign w:val="bottom"/>
            <w:gridSpan w:val="4"/>
          </w:tcPr>
          <w:p>
            <w:pPr>
              <w:spacing w:after="0"/>
              <w:rPr>
                <w:sz w:val="16"/>
                <w:szCs w:val="16"/>
                <w:color w:val="auto"/>
              </w:rPr>
            </w:pPr>
          </w:p>
        </w:tc>
        <w:tc>
          <w:tcPr>
            <w:tcW w:w="6440" w:type="dxa"/>
            <w:vAlign w:val="bottom"/>
            <w:gridSpan w:val="27"/>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Unresolved Staff Comments</w:t>
              </w:r>
            </w:hyperlink>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Item 2.</w:t>
              </w:r>
            </w:hyperlink>
          </w:p>
        </w:tc>
        <w:tc>
          <w:tcPr>
            <w:tcW w:w="760" w:type="dxa"/>
            <w:vAlign w:val="bottom"/>
            <w:gridSpan w:val="6"/>
            <w:shd w:val="clear" w:color="auto" w:fill="CCEEFF"/>
          </w:tcPr>
          <w:p>
            <w:pPr>
              <w:spacing w:after="0"/>
              <w:rPr>
                <w:sz w:val="16"/>
                <w:szCs w:val="16"/>
                <w:color w:val="auto"/>
              </w:rPr>
            </w:pPr>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Properties</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rFonts w:ascii="Arial" w:cs="Arial" w:eastAsia="Arial" w:hAnsi="Arial"/>
                <w:sz w:val="18"/>
                <w:szCs w:val="18"/>
                <w:color w:val="0000FF"/>
                <w:w w:val="90"/>
              </w:rPr>
            </w:pPr>
            <w:hyperlink w:anchor="page76">
              <w:r>
                <w:rPr>
                  <w:rFonts w:ascii="Arial" w:cs="Arial" w:eastAsia="Arial" w:hAnsi="Arial"/>
                  <w:sz w:val="18"/>
                  <w:szCs w:val="18"/>
                  <w:color w:val="0000FF"/>
                  <w:w w:val="90"/>
                </w:rPr>
                <w:t>Item 3.</w:t>
              </w:r>
            </w:hyperlink>
          </w:p>
        </w:tc>
        <w:tc>
          <w:tcPr>
            <w:tcW w:w="760" w:type="dxa"/>
            <w:vAlign w:val="bottom"/>
            <w:gridSpan w:val="6"/>
          </w:tcPr>
          <w:p>
            <w:pPr>
              <w:spacing w:after="0"/>
              <w:rPr>
                <w:sz w:val="16"/>
                <w:szCs w:val="16"/>
                <w:color w:val="auto"/>
              </w:rPr>
            </w:pPr>
          </w:p>
        </w:tc>
        <w:tc>
          <w:tcPr>
            <w:tcW w:w="6440" w:type="dxa"/>
            <w:vAlign w:val="bottom"/>
            <w:gridSpan w:val="27"/>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Legal Proceedings</w:t>
              </w:r>
            </w:hyperlink>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Item 4.</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Mine Safety Disclosures</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09"/>
        </w:trPr>
        <w:tc>
          <w:tcPr>
            <w:tcW w:w="1280" w:type="dxa"/>
            <w:vAlign w:val="bottom"/>
            <w:gridSpan w:val="7"/>
            <w:shd w:val="clear" w:color="auto" w:fill="CCEEFF"/>
          </w:tcPr>
          <w:p>
            <w:pPr>
              <w:spacing w:after="0" w:line="189" w:lineRule="exact"/>
              <w:rPr>
                <w:rFonts w:ascii="Arial" w:cs="Arial" w:eastAsia="Arial" w:hAnsi="Arial"/>
                <w:sz w:val="18"/>
                <w:szCs w:val="18"/>
                <w:b w:val="1"/>
                <w:bCs w:val="1"/>
                <w:color w:val="0000FF"/>
              </w:rPr>
            </w:pPr>
            <w:hyperlink w:anchor="page76">
              <w:r>
                <w:rPr>
                  <w:rFonts w:ascii="Arial" w:cs="Arial" w:eastAsia="Arial" w:hAnsi="Arial"/>
                  <w:sz w:val="18"/>
                  <w:szCs w:val="18"/>
                  <w:b w:val="1"/>
                  <w:bCs w:val="1"/>
                  <w:color w:val="0000FF"/>
                </w:rPr>
                <w:t>PART II</w:t>
              </w:r>
            </w:hyperlink>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66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Item 5.</w:t>
              </w:r>
            </w:hyperlink>
          </w:p>
        </w:tc>
        <w:tc>
          <w:tcPr>
            <w:tcW w:w="620" w:type="dxa"/>
            <w:vAlign w:val="bottom"/>
            <w:tcBorders>
              <w:top w:val="single" w:sz="8" w:color="CCEEFF"/>
            </w:tcBorders>
            <w:gridSpan w:val="3"/>
          </w:tcPr>
          <w:p>
            <w:pPr>
              <w:spacing w:after="0"/>
              <w:rPr>
                <w:sz w:val="16"/>
                <w:szCs w:val="16"/>
                <w:color w:val="auto"/>
              </w:rPr>
            </w:pPr>
          </w:p>
        </w:tc>
        <w:tc>
          <w:tcPr>
            <w:tcW w:w="6440" w:type="dxa"/>
            <w:vAlign w:val="bottom"/>
            <w:tcBorders>
              <w:top w:val="single" w:sz="8" w:color="CCEEFF"/>
            </w:tcBorders>
            <w:gridSpan w:val="27"/>
          </w:tcPr>
          <w:p>
            <w:pPr>
              <w:spacing w:after="0" w:line="189"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Market for Registrant's Common Equity, Related Stockholder Matters, and Issuer</w:t>
              </w:r>
            </w:hyperlink>
          </w:p>
        </w:tc>
        <w:tc>
          <w:tcPr>
            <w:tcW w:w="1240" w:type="dxa"/>
            <w:vAlign w:val="bottom"/>
            <w:tcBorders>
              <w:top w:val="single" w:sz="8" w:color="CCEEFF"/>
            </w:tcBorders>
            <w:gridSpan w:val="6"/>
          </w:tcPr>
          <w:p>
            <w:pPr>
              <w:jc w:val="center"/>
              <w:ind w:left="97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156"/>
        </w:trPr>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Purchases of Equity Securities</w:t>
              </w:r>
            </w:hyperlink>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Item 6.</w:t>
              </w:r>
            </w:hyperlink>
          </w:p>
        </w:tc>
        <w:tc>
          <w:tcPr>
            <w:tcW w:w="760" w:type="dxa"/>
            <w:vAlign w:val="bottom"/>
            <w:gridSpan w:val="6"/>
            <w:shd w:val="clear" w:color="auto" w:fill="CCEEFF"/>
          </w:tcPr>
          <w:p>
            <w:pPr>
              <w:spacing w:after="0"/>
              <w:rPr>
                <w:sz w:val="16"/>
                <w:szCs w:val="16"/>
                <w:color w:val="auto"/>
              </w:rPr>
            </w:pPr>
          </w:p>
        </w:tc>
        <w:tc>
          <w:tcPr>
            <w:tcW w:w="1040" w:type="dxa"/>
            <w:vAlign w:val="bottom"/>
            <w:gridSpan w:val="7"/>
            <w:shd w:val="clear" w:color="auto" w:fill="CCEEFF"/>
          </w:tcPr>
          <w:p>
            <w:pPr>
              <w:spacing w:after="0" w:line="189" w:lineRule="exact"/>
              <w:rPr>
                <w:rFonts w:ascii="Arial" w:cs="Arial" w:eastAsia="Arial" w:hAnsi="Arial"/>
                <w:sz w:val="18"/>
                <w:szCs w:val="18"/>
                <w:color w:val="0000FF"/>
                <w:w w:val="93"/>
              </w:rPr>
            </w:pPr>
            <w:hyperlink w:anchor="page78">
              <w:r>
                <w:rPr>
                  <w:rFonts w:ascii="Arial" w:cs="Arial" w:eastAsia="Arial" w:hAnsi="Arial"/>
                  <w:sz w:val="18"/>
                  <w:szCs w:val="18"/>
                  <w:color w:val="0000FF"/>
                  <w:w w:val="93"/>
                </w:rPr>
                <w:t>[RESERVED]</w:t>
              </w:r>
            </w:hyperlink>
          </w:p>
        </w:tc>
        <w:tc>
          <w:tcPr>
            <w:tcW w:w="5400" w:type="dxa"/>
            <w:vAlign w:val="bottom"/>
            <w:gridSpan w:val="20"/>
            <w:shd w:val="clear" w:color="auto" w:fill="CCEEFF"/>
          </w:tcPr>
          <w:p>
            <w:pPr>
              <w:spacing w:after="0"/>
              <w:rPr>
                <w:sz w:val="16"/>
                <w:szCs w:val="16"/>
                <w:color w:val="auto"/>
              </w:rPr>
            </w:pPr>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78</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rFonts w:ascii="Arial" w:cs="Arial" w:eastAsia="Arial" w:hAnsi="Arial"/>
                <w:sz w:val="18"/>
                <w:szCs w:val="18"/>
                <w:color w:val="0000FF"/>
                <w:w w:val="90"/>
              </w:rPr>
            </w:pPr>
            <w:hyperlink w:anchor="page79">
              <w:r>
                <w:rPr>
                  <w:rFonts w:ascii="Arial" w:cs="Arial" w:eastAsia="Arial" w:hAnsi="Arial"/>
                  <w:sz w:val="18"/>
                  <w:szCs w:val="18"/>
                  <w:color w:val="0000FF"/>
                  <w:w w:val="90"/>
                </w:rPr>
                <w:t>Item 7.</w:t>
              </w:r>
            </w:hyperlink>
          </w:p>
        </w:tc>
        <w:tc>
          <w:tcPr>
            <w:tcW w:w="760" w:type="dxa"/>
            <w:vAlign w:val="bottom"/>
            <w:gridSpan w:val="6"/>
          </w:tcPr>
          <w:p>
            <w:pPr>
              <w:spacing w:after="0"/>
              <w:rPr>
                <w:sz w:val="16"/>
                <w:szCs w:val="16"/>
                <w:color w:val="auto"/>
              </w:rPr>
            </w:pPr>
          </w:p>
        </w:tc>
        <w:tc>
          <w:tcPr>
            <w:tcW w:w="6440" w:type="dxa"/>
            <w:vAlign w:val="bottom"/>
            <w:gridSpan w:val="27"/>
          </w:tcPr>
          <w:p>
            <w:pPr>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Management's Discussion and Analysis of Financial Condition and Results of</w:t>
              </w:r>
            </w:hyperlink>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Operations</w:t>
              </w:r>
            </w:hyperlink>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7A.</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Quantitative and Qualitative Disclosures About Market Risk</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Item 8.</w:t>
              </w:r>
            </w:hyperlink>
          </w:p>
        </w:tc>
        <w:tc>
          <w:tcPr>
            <w:tcW w:w="640" w:type="dxa"/>
            <w:vAlign w:val="bottom"/>
            <w:gridSpan w:val="4"/>
          </w:tcPr>
          <w:p>
            <w:pPr>
              <w:spacing w:after="0"/>
              <w:rPr>
                <w:sz w:val="16"/>
                <w:szCs w:val="16"/>
                <w:color w:val="auto"/>
              </w:rPr>
            </w:pPr>
          </w:p>
        </w:tc>
        <w:tc>
          <w:tcPr>
            <w:tcW w:w="4360" w:type="dxa"/>
            <w:vAlign w:val="bottom"/>
            <w:gridSpan w:val="20"/>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Financial Statements and Supplementary Data</w:t>
              </w:r>
            </w:hyperlink>
          </w:p>
        </w:tc>
        <w:tc>
          <w:tcPr>
            <w:tcW w:w="2080" w:type="dxa"/>
            <w:vAlign w:val="bottom"/>
            <w:gridSpan w:val="7"/>
          </w:tcPr>
          <w:p>
            <w:pPr>
              <w:spacing w:after="0"/>
              <w:rPr>
                <w:sz w:val="16"/>
                <w:szCs w:val="16"/>
                <w:color w:val="auto"/>
              </w:rPr>
            </w:pPr>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92</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Item 9.</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Changes in and Disagreements with Accountants on Accounting and Financial</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92</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56"/>
        </w:trPr>
        <w:tc>
          <w:tcPr>
            <w:tcW w:w="5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w:anchor="page93">
              <w:r>
                <w:rPr>
                  <w:rFonts w:ascii="Arial" w:cs="Arial" w:eastAsia="Arial" w:hAnsi="Arial"/>
                  <w:sz w:val="18"/>
                  <w:szCs w:val="18"/>
                  <w:color w:val="0000FF"/>
                </w:rPr>
                <w:t>Disclosure</w:t>
              </w:r>
            </w:hyperlink>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Item 9A.</w:t>
              </w:r>
            </w:hyperlink>
          </w:p>
        </w:tc>
        <w:tc>
          <w:tcPr>
            <w:tcW w:w="6440" w:type="dxa"/>
            <w:vAlign w:val="bottom"/>
            <w:gridSpan w:val="27"/>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Controls and Procedures</w:t>
              </w:r>
            </w:hyperlink>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93</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640" w:type="dxa"/>
            <w:vAlign w:val="bottom"/>
            <w:gridSpan w:val="3"/>
            <w:shd w:val="clear" w:color="auto" w:fill="CCEEFF"/>
          </w:tcPr>
          <w:p>
            <w:pPr>
              <w:spacing w:after="0" w:line="189" w:lineRule="exact"/>
              <w:rPr>
                <w:rFonts w:ascii="Arial" w:cs="Arial" w:eastAsia="Arial" w:hAnsi="Arial"/>
                <w:sz w:val="18"/>
                <w:szCs w:val="18"/>
                <w:color w:val="0000FF"/>
                <w:w w:val="92"/>
              </w:rPr>
            </w:pPr>
            <w:hyperlink w:anchor="page94">
              <w:r>
                <w:rPr>
                  <w:rFonts w:ascii="Arial" w:cs="Arial" w:eastAsia="Arial" w:hAnsi="Arial"/>
                  <w:sz w:val="18"/>
                  <w:szCs w:val="18"/>
                  <w:color w:val="0000FF"/>
                  <w:w w:val="92"/>
                </w:rPr>
                <w:t>Item 9B.</w:t>
              </w:r>
            </w:hyperlink>
          </w:p>
        </w:tc>
        <w:tc>
          <w:tcPr>
            <w:tcW w:w="640" w:type="dxa"/>
            <w:vAlign w:val="bottom"/>
            <w:gridSpan w:val="4"/>
            <w:shd w:val="clear" w:color="auto" w:fill="CCEEFF"/>
          </w:tcPr>
          <w:p>
            <w:pPr>
              <w:spacing w:after="0"/>
              <w:rPr>
                <w:sz w:val="16"/>
                <w:szCs w:val="16"/>
                <w:color w:val="auto"/>
              </w:rPr>
            </w:pPr>
          </w:p>
        </w:tc>
        <w:tc>
          <w:tcPr>
            <w:tcW w:w="1320" w:type="dxa"/>
            <w:vAlign w:val="bottom"/>
            <w:gridSpan w:val="8"/>
            <w:shd w:val="clear" w:color="auto" w:fill="CCEEFF"/>
          </w:tcPr>
          <w:p>
            <w:pPr>
              <w:spacing w:after="0" w:line="189" w:lineRule="exact"/>
              <w:rPr>
                <w:rFonts w:ascii="Arial" w:cs="Arial" w:eastAsia="Arial" w:hAnsi="Arial"/>
                <w:sz w:val="18"/>
                <w:szCs w:val="18"/>
                <w:color w:val="0000FF"/>
                <w:w w:val="92"/>
              </w:rPr>
            </w:pPr>
            <w:hyperlink w:anchor="page94">
              <w:r>
                <w:rPr>
                  <w:rFonts w:ascii="Arial" w:cs="Arial" w:eastAsia="Arial" w:hAnsi="Arial"/>
                  <w:sz w:val="18"/>
                  <w:szCs w:val="18"/>
                  <w:color w:val="0000FF"/>
                  <w:w w:val="92"/>
                </w:rPr>
                <w:t>Other Information</w:t>
              </w:r>
            </w:hyperlink>
          </w:p>
        </w:tc>
        <w:tc>
          <w:tcPr>
            <w:tcW w:w="5120" w:type="dxa"/>
            <w:vAlign w:val="bottom"/>
            <w:gridSpan w:val="19"/>
            <w:shd w:val="clear" w:color="auto" w:fill="CCEEFF"/>
          </w:tcPr>
          <w:p>
            <w:pPr>
              <w:spacing w:after="0"/>
              <w:rPr>
                <w:sz w:val="16"/>
                <w:szCs w:val="16"/>
                <w:color w:val="auto"/>
              </w:rPr>
            </w:pPr>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93</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rFonts w:ascii="Arial" w:cs="Arial" w:eastAsia="Arial" w:hAnsi="Arial"/>
                <w:sz w:val="18"/>
                <w:szCs w:val="18"/>
                <w:color w:val="0000FF"/>
                <w:w w:val="91"/>
              </w:rPr>
            </w:pPr>
            <w:hyperlink w:anchor="page94">
              <w:r>
                <w:rPr>
                  <w:rFonts w:ascii="Arial" w:cs="Arial" w:eastAsia="Arial" w:hAnsi="Arial"/>
                  <w:sz w:val="18"/>
                  <w:szCs w:val="18"/>
                  <w:color w:val="0000FF"/>
                  <w:w w:val="91"/>
                </w:rPr>
                <w:t>Item 9C.</w:t>
              </w:r>
            </w:hyperlink>
          </w:p>
        </w:tc>
        <w:tc>
          <w:tcPr>
            <w:tcW w:w="640" w:type="dxa"/>
            <w:vAlign w:val="bottom"/>
            <w:gridSpan w:val="4"/>
          </w:tcPr>
          <w:p>
            <w:pPr>
              <w:spacing w:after="0"/>
              <w:rPr>
                <w:sz w:val="16"/>
                <w:szCs w:val="16"/>
                <w:color w:val="auto"/>
              </w:rPr>
            </w:pPr>
          </w:p>
        </w:tc>
        <w:tc>
          <w:tcPr>
            <w:tcW w:w="6440" w:type="dxa"/>
            <w:vAlign w:val="bottom"/>
            <w:gridSpan w:val="27"/>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Disclosure Regarding Foreign Jurisdictions that Prevent Inspections</w:t>
              </w:r>
            </w:hyperlink>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93</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280" w:type="dxa"/>
            <w:vAlign w:val="bottom"/>
            <w:gridSpan w:val="7"/>
          </w:tcPr>
          <w:p>
            <w:pPr>
              <w:spacing w:after="0" w:line="189" w:lineRule="exact"/>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PART III</w:t>
              </w:r>
            </w:hyperlink>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Item 10.</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Directors, Executive Officers and Corporate Governance</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94</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Item 11.</w:t>
              </w:r>
            </w:hyperlink>
          </w:p>
        </w:tc>
        <w:tc>
          <w:tcPr>
            <w:tcW w:w="6440" w:type="dxa"/>
            <w:vAlign w:val="bottom"/>
            <w:gridSpan w:val="27"/>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Executive Compensation</w:t>
              </w:r>
            </w:hyperlink>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94</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Item 12.</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Security Ownership of Certain Beneficial Owners and Management and Related</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94</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56"/>
        </w:trPr>
        <w:tc>
          <w:tcPr>
            <w:tcW w:w="5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78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rPr>
            </w:pPr>
            <w:hyperlink w:anchor="page94">
              <w:r>
                <w:rPr>
                  <w:rFonts w:ascii="Arial" w:cs="Arial" w:eastAsia="Arial" w:hAnsi="Arial"/>
                  <w:sz w:val="18"/>
                  <w:szCs w:val="18"/>
                  <w:color w:val="0000FF"/>
                </w:rPr>
                <w:t>Stockholder Matters</w:t>
              </w:r>
            </w:hyperlink>
          </w:p>
        </w:tc>
        <w:tc>
          <w:tcPr>
            <w:tcW w:w="66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Item 13.</w:t>
              </w:r>
            </w:hyperlink>
          </w:p>
        </w:tc>
        <w:tc>
          <w:tcPr>
            <w:tcW w:w="6440" w:type="dxa"/>
            <w:vAlign w:val="bottom"/>
            <w:gridSpan w:val="27"/>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Certain Relationships and Related Transactions, and Director Independence</w:t>
              </w:r>
            </w:hyperlink>
          </w:p>
        </w:tc>
        <w:tc>
          <w:tcPr>
            <w:tcW w:w="1240" w:type="dxa"/>
            <w:vAlign w:val="bottom"/>
            <w:gridSpan w:val="6"/>
          </w:tcPr>
          <w:p>
            <w:pPr>
              <w:jc w:val="center"/>
              <w:ind w:left="97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94</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Item 14.</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Principal Accountant Fees and Services</w:t>
              </w:r>
            </w:hyperlink>
          </w:p>
        </w:tc>
        <w:tc>
          <w:tcPr>
            <w:tcW w:w="1240" w:type="dxa"/>
            <w:vAlign w:val="bottom"/>
            <w:gridSpan w:val="6"/>
            <w:shd w:val="clear" w:color="auto" w:fill="CCEEFF"/>
          </w:tcPr>
          <w:p>
            <w:pPr>
              <w:jc w:val="center"/>
              <w:ind w:left="97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94</w:t>
              </w:r>
            </w:hyperlink>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10"/>
        </w:trPr>
        <w:tc>
          <w:tcPr>
            <w:tcW w:w="1280" w:type="dxa"/>
            <w:vAlign w:val="bottom"/>
            <w:gridSpan w:val="7"/>
            <w:shd w:val="clear" w:color="auto" w:fill="CCEEFF"/>
          </w:tcPr>
          <w:p>
            <w:pPr>
              <w:spacing w:after="0" w:line="189" w:lineRule="exact"/>
              <w:rPr>
                <w:rFonts w:ascii="Arial" w:cs="Arial" w:eastAsia="Arial" w:hAnsi="Arial"/>
                <w:sz w:val="18"/>
                <w:szCs w:val="18"/>
                <w:b w:val="1"/>
                <w:bCs w:val="1"/>
                <w:color w:val="0000FF"/>
              </w:rPr>
            </w:pPr>
            <w:hyperlink w:anchor="page96">
              <w:r>
                <w:rPr>
                  <w:rFonts w:ascii="Arial" w:cs="Arial" w:eastAsia="Arial" w:hAnsi="Arial"/>
                  <w:sz w:val="18"/>
                  <w:szCs w:val="18"/>
                  <w:b w:val="1"/>
                  <w:bCs w:val="1"/>
                  <w:color w:val="0000FF"/>
                </w:rPr>
                <w:t>PART IV</w:t>
              </w:r>
            </w:hyperlink>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720" w:type="dxa"/>
            <w:vAlign w:val="bottom"/>
            <w:tcBorders>
              <w:top w:val="single" w:sz="8" w:color="0000FF"/>
            </w:tcBorders>
            <w:gridSpan w:val="5"/>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Item 15.</w:t>
              </w:r>
            </w:hyperlink>
          </w:p>
        </w:tc>
        <w:tc>
          <w:tcPr>
            <w:tcW w:w="560" w:type="dxa"/>
            <w:vAlign w:val="bottom"/>
            <w:tcBorders>
              <w:top w:val="single" w:sz="8" w:color="CCEEFF"/>
            </w:tcBorders>
            <w:gridSpan w:val="2"/>
          </w:tcPr>
          <w:p>
            <w:pPr>
              <w:spacing w:after="0"/>
              <w:rPr>
                <w:sz w:val="16"/>
                <w:szCs w:val="16"/>
                <w:color w:val="auto"/>
              </w:rPr>
            </w:pPr>
          </w:p>
        </w:tc>
        <w:tc>
          <w:tcPr>
            <w:tcW w:w="6440" w:type="dxa"/>
            <w:vAlign w:val="bottom"/>
            <w:tcBorders>
              <w:top w:val="single" w:sz="8" w:color="CCEEFF"/>
            </w:tcBorders>
            <w:gridSpan w:val="27"/>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Exhibits and Financial Statement Schedules</w:t>
              </w:r>
            </w:hyperlink>
          </w:p>
        </w:tc>
        <w:tc>
          <w:tcPr>
            <w:tcW w:w="1240" w:type="dxa"/>
            <w:vAlign w:val="bottom"/>
            <w:tcBorders>
              <w:top w:val="single" w:sz="8" w:color="CCEEFF"/>
            </w:tcBorders>
            <w:gridSpan w:val="6"/>
          </w:tcPr>
          <w:p>
            <w:pPr>
              <w:jc w:val="center"/>
              <w:ind w:left="970"/>
              <w:spacing w:after="0" w:line="189"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95</w:t>
              </w:r>
            </w:hyperlink>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280" w:type="dxa"/>
            <w:vAlign w:val="bottom"/>
            <w:gridSpan w:val="7"/>
            <w:shd w:val="clear" w:color="auto" w:fill="CCEEFF"/>
          </w:tcPr>
          <w:p>
            <w:pPr>
              <w:spacing w:after="0" w:line="189" w:lineRule="exact"/>
              <w:rPr>
                <w:rFonts w:ascii="Arial" w:cs="Arial" w:eastAsia="Arial" w:hAnsi="Arial"/>
                <w:sz w:val="18"/>
                <w:szCs w:val="18"/>
                <w:color w:val="0000FF"/>
              </w:rPr>
            </w:pPr>
            <w:hyperlink w:anchor="page102">
              <w:r>
                <w:rPr>
                  <w:rFonts w:ascii="Arial" w:cs="Arial" w:eastAsia="Arial" w:hAnsi="Arial"/>
                  <w:sz w:val="18"/>
                  <w:szCs w:val="18"/>
                  <w:color w:val="0000FF"/>
                </w:rPr>
                <w:t>Item 16.</w:t>
              </w:r>
            </w:hyperlink>
          </w:p>
        </w:tc>
        <w:tc>
          <w:tcPr>
            <w:tcW w:w="6440" w:type="dxa"/>
            <w:vAlign w:val="bottom"/>
            <w:gridSpan w:val="27"/>
            <w:shd w:val="clear" w:color="auto" w:fill="CCEEFF"/>
          </w:tcPr>
          <w:p>
            <w:pPr>
              <w:spacing w:after="0" w:line="189" w:lineRule="exact"/>
              <w:rPr>
                <w:rFonts w:ascii="Arial" w:cs="Arial" w:eastAsia="Arial" w:hAnsi="Arial"/>
                <w:sz w:val="18"/>
                <w:szCs w:val="18"/>
                <w:color w:val="0000FF"/>
              </w:rPr>
            </w:pPr>
            <w:hyperlink w:anchor="page102">
              <w:r>
                <w:rPr>
                  <w:rFonts w:ascii="Arial" w:cs="Arial" w:eastAsia="Arial" w:hAnsi="Arial"/>
                  <w:sz w:val="18"/>
                  <w:szCs w:val="18"/>
                  <w:color w:val="0000FF"/>
                </w:rPr>
                <w:t>Form 10-K Summary</w:t>
              </w:r>
            </w:hyperlink>
          </w:p>
        </w:tc>
        <w:tc>
          <w:tcPr>
            <w:tcW w:w="1700" w:type="dxa"/>
            <w:vAlign w:val="bottom"/>
            <w:gridSpan w:val="8"/>
            <w:shd w:val="clear" w:color="auto" w:fill="CCEEFF"/>
          </w:tcPr>
          <w:p>
            <w:pPr>
              <w:jc w:val="center"/>
              <w:ind w:left="490"/>
              <w:spacing w:after="0" w:line="189" w:lineRule="exact"/>
              <w:rPr>
                <w:rFonts w:ascii="Arial" w:cs="Arial" w:eastAsia="Arial" w:hAnsi="Arial"/>
                <w:sz w:val="18"/>
                <w:szCs w:val="18"/>
                <w:color w:val="0000FF"/>
                <w:w w:val="93"/>
              </w:rPr>
            </w:pPr>
            <w:hyperlink w:anchor="page102">
              <w:r>
                <w:rPr>
                  <w:rFonts w:ascii="Arial" w:cs="Arial" w:eastAsia="Arial" w:hAnsi="Arial"/>
                  <w:sz w:val="18"/>
                  <w:szCs w:val="18"/>
                  <w:color w:val="0000FF"/>
                  <w:w w:val="93"/>
                </w:rPr>
                <w:t>101</w:t>
              </w:r>
            </w:hyperlink>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189"/>
        </w:trPr>
        <w:tc>
          <w:tcPr>
            <w:tcW w:w="7720" w:type="dxa"/>
            <w:vAlign w:val="bottom"/>
            <w:gridSpan w:val="34"/>
            <w:shd w:val="clear" w:color="auto" w:fill="CCEEFF"/>
          </w:tcPr>
          <w:p>
            <w:pPr>
              <w:spacing w:after="0" w:line="189" w:lineRule="exact"/>
              <w:rPr>
                <w:rFonts w:ascii="Arial" w:cs="Arial" w:eastAsia="Arial" w:hAnsi="Arial"/>
                <w:sz w:val="18"/>
                <w:szCs w:val="18"/>
                <w:b w:val="1"/>
                <w:bCs w:val="1"/>
                <w:color w:val="0000FF"/>
              </w:rPr>
            </w:pPr>
            <w:hyperlink w:anchor="page102">
              <w:r>
                <w:rPr>
                  <w:rFonts w:ascii="Arial" w:cs="Arial" w:eastAsia="Arial" w:hAnsi="Arial"/>
                  <w:sz w:val="18"/>
                  <w:szCs w:val="18"/>
                  <w:b w:val="1"/>
                  <w:bCs w:val="1"/>
                  <w:color w:val="0000FF"/>
                </w:rPr>
                <w:t>SIGNATURE PAGE</w:t>
              </w:r>
            </w:hyperlink>
          </w:p>
        </w:tc>
        <w:tc>
          <w:tcPr>
            <w:tcW w:w="1700" w:type="dxa"/>
            <w:vAlign w:val="bottom"/>
            <w:gridSpan w:val="8"/>
            <w:shd w:val="clear" w:color="auto" w:fill="CCEEFF"/>
          </w:tcPr>
          <w:p>
            <w:pPr>
              <w:jc w:val="center"/>
              <w:ind w:left="490"/>
              <w:spacing w:after="0" w:line="189" w:lineRule="exact"/>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both"/>
        <w:spacing w:after="0" w:line="188" w:lineRule="auto"/>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r>
        <w:rPr>
          <w:rFonts w:ascii="Arial" w:cs="Arial" w:eastAsia="Arial" w:hAnsi="Arial"/>
          <w:sz w:val="18"/>
          <w:szCs w:val="18"/>
          <w:color w:val="auto"/>
        </w:rPr>
        <w:t>," "Evkeeza</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"Inmazeb</w:t>
      </w:r>
      <w:r>
        <w:rPr>
          <w:rFonts w:ascii="Arial" w:cs="Arial" w:eastAsia="Arial" w:hAnsi="Arial"/>
          <w:sz w:val="23"/>
          <w:szCs w:val="23"/>
          <w:color w:val="auto"/>
          <w:vertAlign w:val="superscript"/>
        </w:rPr>
        <w:t>®</w:t>
      </w:r>
      <w:r>
        <w:rPr>
          <w:rFonts w:ascii="Arial" w:cs="Arial" w:eastAsia="Arial" w:hAnsi="Arial"/>
          <w:sz w:val="18"/>
          <w:szCs w:val="18"/>
          <w:color w:val="auto"/>
        </w:rPr>
        <w:t>," "Libtayo</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"Praluent</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"REGEN-COV</w:t>
      </w:r>
      <w:r>
        <w:rPr>
          <w:rFonts w:ascii="Arial" w:cs="Arial" w:eastAsia="Arial" w:hAnsi="Arial"/>
          <w:sz w:val="23"/>
          <w:szCs w:val="23"/>
          <w:color w:val="auto"/>
          <w:vertAlign w:val="superscript"/>
        </w:rPr>
        <w:t>®</w:t>
      </w:r>
      <w:r>
        <w:rPr>
          <w:rFonts w:ascii="Arial" w:cs="Arial" w:eastAsia="Arial" w:hAnsi="Arial"/>
          <w:sz w:val="18"/>
          <w:szCs w:val="18"/>
          <w:color w:val="auto"/>
        </w:rPr>
        <w:t>," "Regeneron</w:t>
      </w:r>
      <w:r>
        <w:rPr>
          <w:rFonts w:ascii="Arial" w:cs="Arial" w:eastAsia="Arial" w:hAnsi="Arial"/>
          <w:sz w:val="23"/>
          <w:szCs w:val="23"/>
          <w:color w:val="auto"/>
          <w:vertAlign w:val="superscript"/>
        </w:rPr>
        <w:t>®</w:t>
      </w:r>
      <w:r>
        <w:rPr>
          <w:rFonts w:ascii="Arial" w:cs="Arial" w:eastAsia="Arial" w:hAnsi="Arial"/>
          <w:sz w:val="18"/>
          <w:szCs w:val="18"/>
          <w:color w:val="auto"/>
        </w:rPr>
        <w:t>," "Regeneron Genetics Center</w:t>
      </w:r>
      <w:r>
        <w:rPr>
          <w:rFonts w:ascii="Arial" w:cs="Arial" w:eastAsia="Arial" w:hAnsi="Arial"/>
          <w:sz w:val="23"/>
          <w:szCs w:val="23"/>
          <w:color w:val="auto"/>
          <w:vertAlign w:val="superscript"/>
        </w:rPr>
        <w:t>®</w:t>
      </w:r>
      <w:r>
        <w:rPr>
          <w:rFonts w:ascii="Arial" w:cs="Arial" w:eastAsia="Arial" w:hAnsi="Arial"/>
          <w:sz w:val="18"/>
          <w:szCs w:val="18"/>
          <w:color w:val="auto"/>
        </w:rPr>
        <w:t>," "RGC</w:t>
      </w:r>
      <w:r>
        <w:rPr>
          <w:rFonts w:ascii="Arial" w:cs="Arial" w:eastAsia="Arial" w:hAnsi="Arial"/>
          <w:sz w:val="23"/>
          <w:szCs w:val="23"/>
          <w:color w:val="auto"/>
          <w:vertAlign w:val="superscript"/>
        </w:rPr>
        <w:t>™</w:t>
      </w:r>
      <w:r>
        <w:rPr>
          <w:rFonts w:ascii="Arial" w:cs="Arial" w:eastAsia="Arial" w:hAnsi="Arial"/>
          <w:sz w:val="18"/>
          <w:szCs w:val="18"/>
          <w:color w:val="auto"/>
        </w:rPr>
        <w:t>," "Veloci-Bi</w:t>
      </w:r>
      <w:r>
        <w:rPr>
          <w:rFonts w:ascii="Arial" w:cs="Arial" w:eastAsia="Arial" w:hAnsi="Arial"/>
          <w:sz w:val="23"/>
          <w:szCs w:val="23"/>
          <w:color w:val="auto"/>
          <w:vertAlign w:val="superscript"/>
        </w:rPr>
        <w:t>®</w:t>
      </w:r>
      <w:r>
        <w:rPr>
          <w:rFonts w:ascii="Arial" w:cs="Arial" w:eastAsia="Arial" w:hAnsi="Arial"/>
          <w:sz w:val="18"/>
          <w:szCs w:val="18"/>
          <w:color w:val="auto"/>
        </w:rPr>
        <w:t>," "VelociGene</w:t>
      </w:r>
      <w:r>
        <w:rPr>
          <w:rFonts w:ascii="Arial" w:cs="Arial" w:eastAsia="Arial" w:hAnsi="Arial"/>
          <w:sz w:val="23"/>
          <w:szCs w:val="23"/>
          <w:color w:val="auto"/>
          <w:vertAlign w:val="superscript"/>
        </w:rPr>
        <w:t>®</w:t>
      </w:r>
      <w:r>
        <w:rPr>
          <w:rFonts w:ascii="Arial" w:cs="Arial" w:eastAsia="Arial" w:hAnsi="Arial"/>
          <w:sz w:val="18"/>
          <w:szCs w:val="18"/>
          <w:color w:val="auto"/>
        </w:rPr>
        <w:t>," "VelociHum</w:t>
      </w:r>
      <w:r>
        <w:rPr>
          <w:rFonts w:ascii="Arial" w:cs="Arial" w:eastAsia="Arial" w:hAnsi="Arial"/>
          <w:sz w:val="23"/>
          <w:szCs w:val="23"/>
          <w:color w:val="auto"/>
          <w:vertAlign w:val="superscript"/>
        </w:rPr>
        <w:t>®</w:t>
      </w:r>
      <w:r>
        <w:rPr>
          <w:rFonts w:ascii="Arial" w:cs="Arial" w:eastAsia="Arial" w:hAnsi="Arial"/>
          <w:sz w:val="18"/>
          <w:szCs w:val="18"/>
          <w:color w:val="auto"/>
        </w:rPr>
        <w:t>," "VelociMab</w:t>
      </w:r>
      <w:r>
        <w:rPr>
          <w:rFonts w:ascii="Arial" w:cs="Arial" w:eastAsia="Arial" w:hAnsi="Arial"/>
          <w:sz w:val="23"/>
          <w:szCs w:val="23"/>
          <w:color w:val="auto"/>
          <w:vertAlign w:val="superscript"/>
        </w:rPr>
        <w:t>®</w:t>
      </w:r>
      <w:r>
        <w:rPr>
          <w:rFonts w:ascii="Arial" w:cs="Arial" w:eastAsia="Arial" w:hAnsi="Arial"/>
          <w:sz w:val="18"/>
          <w:szCs w:val="18"/>
          <w:color w:val="auto"/>
        </w:rPr>
        <w:t>," "VelocImmune</w:t>
      </w:r>
      <w:r>
        <w:rPr>
          <w:rFonts w:ascii="Arial" w:cs="Arial" w:eastAsia="Arial" w:hAnsi="Arial"/>
          <w:sz w:val="23"/>
          <w:szCs w:val="23"/>
          <w:color w:val="auto"/>
          <w:vertAlign w:val="superscript"/>
        </w:rPr>
        <w:t>®</w:t>
      </w:r>
      <w:r>
        <w:rPr>
          <w:rFonts w:ascii="Arial" w:cs="Arial" w:eastAsia="Arial" w:hAnsi="Arial"/>
          <w:sz w:val="18"/>
          <w:szCs w:val="18"/>
          <w:color w:val="auto"/>
        </w:rPr>
        <w:t>," "VelociMouse</w:t>
      </w:r>
      <w:r>
        <w:rPr>
          <w:rFonts w:ascii="Arial" w:cs="Arial" w:eastAsia="Arial" w:hAnsi="Arial"/>
          <w:sz w:val="23"/>
          <w:szCs w:val="23"/>
          <w:color w:val="auto"/>
          <w:vertAlign w:val="superscript"/>
        </w:rPr>
        <w:t>®</w:t>
      </w:r>
      <w:r>
        <w:rPr>
          <w:rFonts w:ascii="Arial" w:cs="Arial" w:eastAsia="Arial" w:hAnsi="Arial"/>
          <w:sz w:val="18"/>
          <w:szCs w:val="18"/>
          <w:color w:val="auto"/>
        </w:rPr>
        <w:t>," "VelociSuite</w:t>
      </w:r>
      <w:r>
        <w:rPr>
          <w:rFonts w:ascii="Arial" w:cs="Arial" w:eastAsia="Arial" w:hAnsi="Arial"/>
          <w:sz w:val="23"/>
          <w:szCs w:val="23"/>
          <w:color w:val="auto"/>
          <w:vertAlign w:val="superscript"/>
        </w:rPr>
        <w:t>®</w:t>
      </w:r>
      <w:r>
        <w:rPr>
          <w:rFonts w:ascii="Arial" w:cs="Arial" w:eastAsia="Arial" w:hAnsi="Arial"/>
          <w:sz w:val="18"/>
          <w:szCs w:val="18"/>
          <w:color w:val="auto"/>
        </w:rPr>
        <w:t>," "VelociT</w:t>
      </w:r>
      <w:r>
        <w:rPr>
          <w:rFonts w:ascii="Arial" w:cs="Arial" w:eastAsia="Arial" w:hAnsi="Arial"/>
          <w:sz w:val="23"/>
          <w:szCs w:val="23"/>
          <w:color w:val="auto"/>
          <w:vertAlign w:val="superscript"/>
        </w:rPr>
        <w:t>®</w:t>
      </w:r>
      <w:r>
        <w:rPr>
          <w:rFonts w:ascii="Arial" w:cs="Arial" w:eastAsia="Arial" w:hAnsi="Arial"/>
          <w:sz w:val="18"/>
          <w:szCs w:val="18"/>
          <w:color w:val="auto"/>
        </w:rPr>
        <w:t>," and "ZALTRAP</w:t>
      </w:r>
      <w:r>
        <w:rPr>
          <w:rFonts w:ascii="Arial" w:cs="Arial" w:eastAsia="Arial" w:hAnsi="Arial"/>
          <w:sz w:val="23"/>
          <w:szCs w:val="23"/>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719455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(dupilumab) Injection, Libtayo</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(cemiplimab) Injection, Praluent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(sarilumab) Injection, Evkeeza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(evinacumab), Inmazeb</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(atoltivimab, maftivimab, and odesivimab-ebgn), REGEN-COV</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(casirivimab and imdevimab), aflibercept 8 mg, fasinumab,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in other countries), to be cancelled or terminated; and risks associated with intellectual property of other parties and pending or future litigation relating thereto (including without limitation the patent litigation and other related proceedings relating to EYLEA, Dupixent, Praluent, and REGEN-COV described further in Note 15 to our Consolidated Financial Statements included in this report), other litigation and other proceedings and government investigations relating to the Company and/or its operations (including without limitation those described in Note 15 to our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is summarized as follows:</w:t>
      </w:r>
    </w:p>
    <w:p>
      <w:pPr>
        <w:spacing w:after="0" w:line="275"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6,557.6</w:t>
            </w: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8,075.3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2,115.8</w:t>
            </w:r>
          </w:p>
        </w:tc>
      </w:tr>
      <w:tr>
        <w:trPr>
          <w:trHeight w:val="22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Products that have received marketing approval are summarized in the table below.</w:t>
      </w:r>
    </w:p>
    <w:p>
      <w:pPr>
        <w:spacing w:after="0" w:line="30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00" w:type="dxa"/>
            <w:vAlign w:val="bottom"/>
            <w:tcBorders>
              <w:bottom w:val="single" w:sz="8" w:color="auto"/>
            </w:tcBorders>
          </w:tcPr>
          <w:p>
            <w:pPr>
              <w:spacing w:after="0"/>
              <w:rPr>
                <w:sz w:val="20"/>
                <w:szCs w:val="20"/>
                <w:color w:val="auto"/>
              </w:rPr>
            </w:pPr>
          </w:p>
        </w:tc>
      </w:tr>
      <w:tr>
        <w:trPr>
          <w:trHeight w:val="236"/>
        </w:trPr>
        <w:tc>
          <w:tcPr>
            <w:tcW w:w="30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Product</w:t>
            </w:r>
          </w:p>
        </w:tc>
        <w:tc>
          <w:tcPr>
            <w:tcW w:w="18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Disease</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EU</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r>
      <w:tr>
        <w:trPr>
          <w:trHeight w:val="169"/>
        </w:trPr>
        <w:tc>
          <w:tcPr>
            <w:tcW w:w="3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EYLEA (aflibercept) Injection</w:t>
            </w:r>
            <w:r>
              <w:rPr>
                <w:rFonts w:ascii="Arial" w:cs="Arial" w:eastAsia="Arial" w:hAnsi="Arial"/>
                <w:sz w:val="19"/>
                <w:szCs w:val="19"/>
                <w:color w:val="auto"/>
                <w:vertAlign w:val="superscript"/>
              </w:rPr>
              <w:t>(1)</w:t>
            </w:r>
          </w:p>
        </w:tc>
        <w:tc>
          <w:tcPr>
            <w:tcW w:w="1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0"/>
              </w:rPr>
              <w:t>Neovascular age-related macular degeneration</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left="230"/>
              <w:spacing w:after="0" w:line="169"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a</w:t>
            </w:r>
          </w:p>
        </w:tc>
      </w:tr>
      <w:tr>
        <w:trPr>
          <w:trHeight w:val="229"/>
        </w:trPr>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("wet AMD")</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Diabetic macular edema ("DME")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175"/>
        </w:trPr>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Macular edema following retinal vein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175"/>
        </w:trPr>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occlusion ("RVO"), which includes macular</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edema following central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("CRVO") and macular edema following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branch retinal vein occlusion ("BRVO")</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Myopic choroidal neovascularization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("mCNV")</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Diabetic retinopathy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3060" w:type="dxa"/>
            <w:vAlign w:val="bottom"/>
            <w:shd w:val="clear" w:color="auto" w:fill="CCEEFF"/>
          </w:tcPr>
          <w:p>
            <w:pPr>
              <w:spacing w:after="0"/>
              <w:rPr>
                <w:sz w:val="21"/>
                <w:szCs w:val="21"/>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Neovascular glaucoma ("NVG")</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spacing w:after="0"/>
              <w:rPr>
                <w:sz w:val="21"/>
                <w:szCs w:val="21"/>
                <w:color w:val="auto"/>
              </w:rPr>
            </w:pPr>
          </w:p>
        </w:tc>
      </w:tr>
      <w:tr>
        <w:trPr>
          <w:trHeight w:val="229"/>
        </w:trPr>
        <w:tc>
          <w:tcPr>
            <w:tcW w:w="3060" w:type="dxa"/>
            <w:vAlign w:val="bottom"/>
          </w:tcPr>
          <w:p>
            <w:pPr>
              <w:spacing w:after="0" w:line="229"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3"/>
                <w:szCs w:val="23"/>
                <w:color w:val="auto"/>
                <w:vertAlign w:val="superscript"/>
              </w:rPr>
              <w:t>(2)</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20"/>
                <w:szCs w:val="20"/>
                <w:color w:val="auto"/>
              </w:rPr>
            </w:pPr>
            <w:r>
              <w:rPr>
                <w:rFonts w:ascii="Arial" w:cs="Arial" w:eastAsia="Arial" w:hAnsi="Arial"/>
                <w:sz w:val="18"/>
                <w:szCs w:val="18"/>
                <w:color w:val="auto"/>
                <w:w w:val="96"/>
              </w:rPr>
              <w:t>Atopic dermatitis (in adults and adolescents)</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580" w:type="dxa"/>
            <w:vAlign w:val="bottom"/>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176"/>
        </w:trPr>
        <w:tc>
          <w:tcPr>
            <w:tcW w:w="3060" w:type="dxa"/>
            <w:vAlign w:val="bottom"/>
          </w:tcPr>
          <w:p>
            <w:pPr>
              <w:spacing w:after="0"/>
              <w:rPr>
                <w:sz w:val="15"/>
                <w:szCs w:val="15"/>
                <w:color w:val="auto"/>
              </w:rPr>
            </w:pPr>
          </w:p>
        </w:tc>
        <w:tc>
          <w:tcPr>
            <w:tcW w:w="360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6"/>
              </w:rPr>
              <w:t>- Atopic dermatitis (in pediatrics 6–11 years of</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age)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060" w:type="dxa"/>
            <w:vAlign w:val="bottom"/>
          </w:tcPr>
          <w:p>
            <w:pPr>
              <w:spacing w:after="0"/>
              <w:rPr>
                <w:sz w:val="19"/>
                <w:szCs w:val="19"/>
                <w:color w:val="auto"/>
              </w:rPr>
            </w:pPr>
          </w:p>
        </w:tc>
        <w:tc>
          <w:tcPr>
            <w:tcW w:w="3600" w:type="dxa"/>
            <w:vAlign w:val="bottom"/>
            <w:gridSpan w:val="2"/>
          </w:tcPr>
          <w:p>
            <w:pPr>
              <w:ind w:left="60"/>
              <w:spacing w:after="0"/>
              <w:rPr>
                <w:sz w:val="20"/>
                <w:szCs w:val="20"/>
                <w:color w:val="auto"/>
              </w:rPr>
            </w:pPr>
            <w:r>
              <w:rPr>
                <w:rFonts w:ascii="Arial" w:cs="Arial" w:eastAsia="Arial" w:hAnsi="Arial"/>
                <w:sz w:val="18"/>
                <w:szCs w:val="18"/>
                <w:color w:val="auto"/>
              </w:rPr>
              <w:t>- Asthma (in adults and adolescents)</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580" w:type="dxa"/>
            <w:vAlign w:val="bottom"/>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30"/>
        </w:trPr>
        <w:tc>
          <w:tcPr>
            <w:tcW w:w="3060" w:type="dxa"/>
            <w:vAlign w:val="bottom"/>
          </w:tcPr>
          <w:p>
            <w:pPr>
              <w:spacing w:after="0"/>
              <w:rPr>
                <w:sz w:val="19"/>
                <w:szCs w:val="19"/>
                <w:color w:val="auto"/>
              </w:rPr>
            </w:pPr>
          </w:p>
        </w:tc>
        <w:tc>
          <w:tcPr>
            <w:tcW w:w="3600" w:type="dxa"/>
            <w:vAlign w:val="bottom"/>
            <w:gridSpan w:val="2"/>
          </w:tcPr>
          <w:p>
            <w:pPr>
              <w:ind w:left="60"/>
              <w:spacing w:after="0"/>
              <w:rPr>
                <w:sz w:val="20"/>
                <w:szCs w:val="20"/>
                <w:color w:val="auto"/>
              </w:rPr>
            </w:pPr>
            <w:r>
              <w:rPr>
                <w:rFonts w:ascii="Arial" w:cs="Arial" w:eastAsia="Arial" w:hAnsi="Arial"/>
                <w:sz w:val="18"/>
                <w:szCs w:val="18"/>
                <w:color w:val="auto"/>
              </w:rPr>
              <w:t>- Asthma (in pediatrics 6–11 years of age)</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6"/>
        </w:trPr>
        <w:tc>
          <w:tcPr>
            <w:tcW w:w="3060" w:type="dxa"/>
            <w:vAlign w:val="bottom"/>
          </w:tcPr>
          <w:p>
            <w:pPr>
              <w:spacing w:after="0"/>
              <w:rPr>
                <w:sz w:val="15"/>
                <w:szCs w:val="15"/>
                <w:color w:val="auto"/>
              </w:rPr>
            </w:pPr>
          </w:p>
        </w:tc>
        <w:tc>
          <w:tcPr>
            <w:tcW w:w="360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 Chronic rhinosinusitis with nasal polyposis</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("CRSwNP")</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00" w:type="dxa"/>
            <w:vAlign w:val="bottom"/>
            <w:tcBorders>
              <w:bottom w:val="single" w:sz="8" w:color="auto"/>
            </w:tcBorders>
          </w:tcPr>
          <w:p>
            <w:pPr>
              <w:spacing w:after="0"/>
              <w:rPr>
                <w:sz w:val="20"/>
                <w:szCs w:val="20"/>
                <w:color w:val="auto"/>
              </w:rPr>
            </w:pPr>
          </w:p>
        </w:tc>
      </w:tr>
      <w:tr>
        <w:trPr>
          <w:trHeight w:val="237"/>
        </w:trPr>
        <w:tc>
          <w:tcPr>
            <w:tcW w:w="30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b w:val="1"/>
                <w:bCs w:val="1"/>
                <w:i w:val="1"/>
                <w:iCs w:val="1"/>
                <w:color w:val="auto"/>
              </w:rPr>
              <w:t>(continued)</w:t>
            </w:r>
          </w:p>
        </w:tc>
        <w:tc>
          <w:tcPr>
            <w:tcW w:w="18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EU</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r>
      <w:tr>
        <w:trPr>
          <w:trHeight w:val="169"/>
        </w:trPr>
        <w:tc>
          <w:tcPr>
            <w:tcW w:w="3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Libtayo (cemiplimab) Injection</w:t>
            </w:r>
            <w:r>
              <w:rPr>
                <w:rFonts w:ascii="Arial" w:cs="Arial" w:eastAsia="Arial" w:hAnsi="Arial"/>
                <w:sz w:val="19"/>
                <w:szCs w:val="19"/>
                <w:color w:val="auto"/>
                <w:vertAlign w:val="superscript"/>
              </w:rPr>
              <w:t>(2)</w:t>
            </w:r>
          </w:p>
        </w:tc>
        <w:tc>
          <w:tcPr>
            <w:tcW w:w="180" w:type="dxa"/>
            <w:vAlign w:val="bottom"/>
            <w:shd w:val="clear" w:color="auto" w:fill="CCEEFF"/>
          </w:tcPr>
          <w:p>
            <w:pPr>
              <w:ind w:left="40"/>
              <w:spacing w:after="0" w:line="169" w:lineRule="exact"/>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7"/>
              </w:rPr>
              <w:t>Metastatic or locally advanced first-line non-</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line="169"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jc w:val="center"/>
              <w:ind w:left="230"/>
              <w:spacing w:after="0" w:line="169"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a</w:t>
            </w:r>
          </w:p>
        </w:tc>
      </w:tr>
      <w:tr>
        <w:trPr>
          <w:trHeight w:val="230"/>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small cell lung cancer ("NSCLC")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3080" w:type="dxa"/>
            <w:vAlign w:val="bottom"/>
            <w:shd w:val="clear" w:color="auto" w:fill="CCEEFF"/>
          </w:tcPr>
          <w:p>
            <w:pPr>
              <w:spacing w:after="0"/>
              <w:rPr>
                <w:sz w:val="15"/>
                <w:szCs w:val="15"/>
                <w:color w:val="auto"/>
              </w:rPr>
            </w:pPr>
          </w:p>
        </w:tc>
        <w:tc>
          <w:tcPr>
            <w:tcW w:w="1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Metastatic or locally advanced basal cell</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carcinoma ("BCC")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3080" w:type="dxa"/>
            <w:vAlign w:val="bottom"/>
            <w:shd w:val="clear" w:color="auto" w:fill="CCEEFF"/>
          </w:tcPr>
          <w:p>
            <w:pPr>
              <w:spacing w:after="0"/>
              <w:rPr>
                <w:sz w:val="15"/>
                <w:szCs w:val="15"/>
                <w:color w:val="auto"/>
              </w:rPr>
            </w:pPr>
          </w:p>
        </w:tc>
        <w:tc>
          <w:tcPr>
            <w:tcW w:w="1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Metastatic or locally advanced cutaneous</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squamous cell carcinoma ("CSCC")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3080" w:type="dxa"/>
            <w:vAlign w:val="bottom"/>
          </w:tcPr>
          <w:p>
            <w:pPr>
              <w:spacing w:after="0" w:line="176" w:lineRule="exact"/>
              <w:rPr>
                <w:sz w:val="20"/>
                <w:szCs w:val="20"/>
                <w:color w:val="auto"/>
              </w:rPr>
            </w:pPr>
            <w:r>
              <w:rPr>
                <w:rFonts w:ascii="Arial" w:cs="Arial" w:eastAsia="Arial" w:hAnsi="Arial"/>
                <w:sz w:val="16"/>
                <w:szCs w:val="16"/>
                <w:color w:val="auto"/>
              </w:rPr>
              <w:t>Praluent (alirocumab) Injection</w:t>
            </w:r>
            <w:r>
              <w:rPr>
                <w:rFonts w:ascii="Arial" w:cs="Arial" w:eastAsia="Arial" w:hAnsi="Arial"/>
                <w:sz w:val="20"/>
                <w:szCs w:val="20"/>
                <w:color w:val="auto"/>
                <w:vertAlign w:val="superscript"/>
              </w:rPr>
              <w:t>(3)</w:t>
            </w:r>
          </w:p>
        </w:tc>
        <w:tc>
          <w:tcPr>
            <w:tcW w:w="18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3520" w:type="dxa"/>
            <w:vAlign w:val="bottom"/>
            <w:gridSpan w:val="2"/>
          </w:tcPr>
          <w:p>
            <w:pPr>
              <w:spacing w:after="0" w:line="176" w:lineRule="exact"/>
              <w:rPr>
                <w:sz w:val="20"/>
                <w:szCs w:val="20"/>
                <w:color w:val="auto"/>
              </w:rPr>
            </w:pPr>
            <w:r>
              <w:rPr>
                <w:rFonts w:ascii="Arial" w:cs="Arial" w:eastAsia="Arial" w:hAnsi="Arial"/>
                <w:sz w:val="18"/>
                <w:szCs w:val="18"/>
                <w:color w:val="auto"/>
              </w:rPr>
              <w:t>LDL-lowering in heterozygous familial</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176"/>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gridSpan w:val="2"/>
          </w:tcPr>
          <w:p>
            <w:pPr>
              <w:spacing w:after="0" w:line="176" w:lineRule="exact"/>
              <w:rPr>
                <w:sz w:val="20"/>
                <w:szCs w:val="20"/>
                <w:color w:val="auto"/>
              </w:rPr>
            </w:pPr>
            <w:r>
              <w:rPr>
                <w:rFonts w:ascii="Arial" w:cs="Arial" w:eastAsia="Arial" w:hAnsi="Arial"/>
                <w:sz w:val="18"/>
                <w:szCs w:val="18"/>
                <w:color w:val="auto"/>
              </w:rPr>
              <w:t>hypercholesterolemia ("HeFH") or clinical</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gridSpan w:val="2"/>
          </w:tcPr>
          <w:p>
            <w:pPr>
              <w:spacing w:after="0" w:line="176" w:lineRule="exact"/>
              <w:rPr>
                <w:sz w:val="20"/>
                <w:szCs w:val="20"/>
                <w:color w:val="auto"/>
              </w:rPr>
            </w:pPr>
            <w:r>
              <w:rPr>
                <w:rFonts w:ascii="Arial" w:cs="Arial" w:eastAsia="Arial" w:hAnsi="Arial"/>
                <w:sz w:val="18"/>
                <w:szCs w:val="18"/>
                <w:color w:val="auto"/>
              </w:rPr>
              <w:t>atherosclerotic cardiovascular disease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("ASCVD")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6"/>
        </w:trPr>
        <w:tc>
          <w:tcPr>
            <w:tcW w:w="3080" w:type="dxa"/>
            <w:vAlign w:val="bottom"/>
          </w:tcPr>
          <w:p>
            <w:pPr>
              <w:spacing w:after="0"/>
              <w:rPr>
                <w:sz w:val="15"/>
                <w:szCs w:val="15"/>
                <w:color w:val="auto"/>
              </w:rPr>
            </w:pPr>
          </w:p>
        </w:tc>
        <w:tc>
          <w:tcPr>
            <w:tcW w:w="370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99"/>
              </w:rPr>
              <w:t>- Cardiovascular risk reduction in patients with</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established cardiovascular disease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6"/>
        </w:trPr>
        <w:tc>
          <w:tcPr>
            <w:tcW w:w="3080" w:type="dxa"/>
            <w:vAlign w:val="bottom"/>
          </w:tcPr>
          <w:p>
            <w:pPr>
              <w:spacing w:after="0"/>
              <w:rPr>
                <w:sz w:val="15"/>
                <w:szCs w:val="15"/>
                <w:color w:val="auto"/>
              </w:rPr>
            </w:pPr>
          </w:p>
        </w:tc>
        <w:tc>
          <w:tcPr>
            <w:tcW w:w="370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Homozygous familial hypercholesterolemia</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("HoFH")</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0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(5)</w:t>
            </w:r>
          </w:p>
        </w:tc>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COVID-19</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176"/>
        </w:trPr>
        <w:tc>
          <w:tcPr>
            <w:tcW w:w="3080" w:type="dxa"/>
            <w:vAlign w:val="bottom"/>
          </w:tcPr>
          <w:p>
            <w:pPr>
              <w:spacing w:after="0" w:line="176" w:lineRule="exact"/>
              <w:rPr>
                <w:sz w:val="20"/>
                <w:szCs w:val="20"/>
                <w:color w:val="auto"/>
              </w:rPr>
            </w:pPr>
            <w:r>
              <w:rPr>
                <w:rFonts w:ascii="Arial" w:cs="Arial" w:eastAsia="Arial" w:hAnsi="Arial"/>
                <w:sz w:val="18"/>
                <w:szCs w:val="18"/>
                <w:color w:val="auto"/>
              </w:rPr>
              <w:t>Kevzara (sarilumab) Solution for</w:t>
            </w:r>
          </w:p>
        </w:tc>
        <w:tc>
          <w:tcPr>
            <w:tcW w:w="370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Rheumatoid arthritis ("RA")</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3080" w:type="dxa"/>
            <w:vAlign w:val="bottom"/>
          </w:tcPr>
          <w:p>
            <w:pPr>
              <w:spacing w:after="0" w:line="230"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0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 (evinacumab) Injection</w:t>
            </w:r>
            <w:r>
              <w:rPr>
                <w:rFonts w:ascii="Arial" w:cs="Arial" w:eastAsia="Arial" w:hAnsi="Arial"/>
                <w:sz w:val="23"/>
                <w:szCs w:val="23"/>
                <w:color w:val="auto"/>
                <w:vertAlign w:val="superscript"/>
              </w:rPr>
              <w:t>(6)</w:t>
            </w:r>
          </w:p>
        </w:tc>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HoFH (in adults and adolescents)</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3080" w:type="dxa"/>
            <w:vAlign w:val="bottom"/>
          </w:tcPr>
          <w:p>
            <w:pPr>
              <w:spacing w:after="0" w:line="176" w:lineRule="exact"/>
              <w:rPr>
                <w:sz w:val="20"/>
                <w:szCs w:val="20"/>
                <w:color w:val="auto"/>
              </w:rPr>
            </w:pPr>
            <w:r>
              <w:rPr>
                <w:rFonts w:ascii="Arial" w:cs="Arial" w:eastAsia="Arial" w:hAnsi="Arial"/>
                <w:sz w:val="18"/>
                <w:szCs w:val="18"/>
                <w:color w:val="auto"/>
              </w:rPr>
              <w:t>Inmazeb (atoltivimab, maftivimab, and</w:t>
            </w:r>
          </w:p>
        </w:tc>
        <w:tc>
          <w:tcPr>
            <w:tcW w:w="370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xml:space="preserve">- Infection caused by </w:t>
            </w:r>
            <w:r>
              <w:rPr>
                <w:rFonts w:ascii="Arial" w:cs="Arial" w:eastAsia="Arial" w:hAnsi="Arial"/>
                <w:sz w:val="18"/>
                <w:szCs w:val="18"/>
                <w:i w:val="1"/>
                <w:iCs w:val="1"/>
                <w:color w:val="auto"/>
              </w:rPr>
              <w:t>Zaire ebolavirus</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odesivimab-ebgn) Injection</w:t>
            </w:r>
          </w:p>
        </w:tc>
        <w:tc>
          <w:tcPr>
            <w:tcW w:w="1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5"/>
        </w:trPr>
        <w:tc>
          <w:tcPr>
            <w:tcW w:w="30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ARCALYST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(rilonacept) Injection for</w:t>
            </w:r>
          </w:p>
        </w:tc>
        <w:tc>
          <w:tcPr>
            <w:tcW w:w="37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 Cryopyrin-associated periodic syndromes</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Subcutaneous Use</w:t>
            </w:r>
            <w:r>
              <w:rPr>
                <w:rFonts w:ascii="Arial" w:cs="Arial" w:eastAsia="Arial" w:hAnsi="Arial"/>
                <w:sz w:val="20"/>
                <w:szCs w:val="20"/>
                <w:color w:val="auto"/>
                <w:vertAlign w:val="superscript"/>
              </w:rPr>
              <w:t>(7)</w:t>
            </w:r>
          </w:p>
        </w:tc>
        <w:tc>
          <w:tcPr>
            <w:tcW w:w="18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("CAPS"), including familial cold auto-</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inflammatory syndrome ("FCAS") and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Muckle-Wells syndrome ("MWS") (in adults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adolescents)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6"/>
        </w:trPr>
        <w:tc>
          <w:tcPr>
            <w:tcW w:w="3080" w:type="dxa"/>
            <w:vAlign w:val="bottom"/>
            <w:shd w:val="clear" w:color="auto" w:fill="CCEEFF"/>
          </w:tcPr>
          <w:p>
            <w:pPr>
              <w:spacing w:after="0"/>
              <w:rPr>
                <w:sz w:val="15"/>
                <w:szCs w:val="15"/>
                <w:color w:val="auto"/>
              </w:rPr>
            </w:pPr>
          </w:p>
        </w:tc>
        <w:tc>
          <w:tcPr>
            <w:tcW w:w="1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Deficiency of interleukin-1 receptor antagonist</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("DIRA") (in adults and pediatrics)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6"/>
        </w:trPr>
        <w:tc>
          <w:tcPr>
            <w:tcW w:w="3080" w:type="dxa"/>
            <w:vAlign w:val="bottom"/>
            <w:shd w:val="clear" w:color="auto" w:fill="CCEEFF"/>
          </w:tcPr>
          <w:p>
            <w:pPr>
              <w:spacing w:after="0"/>
              <w:rPr>
                <w:sz w:val="15"/>
                <w:szCs w:val="15"/>
                <w:color w:val="auto"/>
              </w:rPr>
            </w:pPr>
          </w:p>
        </w:tc>
        <w:tc>
          <w:tcPr>
            <w:tcW w:w="1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Recurrent pericarditis (in adults and</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adolescents)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3080" w:type="dxa"/>
            <w:vAlign w:val="bottom"/>
          </w:tcPr>
          <w:p>
            <w:pPr>
              <w:spacing w:after="0" w:line="176" w:lineRule="exact"/>
              <w:rPr>
                <w:sz w:val="20"/>
                <w:szCs w:val="20"/>
                <w:color w:val="auto"/>
              </w:rPr>
            </w:pPr>
            <w:r>
              <w:rPr>
                <w:rFonts w:ascii="Arial" w:cs="Arial" w:eastAsia="Arial" w:hAnsi="Arial"/>
                <w:sz w:val="16"/>
                <w:szCs w:val="16"/>
                <w:color w:val="auto"/>
              </w:rPr>
              <w:t>ZALTRAP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(ziv-aflibercept) Injection for</w:t>
            </w:r>
          </w:p>
        </w:tc>
        <w:tc>
          <w:tcPr>
            <w:tcW w:w="18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3520" w:type="dxa"/>
            <w:vAlign w:val="bottom"/>
            <w:gridSpan w:val="2"/>
          </w:tcPr>
          <w:p>
            <w:pPr>
              <w:spacing w:after="0" w:line="176" w:lineRule="exact"/>
              <w:rPr>
                <w:sz w:val="20"/>
                <w:szCs w:val="20"/>
                <w:color w:val="auto"/>
              </w:rPr>
            </w:pPr>
            <w:r>
              <w:rPr>
                <w:rFonts w:ascii="Arial" w:cs="Arial" w:eastAsia="Arial" w:hAnsi="Arial"/>
                <w:sz w:val="18"/>
                <w:szCs w:val="18"/>
                <w:color w:val="auto"/>
              </w:rPr>
              <w:t>Metastatic colorectal cancer ("mCRC")</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312"/>
        </w:trPr>
        <w:tc>
          <w:tcPr>
            <w:tcW w:w="3080" w:type="dxa"/>
            <w:vAlign w:val="bottom"/>
          </w:tcPr>
          <w:p>
            <w:pPr>
              <w:spacing w:after="0"/>
              <w:rPr>
                <w:sz w:val="20"/>
                <w:szCs w:val="20"/>
                <w:color w:val="auto"/>
              </w:rPr>
            </w:pPr>
            <w:r>
              <w:rPr>
                <w:rFonts w:ascii="Arial" w:cs="Arial" w:eastAsia="Arial" w:hAnsi="Arial"/>
                <w:sz w:val="18"/>
                <w:szCs w:val="18"/>
                <w:color w:val="auto"/>
              </w:rPr>
              <w:t>Intravenous Infusion</w:t>
            </w:r>
            <w:r>
              <w:rPr>
                <w:rFonts w:ascii="Arial" w:cs="Arial" w:eastAsia="Arial" w:hAnsi="Arial"/>
                <w:sz w:val="23"/>
                <w:szCs w:val="23"/>
                <w:color w:val="auto"/>
                <w:vertAlign w:val="superscript"/>
              </w:rPr>
              <w:t>(8)</w:t>
            </w:r>
          </w:p>
        </w:tc>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6" w:lineRule="exact"/>
        <w:rPr>
          <w:sz w:val="20"/>
          <w:szCs w:val="20"/>
          <w:color w:val="auto"/>
        </w:rPr>
      </w:pPr>
    </w:p>
    <w:p>
      <w:pPr>
        <w:ind w:left="500" w:right="40"/>
        <w:spacing w:after="0" w:line="274" w:lineRule="auto"/>
        <w:rPr>
          <w:sz w:val="20"/>
          <w:szCs w:val="20"/>
          <w:color w:val="auto"/>
        </w:rPr>
      </w:pPr>
      <w:r>
        <w:rPr>
          <w:rFonts w:ascii="Arial" w:cs="Arial" w:eastAsia="Arial" w:hAnsi="Arial"/>
          <w:sz w:val="14"/>
          <w:szCs w:val="14"/>
          <w:color w:val="auto"/>
        </w:rPr>
        <w:t>Note: Refer to "Net Product Sales of Regeneron-Discovered Products" section below for information regarding whether net product sales for a particular product are recorded by us or others. In addition, unless otherwise noted, products in the table above are approved for use in adults in the above-referenced diseases.</w:t>
      </w:r>
    </w:p>
    <w:p>
      <w:pPr>
        <w:ind w:left="660" w:hanging="155"/>
        <w:spacing w:after="0" w:line="238" w:lineRule="auto"/>
        <w:tabs>
          <w:tab w:leader="none" w:pos="66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In collaboration with Bayer outside the United States</w:t>
      </w:r>
    </w:p>
    <w:p>
      <w:pPr>
        <w:spacing w:after="0" w:line="23" w:lineRule="exact"/>
        <w:rPr>
          <w:rFonts w:ascii="Arial" w:cs="Arial" w:eastAsia="Arial" w:hAnsi="Arial"/>
          <w:sz w:val="19"/>
          <w:szCs w:val="19"/>
          <w:color w:val="auto"/>
          <w:vertAlign w:val="superscript"/>
        </w:rPr>
      </w:pPr>
    </w:p>
    <w:p>
      <w:pPr>
        <w:ind w:left="680" w:hanging="175"/>
        <w:spacing w:after="0" w:line="191" w:lineRule="auto"/>
        <w:tabs>
          <w:tab w:leader="none" w:pos="6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In collaboration with Sanofi</w:t>
      </w:r>
    </w:p>
    <w:p>
      <w:pPr>
        <w:spacing w:after="0" w:line="23" w:lineRule="exact"/>
        <w:rPr>
          <w:rFonts w:ascii="Arial" w:cs="Arial" w:eastAsia="Arial" w:hAnsi="Arial"/>
          <w:sz w:val="21"/>
          <w:szCs w:val="21"/>
          <w:color w:val="auto"/>
          <w:vertAlign w:val="superscript"/>
        </w:rPr>
      </w:pPr>
    </w:p>
    <w:p>
      <w:pPr>
        <w:ind w:left="500" w:right="200" w:firstLine="5"/>
        <w:spacing w:after="0" w:line="211" w:lineRule="auto"/>
        <w:tabs>
          <w:tab w:leader="none" w:pos="677"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Pursuant to a 2020 agreement, the Company is solely responsible for the development and commercialization of Praluent in the United States, and Sanofi is solely responsible for the development and commercialization of Praluent outside of the United States (and Sanofi pays us a royalty on net product sales of Praluent outside the United States).</w:t>
      </w:r>
    </w:p>
    <w:p>
      <w:pPr>
        <w:spacing w:after="0" w:line="10" w:lineRule="exact"/>
        <w:rPr>
          <w:rFonts w:ascii="Arial" w:cs="Arial" w:eastAsia="Arial" w:hAnsi="Arial"/>
          <w:sz w:val="21"/>
          <w:szCs w:val="21"/>
          <w:color w:val="auto"/>
          <w:vertAlign w:val="superscript"/>
        </w:rPr>
      </w:pPr>
    </w:p>
    <w:p>
      <w:pPr>
        <w:ind w:left="500" w:right="140" w:firstLine="5"/>
        <w:spacing w:after="0" w:line="213" w:lineRule="auto"/>
        <w:tabs>
          <w:tab w:leader="none" w:pos="677"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Rest of world ("ROW"). A checkmark in this column indicates that the product has received marketing approval in at least one country outside of the United States, European Union ("EU"), or Japan.</w:t>
      </w:r>
    </w:p>
    <w:p>
      <w:pPr>
        <w:ind w:left="680" w:hanging="175"/>
        <w:spacing w:after="0" w:line="214" w:lineRule="auto"/>
        <w:tabs>
          <w:tab w:leader="none" w:pos="6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Known as REGEN-COV in the United States and Ronapreve in other countries</w:t>
      </w:r>
    </w:p>
    <w:p>
      <w:pPr>
        <w:spacing w:after="0" w:line="24" w:lineRule="exact"/>
        <w:rPr>
          <w:rFonts w:ascii="Arial" w:cs="Arial" w:eastAsia="Arial" w:hAnsi="Arial"/>
          <w:sz w:val="21"/>
          <w:szCs w:val="21"/>
          <w:color w:val="auto"/>
          <w:vertAlign w:val="superscript"/>
        </w:rPr>
      </w:pPr>
    </w:p>
    <w:p>
      <w:pPr>
        <w:ind w:left="500" w:right="20" w:firstLine="5"/>
        <w:spacing w:after="0" w:line="211" w:lineRule="auto"/>
        <w:tabs>
          <w:tab w:leader="none" w:pos="677"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In January 2022, the Company entered into a license and collaboration agreement for Ultragenyx to develop and commercialize Evkeeza outside of the United States. Ultragenyx pays us a percentage of net product sales of Evkeeza outside the United States and the Company is also eligible to receive regulatory and sales milestone payments.</w:t>
      </w: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73" w:right="59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500" w:right="500" w:firstLine="5"/>
        <w:spacing w:after="0" w:line="217" w:lineRule="auto"/>
        <w:tabs>
          <w:tab w:leader="none" w:pos="681"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Pursuant to a 2017 license agreement with Kiniksa, we granted Kiniksa the right to develop and commercialize certain new indications for ARCALYST. In March 2021, Kiniksa received marketing approval for its first new indication of ARCALYST in the United States; consequently we granted U.S. commercial rights to ARCALYST for all previously approved indications and Kiniksa pays us a share of ARCALYST profits.</w:t>
      </w:r>
    </w:p>
    <w:p>
      <w:pPr>
        <w:ind w:left="680" w:hanging="175"/>
        <w:spacing w:after="0" w:line="184" w:lineRule="auto"/>
        <w:tabs>
          <w:tab w:leader="none" w:pos="6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Sanofi is solely responsible for the development and commercialization of ZALTRAP, and Sanofi pays us a percentage of aggregate net product sales of</w:t>
      </w:r>
    </w:p>
    <w:p>
      <w:pPr>
        <w:ind w:left="500"/>
        <w:spacing w:after="0"/>
        <w:rPr>
          <w:rFonts w:ascii="Arial" w:cs="Arial" w:eastAsia="Arial" w:hAnsi="Arial"/>
          <w:sz w:val="21"/>
          <w:szCs w:val="21"/>
          <w:color w:val="auto"/>
          <w:vertAlign w:val="superscript"/>
        </w:rPr>
      </w:pPr>
      <w:r>
        <w:rPr>
          <w:rFonts w:ascii="Arial" w:cs="Arial" w:eastAsia="Arial" w:hAnsi="Arial"/>
          <w:sz w:val="16"/>
          <w:szCs w:val="16"/>
          <w:color w:val="auto"/>
        </w:rPr>
        <w:t>ZALTRAP.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 Emergency and Temporary Use Authorizations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2020, the antibody cocktail casirivimab and imdevimab administered together, known as REGEN-COV in the United States, received Emergency Use Authorization ("EUA") from the U.S. Food and Drug Administration ("FDA") for the treatment of mild to moderate COVID-19 in adults, as well as in pediatric patients at least 12 years of age and weighing at least 40 kg, who have received positive results of direct SARS-CoV-2 viral testing and are at high risk for progressing to severe COVID-19 and/or hospitalization.</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EUA is temporary and does not replace a formal Biologics License Application ("BLA") submission review and approval process. This use is authorized only for the duration of the declaration that circumstances exist justifying the authorization of the emergency use, unless terminated or revoked sooner.</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2021, the FDA updated the EUA for REGEN-COV, lowering the dose to 1,200 mg (which is half the dose originally authorized) and allowing for subcutaneous injections as an alternative when intravenous ("IV") infusion is not feasible and would lead to a delay in treatment. In July 2021, the FDA also expanded the EUA to include post-exposure prophylaxis in people at high risk for progression to severe COVID-19, who are not fully vaccinated or are not expected to mount an adequate response to vaccination, and who have been exposed to a SARS-CoV-2 infected individual or are at high risk of exposure to an infected individual because of infection occurring in the same institutional setting (such as in nursing homes or prisons).</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17"/>
          <w:szCs w:val="17"/>
          <w:color w:val="auto"/>
        </w:rPr>
        <w:t>Based on laboratory data that showed markedly decreased binding to the Omicron spike protein, REGEN-COV is highly unlikely to be active against the Omicron variant. In January 2022, the FDA revised the EUA for REGEN-COV to exclude its use in geographic regions where, based on available information including variant susceptibility and regional variant frequency, infection or exposure is likely due to a variant such as Omicron (B.1.1.529) that is not susceptible to the treatment. With this EUA revision, REGEN-COV is not currently authorized for use in any U.S. states, territories, or jurisdictions, since Omicron is currently the dominant variant across the United States. If, in the future, patients in certain geographic regions are likely to be infected or exposed to a variant that is susceptible to REGEN-COV, then the limitation on use may be revised in these areas.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Emergency or temporary pandemic use authorizations are also currently in place in numerous other countries outside the United States.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8"/>
          </w:tcPr>
          <w:p>
            <w:pPr>
              <w:spacing w:after="0"/>
              <w:rPr>
                <w:sz w:val="20"/>
                <w:szCs w:val="20"/>
                <w:color w:val="auto"/>
              </w:rPr>
            </w:pPr>
            <w:r>
              <w:rPr>
                <w:rFonts w:ascii="Arial" w:cs="Arial" w:eastAsia="Arial" w:hAnsi="Arial"/>
                <w:sz w:val="18"/>
                <w:szCs w:val="18"/>
                <w:b w:val="1"/>
                <w:bCs w:val="1"/>
                <w:i w:val="1"/>
                <w:iCs w:val="1"/>
                <w:color w:val="auto"/>
                <w:w w:val="90"/>
              </w:rPr>
              <w:t>Net Product Sales of Regeneron-Discovered Products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6"/>
        </w:trPr>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23"/>
        </w:trPr>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ROW</w:t>
            </w:r>
          </w:p>
        </w:tc>
        <w:tc>
          <w:tcPr>
            <w:tcW w:w="16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ROW</w:t>
            </w:r>
          </w:p>
        </w:tc>
        <w:tc>
          <w:tcPr>
            <w:tcW w:w="16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ROW</w:t>
            </w:r>
          </w:p>
        </w:tc>
        <w:tc>
          <w:tcPr>
            <w:tcW w:w="16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60" w:type="dxa"/>
            <w:vAlign w:val="bottom"/>
          </w:tcPr>
          <w:p>
            <w:pPr>
              <w:spacing w:after="0"/>
              <w:rPr>
                <w:sz w:val="19"/>
                <w:szCs w:val="19"/>
                <w:color w:val="auto"/>
              </w:rPr>
            </w:pPr>
          </w:p>
        </w:tc>
        <w:tc>
          <w:tcPr>
            <w:tcW w:w="18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5,792.3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3,592.4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9,384.7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4,947.2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7,908.7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4,644.2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7,541.6</w:t>
            </w:r>
          </w:p>
        </w:tc>
      </w:tr>
      <w:tr>
        <w:trPr>
          <w:trHeight w:val="229"/>
        </w:trPr>
        <w:tc>
          <w:tcPr>
            <w:tcW w:w="460" w:type="dxa"/>
            <w:vAlign w:val="bottom"/>
          </w:tcPr>
          <w:p>
            <w:pPr>
              <w:spacing w:after="0"/>
              <w:rPr>
                <w:sz w:val="19"/>
                <w:szCs w:val="19"/>
                <w:color w:val="auto"/>
              </w:rPr>
            </w:pPr>
          </w:p>
        </w:tc>
        <w:tc>
          <w:tcPr>
            <w:tcW w:w="186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4,713.0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1,485.3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6,198.3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3,226.2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4,044.8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1,871.2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2,315.6</w:t>
            </w:r>
          </w:p>
        </w:tc>
      </w:tr>
      <w:tr>
        <w:trPr>
          <w:trHeight w:val="229"/>
        </w:trPr>
        <w:tc>
          <w:tcPr>
            <w:tcW w:w="460" w:type="dxa"/>
            <w:vAlign w:val="bottom"/>
          </w:tcPr>
          <w:p>
            <w:pPr>
              <w:spacing w:after="0"/>
              <w:rPr>
                <w:sz w:val="19"/>
                <w:szCs w:val="19"/>
                <w:color w:val="auto"/>
              </w:rPr>
            </w:pPr>
          </w:p>
        </w:tc>
        <w:tc>
          <w:tcPr>
            <w:tcW w:w="18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30"/>
        </w:trPr>
        <w:tc>
          <w:tcPr>
            <w:tcW w:w="460" w:type="dxa"/>
            <w:vAlign w:val="bottom"/>
          </w:tcPr>
          <w:p>
            <w:pPr>
              <w:spacing w:after="0"/>
              <w:rPr>
                <w:sz w:val="19"/>
                <w:szCs w:val="19"/>
                <w:color w:val="auto"/>
              </w:rPr>
            </w:pPr>
          </w:p>
        </w:tc>
        <w:tc>
          <w:tcPr>
            <w:tcW w:w="186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288.7</w:t>
            </w:r>
          </w:p>
        </w:tc>
      </w:tr>
      <w:tr>
        <w:trPr>
          <w:trHeight w:val="229"/>
        </w:trPr>
        <w:tc>
          <w:tcPr>
            <w:tcW w:w="460" w:type="dxa"/>
            <w:vAlign w:val="bottom"/>
          </w:tcPr>
          <w:p>
            <w:pPr>
              <w:spacing w:after="0"/>
              <w:rPr>
                <w:sz w:val="19"/>
                <w:szCs w:val="19"/>
                <w:color w:val="auto"/>
              </w:rPr>
            </w:pPr>
          </w:p>
        </w:tc>
        <w:tc>
          <w:tcPr>
            <w:tcW w:w="18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5,828.0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19"/>
                <w:szCs w:val="19"/>
                <w:color w:val="auto"/>
              </w:rPr>
            </w:pPr>
          </w:p>
        </w:tc>
        <w:tc>
          <w:tcPr>
            <w:tcW w:w="186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29"/>
        </w:trPr>
        <w:tc>
          <w:tcPr>
            <w:tcW w:w="460" w:type="dxa"/>
            <w:vAlign w:val="bottom"/>
          </w:tcPr>
          <w:p>
            <w:pPr>
              <w:spacing w:after="0"/>
              <w:rPr>
                <w:sz w:val="19"/>
                <w:szCs w:val="19"/>
                <w:color w:val="auto"/>
              </w:rPr>
            </w:pPr>
          </w:p>
        </w:tc>
        <w:tc>
          <w:tcPr>
            <w:tcW w:w="18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 w:type="dxa"/>
            <w:vAlign w:val="bottom"/>
          </w:tcPr>
          <w:p>
            <w:pPr>
              <w:spacing w:after="0"/>
              <w:rPr>
                <w:sz w:val="19"/>
                <w:szCs w:val="19"/>
                <w:color w:val="auto"/>
              </w:rPr>
            </w:pPr>
          </w:p>
        </w:tc>
        <w:tc>
          <w:tcPr>
            <w:tcW w:w="1860" w:type="dxa"/>
            <w:vAlign w:val="bottom"/>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460" w:type="dxa"/>
            <w:vAlign w:val="bottom"/>
          </w:tcPr>
          <w:p>
            <w:pPr>
              <w:spacing w:after="0"/>
              <w:rPr>
                <w:sz w:val="19"/>
                <w:szCs w:val="19"/>
                <w:color w:val="auto"/>
              </w:rPr>
            </w:pPr>
          </w:p>
        </w:tc>
        <w:tc>
          <w:tcPr>
            <w:tcW w:w="18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bl>
    <w:p>
      <w:pPr>
        <w:spacing w:after="0" w:line="98" w:lineRule="exact"/>
        <w:rPr>
          <w:sz w:val="20"/>
          <w:szCs w:val="20"/>
          <w:color w:val="auto"/>
        </w:rPr>
      </w:pPr>
    </w:p>
    <w:p>
      <w:pPr>
        <w:ind w:left="680" w:right="460" w:firstLine="1"/>
        <w:spacing w:after="0" w:line="226" w:lineRule="auto"/>
        <w:tabs>
          <w:tab w:leader="none" w:pos="85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20"/>
          <w:szCs w:val="20"/>
          <w:color w:val="auto"/>
          <w:vertAlign w:val="superscript"/>
        </w:rPr>
      </w:pPr>
    </w:p>
    <w:p>
      <w:pPr>
        <w:ind w:left="680" w:right="520" w:firstLine="1"/>
        <w:spacing w:after="0" w:line="213" w:lineRule="auto"/>
        <w:tabs>
          <w:tab w:leader="none" w:pos="857"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10" w:lineRule="exact"/>
        <w:rPr>
          <w:rFonts w:ascii="Arial" w:cs="Arial" w:eastAsia="Arial" w:hAnsi="Arial"/>
          <w:sz w:val="21"/>
          <w:szCs w:val="21"/>
          <w:color w:val="auto"/>
          <w:vertAlign w:val="superscript"/>
        </w:rPr>
      </w:pPr>
    </w:p>
    <w:p>
      <w:pPr>
        <w:ind w:left="680" w:right="920" w:firstLine="1"/>
        <w:spacing w:after="0" w:line="213" w:lineRule="auto"/>
        <w:tabs>
          <w:tab w:leader="none" w:pos="85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10" w:lineRule="exact"/>
        <w:rPr>
          <w:rFonts w:ascii="Arial" w:cs="Arial" w:eastAsia="Arial" w:hAnsi="Arial"/>
          <w:sz w:val="21"/>
          <w:szCs w:val="21"/>
          <w:color w:val="auto"/>
          <w:vertAlign w:val="superscript"/>
        </w:rPr>
      </w:pPr>
    </w:p>
    <w:p>
      <w:pPr>
        <w:ind w:left="680" w:right="600" w:firstLine="1"/>
        <w:spacing w:after="0" w:line="218" w:lineRule="auto"/>
        <w:tabs>
          <w:tab w:leader="none" w:pos="857"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Refer to "Collaboration, License, and Other Agreements - Sanofi" section below for further details.</w:t>
      </w:r>
    </w:p>
    <w:p>
      <w:pPr>
        <w:spacing w:after="0" w:line="12" w:lineRule="exact"/>
        <w:rPr>
          <w:rFonts w:ascii="Arial" w:cs="Arial" w:eastAsia="Arial" w:hAnsi="Arial"/>
          <w:sz w:val="21"/>
          <w:szCs w:val="21"/>
          <w:color w:val="auto"/>
          <w:vertAlign w:val="superscript"/>
        </w:rPr>
      </w:pPr>
    </w:p>
    <w:p>
      <w:pPr>
        <w:ind w:left="680" w:right="520" w:firstLine="1"/>
        <w:spacing w:after="0" w:line="230" w:lineRule="auto"/>
        <w:tabs>
          <w:tab w:leader="none" w:pos="85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 Refer to "Agreements Related to COVID-19" below for further details.</w:t>
      </w:r>
    </w:p>
    <w:p>
      <w:pPr>
        <w:spacing w:after="0" w:line="11" w:lineRule="exact"/>
        <w:rPr>
          <w:rFonts w:ascii="Arial" w:cs="Arial" w:eastAsia="Arial" w:hAnsi="Arial"/>
          <w:sz w:val="20"/>
          <w:szCs w:val="20"/>
          <w:color w:val="auto"/>
          <w:vertAlign w:val="superscript"/>
        </w:rPr>
      </w:pPr>
    </w:p>
    <w:p>
      <w:pPr>
        <w:ind w:left="680" w:right="620" w:firstLine="1"/>
        <w:spacing w:after="0" w:line="201" w:lineRule="auto"/>
        <w:tabs>
          <w:tab w:leader="none" w:pos="837"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 Pursuant to the January 2022 agreement, Ultragenyx will record net product sales of Evkeeza outside of the United States and will pay the Company a percentage of such sales. Refer to "Products" section above and "Collaboration, License, and Other Agreements - Ultragenyx" section below for further details.</w:t>
      </w:r>
    </w:p>
    <w:p>
      <w:pPr>
        <w:spacing w:after="0" w:line="10" w:lineRule="exact"/>
        <w:rPr>
          <w:rFonts w:ascii="Arial" w:cs="Arial" w:eastAsia="Arial" w:hAnsi="Arial"/>
          <w:sz w:val="23"/>
          <w:szCs w:val="23"/>
          <w:color w:val="auto"/>
          <w:vertAlign w:val="superscript"/>
        </w:rPr>
      </w:pPr>
    </w:p>
    <w:p>
      <w:pPr>
        <w:jc w:val="both"/>
        <w:ind w:left="680" w:right="700" w:firstLine="1"/>
        <w:spacing w:after="0" w:line="217" w:lineRule="auto"/>
        <w:tabs>
          <w:tab w:leader="none" w:pos="857"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Amounts reflected in the table above represent net product sales recorded by Regeneron. Effective April 1, 2021, Kiniksa records net product sales of ARCALYST in the United States and pays us a share of ARCALYST profits, if any. Refer to "Products" section above and "Collaboration, License, and Other Agreements - Kiniksa" section below for further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Product candidates in clinical development, which are being developed by us and/or our collaborators, are summarized in the table below.</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and our collaborators conduct clinical trials in multiple countries across the world. The COVID-19 pandemic and the restrictions adopted around the globe to reduce the spread of the disease have impacted and may continue to impact our clinical development programs. We continue to evaluate the impact of the COVID-19 pandemic on an individual trial basis and oversee trial management while also working to ensure patient safety and provide sufficient supply of product candidates for the studies. The ultimate impact (including possible delays in recruiting and/or obtaining data) resulting from the COVID-19 pandemic will depend, among other factors, on the extent of the pandemic in the areas with study sites and patient populations. It is possible that the COVID-19 pandemic may cause clinical disruptions beyond those we have described. In addition, there may be delays in the timing of regulatory review and other projected milestones discussed in the table below.</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Part I, Item 1A. "Risk Factors" for a description of these and other risks and uncertainties that may affect our clinical programs, including those related to the COVID-19 pandemic.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Clinical Program</w:t>
            </w:r>
          </w:p>
        </w:tc>
        <w:tc>
          <w:tcPr>
            <w:tcW w:w="80" w:type="dxa"/>
            <w:vAlign w:val="bottom"/>
            <w:vMerge w:val="restart"/>
          </w:tcPr>
          <w:p>
            <w:pPr>
              <w:spacing w:after="0"/>
              <w:rPr>
                <w:sz w:val="17"/>
                <w:szCs w:val="17"/>
                <w:color w:val="auto"/>
              </w:rPr>
            </w:pPr>
          </w:p>
        </w:tc>
        <w:tc>
          <w:tcPr>
            <w:tcW w:w="11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80" w:type="dxa"/>
            <w:vAlign w:val="bottom"/>
            <w:vMerge w:val="restart"/>
          </w:tcPr>
          <w:p>
            <w:pPr>
              <w:spacing w:after="0"/>
              <w:rPr>
                <w:sz w:val="17"/>
                <w:szCs w:val="17"/>
                <w:color w:val="auto"/>
              </w:rPr>
            </w:pPr>
          </w:p>
        </w:tc>
        <w:tc>
          <w:tcPr>
            <w:tcW w:w="14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80" w:type="dxa"/>
            <w:vAlign w:val="bottom"/>
            <w:vMerge w:val="restart"/>
          </w:tcPr>
          <w:p>
            <w:pPr>
              <w:spacing w:after="0"/>
              <w:rPr>
                <w:sz w:val="17"/>
                <w:szCs w:val="17"/>
                <w:color w:val="auto"/>
              </w:rPr>
            </w:pPr>
          </w:p>
        </w:tc>
        <w:tc>
          <w:tcPr>
            <w:tcW w:w="14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00" w:type="dxa"/>
            <w:vAlign w:val="bottom"/>
            <w:vMerge w:val="restart"/>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860" w:type="dxa"/>
            <w:vAlign w:val="bottom"/>
          </w:tcPr>
          <w:p>
            <w:pPr>
              <w:ind w:left="360"/>
              <w:spacing w:after="0"/>
              <w:rPr>
                <w:sz w:val="20"/>
                <w:szCs w:val="20"/>
                <w:color w:val="auto"/>
              </w:rPr>
            </w:pPr>
            <w:r>
              <w:rPr>
                <w:rFonts w:ascii="Arial" w:cs="Arial" w:eastAsia="Arial" w:hAnsi="Arial"/>
                <w:sz w:val="18"/>
                <w:szCs w:val="18"/>
                <w:b w:val="1"/>
                <w:bCs w:val="1"/>
                <w:color w:val="auto"/>
              </w:rPr>
              <w:t>2021 and 2022</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80" w:type="dxa"/>
            <w:vAlign w:val="bottom"/>
          </w:tcPr>
          <w:p>
            <w:pPr>
              <w:spacing w:after="0"/>
              <w:rPr>
                <w:sz w:val="19"/>
                <w:szCs w:val="19"/>
                <w:color w:val="auto"/>
              </w:rPr>
            </w:pPr>
          </w:p>
        </w:tc>
        <w:tc>
          <w:tcPr>
            <w:tcW w:w="18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Events to Date</w:t>
            </w:r>
          </w:p>
        </w:tc>
        <w:tc>
          <w:tcPr>
            <w:tcW w:w="0" w:type="dxa"/>
            <w:vAlign w:val="bottom"/>
          </w:tcPr>
          <w:p>
            <w:pPr>
              <w:spacing w:after="0"/>
              <w:rPr>
                <w:sz w:val="1"/>
                <w:szCs w:val="1"/>
                <w:color w:val="auto"/>
              </w:rPr>
            </w:pPr>
          </w:p>
        </w:tc>
      </w:tr>
      <w:tr>
        <w:trPr>
          <w:trHeight w:val="30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4"/>
          </w:tcPr>
          <w:p>
            <w:pPr>
              <w:ind w:left="400"/>
              <w:spacing w:after="0"/>
              <w:rPr>
                <w:sz w:val="20"/>
                <w:szCs w:val="20"/>
                <w:color w:val="auto"/>
              </w:rPr>
            </w:pPr>
            <w:r>
              <w:rPr>
                <w:rFonts w:ascii="Arial" w:cs="Arial" w:eastAsia="Arial" w:hAnsi="Arial"/>
                <w:sz w:val="18"/>
                <w:szCs w:val="18"/>
                <w:b w:val="1"/>
                <w:bCs w:val="1"/>
                <w:color w:val="auto"/>
              </w:rPr>
              <w:t>Ophthalmology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EYLEA (aflibercept)</w:t>
            </w: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–Retinopathy of</w:t>
            </w:r>
          </w:p>
        </w:tc>
        <w:tc>
          <w:tcPr>
            <w:tcW w:w="1280" w:type="dxa"/>
            <w:vAlign w:val="bottom"/>
            <w:gridSpan w:val="2"/>
          </w:tcPr>
          <w:p>
            <w:pPr>
              <w:spacing w:after="0"/>
              <w:rPr>
                <w:sz w:val="20"/>
                <w:szCs w:val="20"/>
                <w:color w:val="auto"/>
              </w:rPr>
            </w:pPr>
            <w:r>
              <w:rPr>
                <w:rFonts w:ascii="Arial" w:cs="Arial" w:eastAsia="Arial" w:hAnsi="Arial"/>
                <w:sz w:val="18"/>
                <w:szCs w:val="18"/>
                <w:color w:val="auto"/>
              </w:rPr>
              <w:t>–ROP (EU and</w:t>
            </w:r>
          </w:p>
        </w:tc>
        <w:tc>
          <w:tcPr>
            <w:tcW w:w="1860" w:type="dxa"/>
            <w:vAlign w:val="bottom"/>
          </w:tcPr>
          <w:p>
            <w:pPr>
              <w:ind w:left="20"/>
              <w:spacing w:after="0"/>
              <w:rPr>
                <w:sz w:val="20"/>
                <w:szCs w:val="20"/>
                <w:color w:val="auto"/>
              </w:rPr>
            </w:pPr>
            <w:r>
              <w:rPr>
                <w:rFonts w:ascii="Arial" w:cs="Arial" w:eastAsia="Arial" w:hAnsi="Arial"/>
                <w:sz w:val="18"/>
                <w:szCs w:val="18"/>
                <w:color w:val="auto"/>
              </w:rPr>
              <w:t>–Initial results from</w:t>
            </w:r>
          </w:p>
        </w:tc>
        <w:tc>
          <w:tcPr>
            <w:tcW w:w="0" w:type="dxa"/>
            <w:vAlign w:val="bottom"/>
          </w:tcPr>
          <w:p>
            <w:pPr>
              <w:spacing w:after="0"/>
              <w:rPr>
                <w:sz w:val="1"/>
                <w:szCs w:val="1"/>
                <w:color w:val="auto"/>
              </w:rPr>
            </w:pPr>
          </w:p>
        </w:tc>
      </w:tr>
      <w:tr>
        <w:trPr>
          <w:trHeight w:val="150"/>
        </w:trPr>
        <w:tc>
          <w:tcPr>
            <w:tcW w:w="1860" w:type="dxa"/>
            <w:vAlign w:val="bottom"/>
            <w:gridSpan w:val="2"/>
          </w:tcPr>
          <w:p>
            <w:pPr>
              <w:ind w:left="20"/>
              <w:spacing w:after="0"/>
              <w:rPr>
                <w:sz w:val="20"/>
                <w:szCs w:val="20"/>
                <w:color w:val="auto"/>
              </w:rPr>
            </w:pPr>
            <w:r>
              <w:rPr>
                <w:rFonts w:ascii="Arial" w:cs="Arial" w:eastAsia="Arial" w:hAnsi="Arial"/>
                <w:sz w:val="12"/>
                <w:szCs w:val="12"/>
                <w:b w:val="1"/>
                <w:bCs w:val="1"/>
                <w:color w:val="auto"/>
              </w:rPr>
              <w:t>(b)</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prematurity</w:t>
            </w:r>
          </w:p>
        </w:tc>
        <w:tc>
          <w:tcPr>
            <w:tcW w:w="128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rPr>
              <w:t>Japan)</w:t>
            </w:r>
          </w:p>
        </w:tc>
        <w:tc>
          <w:tcPr>
            <w:tcW w:w="186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National Institutes of</w:t>
            </w:r>
          </w:p>
        </w:tc>
        <w:tc>
          <w:tcPr>
            <w:tcW w:w="0" w:type="dxa"/>
            <w:vAlign w:val="bottom"/>
          </w:tcPr>
          <w:p>
            <w:pPr>
              <w:spacing w:after="0"/>
              <w:rPr>
                <w:sz w:val="1"/>
                <w:szCs w:val="1"/>
                <w:color w:val="auto"/>
              </w:rPr>
            </w:pPr>
          </w:p>
        </w:tc>
      </w:tr>
      <w:tr>
        <w:trPr>
          <w:trHeight w:val="25"/>
        </w:trPr>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("ROP")</w:t>
            </w:r>
            <w:r>
              <w:rPr>
                <w:rFonts w:ascii="Arial" w:cs="Arial" w:eastAsia="Arial" w:hAnsi="Arial"/>
                <w:sz w:val="20"/>
                <w:szCs w:val="20"/>
                <w:color w:val="auto"/>
                <w:vertAlign w:val="superscript"/>
              </w:rPr>
              <w:t>(c)</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Health ("NIH")-</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sponsored Protocol W</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9"/>
              </w:rPr>
              <w:t>trial in non-proliferative</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diabetic retinopathy</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("NPDR") were</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announced; data</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confirmed results from</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Company-sponsored</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PANORAMA trial and</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demonstrated reduced</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risk of developing</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vision-threatening</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complications with</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8"/>
              </w:rPr>
              <w:t>every-16-weeks dosing</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regimen</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w w:val="97"/>
              </w:rPr>
              <w:t>–Completed enrollment</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in Phase 3 study for</w:t>
            </w:r>
          </w:p>
        </w:tc>
        <w:tc>
          <w:tcPr>
            <w:tcW w:w="0" w:type="dxa"/>
            <w:vAlign w:val="bottom"/>
          </w:tcPr>
          <w:p>
            <w:pPr>
              <w:spacing w:after="0"/>
              <w:rPr>
                <w:sz w:val="1"/>
                <w:szCs w:val="1"/>
                <w:color w:val="auto"/>
              </w:rPr>
            </w:pPr>
          </w:p>
        </w:tc>
      </w:tr>
      <w:tr>
        <w:trPr>
          <w:trHeight w:val="229"/>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Aflibercept 8 mg</w:t>
            </w:r>
            <w:r>
              <w:rPr>
                <w:rFonts w:ascii="Arial" w:cs="Arial" w:eastAsia="Arial" w:hAnsi="Arial"/>
                <w:sz w:val="23"/>
                <w:szCs w:val="23"/>
                <w:b w:val="1"/>
                <w:bCs w:val="1"/>
                <w:color w:val="auto"/>
                <w:vertAlign w:val="superscript"/>
              </w:rPr>
              <w:t>(b)</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ROP</w:t>
            </w:r>
          </w:p>
        </w:tc>
        <w:tc>
          <w:tcPr>
            <w:tcW w:w="0" w:type="dxa"/>
            <w:vAlign w:val="bottom"/>
          </w:tcPr>
          <w:p>
            <w:pPr>
              <w:spacing w:after="0"/>
              <w:rPr>
                <w:sz w:val="1"/>
                <w:szCs w:val="1"/>
                <w:color w:val="auto"/>
              </w:rPr>
            </w:pPr>
          </w:p>
        </w:tc>
      </w:tr>
      <w:tr>
        <w:trPr>
          <w:trHeight w:val="176"/>
        </w:trPr>
        <w:tc>
          <w:tcPr>
            <w:tcW w:w="18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–Wet AMD</w:t>
            </w: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–Wet AMD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7"/>
              </w:rPr>
              <w:t>–Completed enrollment</w:t>
            </w:r>
          </w:p>
        </w:tc>
        <w:tc>
          <w:tcPr>
            <w:tcW w:w="0" w:type="dxa"/>
            <w:vAlign w:val="bottom"/>
          </w:tcPr>
          <w:p>
            <w:pPr>
              <w:spacing w:after="0"/>
              <w:rPr>
                <w:sz w:val="1"/>
                <w:szCs w:val="1"/>
                <w:color w:val="auto"/>
              </w:rPr>
            </w:pPr>
          </w:p>
        </w:tc>
      </w:tr>
      <w:tr>
        <w:trPr>
          <w:trHeight w:val="191"/>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ind w:left="20"/>
              <w:spacing w:after="0" w:line="191" w:lineRule="exact"/>
              <w:rPr>
                <w:sz w:val="20"/>
                <w:szCs w:val="20"/>
                <w:color w:val="auto"/>
              </w:rPr>
            </w:pPr>
            <w:r>
              <w:rPr>
                <w:rFonts w:ascii="Arial" w:cs="Arial" w:eastAsia="Arial" w:hAnsi="Arial"/>
                <w:sz w:val="18"/>
                <w:szCs w:val="18"/>
                <w:color w:val="auto"/>
                <w:w w:val="91"/>
              </w:rPr>
              <w:t>in Phase 3 studies in wet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-2854960</wp:posOffset>
            </wp:positionV>
            <wp:extent cx="7132320" cy="2623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tbl>
      <w:tblPr>
        <w:tblLayout w:type="fixed"/>
        <w:tblInd w:w="4640" w:type="dxa"/>
        <w:tblCellMar>
          <w:top w:w="0" w:type="dxa"/>
          <w:left w:w="0" w:type="dxa"/>
          <w:bottom w:w="0" w:type="dxa"/>
          <w:right w:w="0" w:type="dxa"/>
        </w:tblCellMar>
      </w:tblPr>
      <w:tr>
        <w:trPr>
          <w:trHeight w:val="228"/>
        </w:trPr>
        <w:tc>
          <w:tcPr>
            <w:tcW w:w="1680" w:type="dxa"/>
            <w:vAlign w:val="bottom"/>
            <w:vMerge w:val="restart"/>
          </w:tcPr>
          <w:p>
            <w:pPr>
              <w:spacing w:after="0"/>
              <w:rPr>
                <w:sz w:val="20"/>
                <w:szCs w:val="20"/>
                <w:color w:val="auto"/>
              </w:rPr>
            </w:pPr>
            <w:r>
              <w:rPr>
                <w:rFonts w:ascii="Arial" w:cs="Arial" w:eastAsia="Arial" w:hAnsi="Arial"/>
                <w:sz w:val="18"/>
                <w:szCs w:val="18"/>
                <w:color w:val="auto"/>
              </w:rPr>
              <w:t>–DME</w:t>
            </w:r>
          </w:p>
        </w:tc>
        <w:tc>
          <w:tcPr>
            <w:tcW w:w="2960" w:type="dxa"/>
            <w:vAlign w:val="bottom"/>
          </w:tcPr>
          <w:p>
            <w:pPr>
              <w:ind w:left="1180"/>
              <w:spacing w:after="0"/>
              <w:rPr>
                <w:sz w:val="20"/>
                <w:szCs w:val="20"/>
                <w:color w:val="auto"/>
              </w:rPr>
            </w:pPr>
            <w:r>
              <w:rPr>
                <w:rFonts w:ascii="Arial" w:cs="Arial" w:eastAsia="Arial" w:hAnsi="Arial"/>
                <w:sz w:val="18"/>
                <w:szCs w:val="18"/>
                <w:color w:val="auto"/>
              </w:rPr>
              <w:t>AMD and DME</w:t>
            </w:r>
          </w:p>
        </w:tc>
        <w:tc>
          <w:tcPr>
            <w:tcW w:w="0" w:type="dxa"/>
            <w:vAlign w:val="bottom"/>
          </w:tcPr>
          <w:p>
            <w:pPr>
              <w:spacing w:after="0"/>
              <w:rPr>
                <w:sz w:val="1"/>
                <w:szCs w:val="1"/>
                <w:color w:val="auto"/>
              </w:rPr>
            </w:pPr>
          </w:p>
        </w:tc>
      </w:tr>
      <w:tr>
        <w:trPr>
          <w:trHeight w:val="54"/>
        </w:trPr>
        <w:tc>
          <w:tcPr>
            <w:tcW w:w="1680" w:type="dxa"/>
            <w:vAlign w:val="bottom"/>
            <w:vMerge w:val="continue"/>
          </w:tcPr>
          <w:p>
            <w:pPr>
              <w:spacing w:after="0"/>
              <w:rPr>
                <w:sz w:val="4"/>
                <w:szCs w:val="4"/>
                <w:color w:val="auto"/>
              </w:rPr>
            </w:pPr>
          </w:p>
        </w:tc>
        <w:tc>
          <w:tcPr>
            <w:tcW w:w="2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4"/>
                <w:szCs w:val="24"/>
                <w:color w:val="auto"/>
              </w:rPr>
            </w:pPr>
          </w:p>
        </w:tc>
        <w:tc>
          <w:tcPr>
            <w:tcW w:w="2960" w:type="dxa"/>
            <w:vAlign w:val="bottom"/>
          </w:tcPr>
          <w:p>
            <w:pPr>
              <w:ind w:left="1180"/>
              <w:spacing w:after="0"/>
              <w:rPr>
                <w:sz w:val="20"/>
                <w:szCs w:val="20"/>
                <w:color w:val="auto"/>
              </w:rPr>
            </w:pPr>
            <w:r>
              <w:rPr>
                <w:rFonts w:ascii="Arial" w:cs="Arial" w:eastAsia="Arial" w:hAnsi="Arial"/>
                <w:sz w:val="18"/>
                <w:szCs w:val="18"/>
                <w:color w:val="auto"/>
              </w:rPr>
              <w:t>–Reported initial data</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2960" w:type="dxa"/>
            <w:vAlign w:val="bottom"/>
          </w:tcPr>
          <w:p>
            <w:pPr>
              <w:ind w:left="1180"/>
              <w:spacing w:after="0" w:line="176" w:lineRule="exact"/>
              <w:rPr>
                <w:sz w:val="20"/>
                <w:szCs w:val="20"/>
                <w:color w:val="auto"/>
              </w:rPr>
            </w:pPr>
            <w:r>
              <w:rPr>
                <w:rFonts w:ascii="Arial" w:cs="Arial" w:eastAsia="Arial" w:hAnsi="Arial"/>
                <w:sz w:val="18"/>
                <w:szCs w:val="18"/>
                <w:color w:val="auto"/>
                <w:w w:val="91"/>
              </w:rPr>
              <w:t>from Phase 2 trial in wet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2960" w:type="dxa"/>
            <w:vAlign w:val="bottom"/>
          </w:tcPr>
          <w:p>
            <w:pPr>
              <w:ind w:left="1180"/>
              <w:spacing w:after="0" w:line="176" w:lineRule="exact"/>
              <w:rPr>
                <w:sz w:val="20"/>
                <w:szCs w:val="20"/>
                <w:color w:val="auto"/>
              </w:rPr>
            </w:pPr>
            <w:r>
              <w:rPr>
                <w:rFonts w:ascii="Arial" w:cs="Arial" w:eastAsia="Arial" w:hAnsi="Arial"/>
                <w:sz w:val="18"/>
                <w:szCs w:val="18"/>
                <w:color w:val="auto"/>
                <w:w w:val="98"/>
              </w:rPr>
              <w:t>AMD and that trial met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2960" w:type="dxa"/>
            <w:vAlign w:val="bottom"/>
          </w:tcPr>
          <w:p>
            <w:pPr>
              <w:ind w:left="1180"/>
              <w:spacing w:after="0" w:line="176" w:lineRule="exact"/>
              <w:rPr>
                <w:sz w:val="20"/>
                <w:szCs w:val="20"/>
                <w:color w:val="auto"/>
              </w:rPr>
            </w:pPr>
            <w:r>
              <w:rPr>
                <w:rFonts w:ascii="Arial" w:cs="Arial" w:eastAsia="Arial" w:hAnsi="Arial"/>
                <w:sz w:val="18"/>
                <w:szCs w:val="18"/>
                <w:color w:val="auto"/>
              </w:rPr>
              <w:t>its primary safety and</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2960" w:type="dxa"/>
            <w:vAlign w:val="bottom"/>
          </w:tcPr>
          <w:p>
            <w:pPr>
              <w:ind w:left="1180"/>
              <w:spacing w:after="0"/>
              <w:rPr>
                <w:sz w:val="20"/>
                <w:szCs w:val="20"/>
                <w:color w:val="auto"/>
              </w:rPr>
            </w:pPr>
            <w:r>
              <w:rPr>
                <w:rFonts w:ascii="Arial" w:cs="Arial" w:eastAsia="Arial" w:hAnsi="Arial"/>
                <w:sz w:val="18"/>
                <w:szCs w:val="18"/>
                <w:color w:val="auto"/>
              </w:rPr>
              <w:t>efficacy endpoints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 Upcoming</w:t>
      </w:r>
    </w:p>
    <w:p>
      <w:pPr>
        <w:jc w:val="center"/>
        <w:ind w:right="40"/>
        <w:spacing w:after="0"/>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-31115</wp:posOffset>
            </wp:positionV>
            <wp:extent cx="1157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348"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–Submit supplemental BLA ("sBLA") for every-16-weeks dosing regimen in patients with NPDR (first half 2022)</w:t>
      </w:r>
    </w:p>
    <w:p>
      <w:pPr>
        <w:spacing w:after="0" w:line="185" w:lineRule="exact"/>
        <w:rPr>
          <w:sz w:val="20"/>
          <w:szCs w:val="20"/>
          <w:color w:val="auto"/>
        </w:rPr>
      </w:pPr>
    </w:p>
    <w:p>
      <w:pPr>
        <w:jc w:val="both"/>
        <w:ind w:right="240"/>
        <w:spacing w:after="0" w:line="284" w:lineRule="auto"/>
        <w:rPr>
          <w:sz w:val="20"/>
          <w:szCs w:val="20"/>
          <w:color w:val="auto"/>
        </w:rPr>
      </w:pPr>
      <w:r>
        <w:rPr>
          <w:rFonts w:ascii="Arial" w:cs="Arial" w:eastAsia="Arial" w:hAnsi="Arial"/>
          <w:sz w:val="15"/>
          <w:szCs w:val="15"/>
          <w:color w:val="auto"/>
        </w:rPr>
        <w:t>–Report results from Phase 3 study in ROP (second half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–Report detailed results from Phase 2 trial in wet AMD (first quarter 2022)</w:t>
      </w:r>
    </w:p>
    <w:p>
      <w:pPr>
        <w:spacing w:after="0" w:line="12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–Report results from Phase 3 studies in wet AMD and DME (second half 2022)</w:t>
      </w:r>
    </w:p>
    <w:p>
      <w:pPr>
        <w:spacing w:after="0" w:line="117" w:lineRule="exact"/>
        <w:rPr>
          <w:sz w:val="20"/>
          <w:szCs w:val="20"/>
          <w:color w:val="auto"/>
        </w:rPr>
      </w:pPr>
    </w:p>
    <w:p>
      <w:pPr>
        <w:sectPr>
          <w:pgSz w:w="11900" w:h="16838" w:orient="portrait"/>
          <w:cols w:equalWidth="0" w:num="2">
            <w:col w:w="9340" w:space="100"/>
            <w:col w:w="1800"/>
          </w:cols>
          <w:pgMar w:left="320" w:top="37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Dupixent (dupilumab)</w:t>
            </w:r>
          </w:p>
        </w:tc>
        <w:tc>
          <w:tcPr>
            <w:tcW w:w="2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–Peanut allergy</w:t>
            </w:r>
          </w:p>
        </w:tc>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–Atopic dermatitis</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–Atopic</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–Reported that Phase 3</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–FDA decision on</w:t>
            </w:r>
          </w:p>
        </w:tc>
        <w:tc>
          <w:tcPr>
            <w:tcW w:w="0" w:type="dxa"/>
            <w:vAlign w:val="bottom"/>
          </w:tcPr>
          <w:p>
            <w:pPr>
              <w:spacing w:after="0"/>
              <w:rPr>
                <w:sz w:val="1"/>
                <w:szCs w:val="1"/>
                <w:color w:val="auto"/>
              </w:rPr>
            </w:pPr>
          </w:p>
        </w:tc>
      </w:tr>
      <w:tr>
        <w:trPr>
          <w:trHeight w:val="107"/>
        </w:trPr>
        <w:tc>
          <w:tcPr>
            <w:tcW w:w="244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b w:val="1"/>
                <w:bCs w:val="1"/>
                <w:color w:val="auto"/>
              </w:rPr>
              <w:t>(a)</w:t>
            </w:r>
          </w:p>
        </w:tc>
        <w:tc>
          <w:tcPr>
            <w:tcW w:w="2020" w:type="dxa"/>
            <w:vAlign w:val="bottom"/>
            <w:shd w:val="clear" w:color="auto" w:fill="CCEEFF"/>
          </w:tcPr>
          <w:p>
            <w:pPr>
              <w:spacing w:after="0"/>
              <w:rPr>
                <w:sz w:val="9"/>
                <w:szCs w:val="9"/>
                <w:color w:val="auto"/>
              </w:rPr>
            </w:pPr>
          </w:p>
        </w:tc>
        <w:tc>
          <w:tcPr>
            <w:tcW w:w="1680" w:type="dxa"/>
            <w:vAlign w:val="bottom"/>
            <w:vMerge w:val="restart"/>
            <w:shd w:val="clear" w:color="auto" w:fill="CCEEFF"/>
          </w:tcPr>
          <w:p>
            <w:pPr>
              <w:ind w:left="180"/>
              <w:spacing w:after="0" w:line="176" w:lineRule="exact"/>
              <w:rPr>
                <w:sz w:val="20"/>
                <w:szCs w:val="20"/>
                <w:color w:val="auto"/>
              </w:rPr>
            </w:pPr>
            <w:r>
              <w:rPr>
                <w:rFonts w:ascii="Arial" w:cs="Arial" w:eastAsia="Arial" w:hAnsi="Arial"/>
                <w:sz w:val="18"/>
                <w:szCs w:val="18"/>
                <w:color w:val="auto"/>
              </w:rPr>
              <w:t>in pediatrics (6</w:t>
            </w:r>
          </w:p>
        </w:tc>
        <w:tc>
          <w:tcPr>
            <w:tcW w:w="1300" w:type="dxa"/>
            <w:vAlign w:val="bottom"/>
            <w:vMerge w:val="restart"/>
            <w:shd w:val="clear" w:color="auto" w:fill="CCEEFF"/>
          </w:tcPr>
          <w:p>
            <w:pPr>
              <w:ind w:left="60"/>
              <w:spacing w:after="0" w:line="176" w:lineRule="exact"/>
              <w:rPr>
                <w:sz w:val="20"/>
                <w:szCs w:val="20"/>
                <w:color w:val="auto"/>
              </w:rPr>
            </w:pPr>
            <w:r>
              <w:rPr>
                <w:rFonts w:ascii="Arial" w:cs="Arial" w:eastAsia="Arial" w:hAnsi="Arial"/>
                <w:sz w:val="18"/>
                <w:szCs w:val="18"/>
                <w:color w:val="auto"/>
              </w:rPr>
              <w:t>dermatitis in</w:t>
            </w:r>
          </w:p>
        </w:tc>
        <w:tc>
          <w:tcPr>
            <w:tcW w:w="1920" w:type="dxa"/>
            <w:vAlign w:val="bottom"/>
            <w:vMerge w:val="restart"/>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trial for atopic dermatitis</w:t>
            </w:r>
          </w:p>
        </w:tc>
        <w:tc>
          <w:tcPr>
            <w:tcW w:w="1880" w:type="dxa"/>
            <w:vAlign w:val="bottom"/>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rPr>
              <w:t>sBLA for atopic</w:t>
            </w:r>
          </w:p>
        </w:tc>
        <w:tc>
          <w:tcPr>
            <w:tcW w:w="0" w:type="dxa"/>
            <w:vAlign w:val="bottom"/>
          </w:tcPr>
          <w:p>
            <w:pPr>
              <w:spacing w:after="0"/>
              <w:rPr>
                <w:sz w:val="1"/>
                <w:szCs w:val="1"/>
                <w:color w:val="auto"/>
              </w:rPr>
            </w:pPr>
          </w:p>
        </w:tc>
      </w:tr>
      <w:tr>
        <w:trPr>
          <w:trHeight w:val="68"/>
        </w:trPr>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IL-4R</w:t>
            </w:r>
          </w:p>
        </w:tc>
        <w:tc>
          <w:tcPr>
            <w:tcW w:w="202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–Grass allergy</w:t>
            </w:r>
          </w:p>
        </w:tc>
        <w:tc>
          <w:tcPr>
            <w:tcW w:w="168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440" w:type="dxa"/>
            <w:vAlign w:val="bottom"/>
            <w:vMerge w:val="continue"/>
            <w:shd w:val="clear" w:color="auto" w:fill="CCEEFF"/>
          </w:tcPr>
          <w:p>
            <w:pPr>
              <w:spacing w:after="0"/>
              <w:rPr>
                <w:sz w:val="15"/>
                <w:szCs w:val="15"/>
                <w:color w:val="auto"/>
              </w:rPr>
            </w:pPr>
          </w:p>
        </w:tc>
        <w:tc>
          <w:tcPr>
            <w:tcW w:w="2020" w:type="dxa"/>
            <w:vAlign w:val="bottom"/>
            <w:vMerge w:val="continue"/>
            <w:shd w:val="clear" w:color="auto" w:fill="CCEEFF"/>
          </w:tcPr>
          <w:p>
            <w:pPr>
              <w:spacing w:after="0"/>
              <w:rPr>
                <w:sz w:val="15"/>
                <w:szCs w:val="15"/>
                <w:color w:val="auto"/>
              </w:rPr>
            </w:pPr>
          </w:p>
        </w:tc>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months–5 years of</w:t>
            </w:r>
          </w:p>
        </w:tc>
        <w:tc>
          <w:tcPr>
            <w:tcW w:w="13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pediatrics (6</w:t>
            </w:r>
          </w:p>
        </w:tc>
        <w:tc>
          <w:tcPr>
            <w:tcW w:w="19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in pediatrics (6 months–</w:t>
            </w:r>
          </w:p>
        </w:tc>
        <w:tc>
          <w:tcPr>
            <w:tcW w:w="18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dermatitis in pediatric</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alpha subunit</w:t>
            </w: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age) (Phase 2/3)</w:t>
            </w:r>
            <w:r>
              <w:rPr>
                <w:rFonts w:ascii="Arial" w:cs="Arial" w:eastAsia="Arial" w:hAnsi="Arial"/>
                <w:sz w:val="20"/>
                <w:szCs w:val="20"/>
                <w:color w:val="auto"/>
                <w:vertAlign w:val="superscript"/>
              </w:rPr>
              <w:t>(d)</w:t>
            </w:r>
          </w:p>
        </w:tc>
        <w:tc>
          <w:tcPr>
            <w:tcW w:w="13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months–5 years</w:t>
            </w:r>
          </w:p>
        </w:tc>
        <w:tc>
          <w:tcPr>
            <w:tcW w:w="19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5 years of age) met its</w:t>
            </w:r>
          </w:p>
        </w:tc>
        <w:tc>
          <w:tcPr>
            <w:tcW w:w="18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patients (6 months–5</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3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of age) (U.S.)</w:t>
            </w:r>
          </w:p>
        </w:tc>
        <w:tc>
          <w:tcPr>
            <w:tcW w:w="19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primary and key</w:t>
            </w:r>
          </w:p>
        </w:tc>
        <w:tc>
          <w:tcPr>
            <w:tcW w:w="18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years of age) (mid-</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–Eosinophilic</w:t>
            </w:r>
          </w:p>
        </w:tc>
        <w:tc>
          <w:tcPr>
            <w:tcW w:w="13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–Asthma in</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secondary endpoints</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esophagitis ("EoE")</w:t>
            </w:r>
          </w:p>
        </w:tc>
        <w:tc>
          <w:tcPr>
            <w:tcW w:w="1300" w:type="dxa"/>
            <w:vAlign w:val="bottom"/>
            <w:vMerge w:val="continue"/>
            <w:shd w:val="clear" w:color="auto" w:fill="CCEEFF"/>
          </w:tcPr>
          <w:p>
            <w:pPr>
              <w:spacing w:after="0"/>
              <w:rPr>
                <w:sz w:val="15"/>
                <w:szCs w:val="15"/>
                <w:color w:val="auto"/>
              </w:rPr>
            </w:pPr>
          </w:p>
        </w:tc>
        <w:tc>
          <w:tcPr>
            <w:tcW w:w="19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5"/>
              </w:rPr>
              <w:t>–Initiated Phase 3 study</w:t>
            </w:r>
          </w:p>
        </w:tc>
        <w:tc>
          <w:tcPr>
            <w:tcW w:w="18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–Submit regulatory</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20"/>
                <w:szCs w:val="20"/>
                <w:color w:val="auto"/>
                <w:vertAlign w:val="superscript"/>
              </w:rPr>
              <w:t>(c)</w:t>
            </w:r>
            <w:r>
              <w:rPr>
                <w:rFonts w:ascii="Arial" w:cs="Arial" w:eastAsia="Arial" w:hAnsi="Arial"/>
                <w:sz w:val="16"/>
                <w:szCs w:val="16"/>
                <w:color w:val="auto"/>
              </w:rPr>
              <w:t xml:space="preserve"> in adults</w:t>
            </w:r>
            <w:r>
              <w:rPr>
                <w:rFonts w:ascii="Arial" w:cs="Arial" w:eastAsia="Arial" w:hAnsi="Arial"/>
                <w:sz w:val="20"/>
                <w:szCs w:val="20"/>
                <w:color w:val="auto"/>
                <w:vertAlign w:val="superscript"/>
              </w:rPr>
              <w:t>(d)</w:t>
            </w:r>
            <w:r>
              <w:rPr>
                <w:rFonts w:ascii="Arial" w:cs="Arial" w:eastAsia="Arial" w:hAnsi="Arial"/>
                <w:sz w:val="16"/>
                <w:szCs w:val="16"/>
                <w:color w:val="auto"/>
              </w:rPr>
              <w:t>,</w:t>
            </w:r>
          </w:p>
        </w:tc>
        <w:tc>
          <w:tcPr>
            <w:tcW w:w="13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pediatrics (6–11</w:t>
            </w:r>
          </w:p>
        </w:tc>
        <w:tc>
          <w:tcPr>
            <w:tcW w:w="1920" w:type="dxa"/>
            <w:vAlign w:val="bottom"/>
            <w:vMerge w:val="continue"/>
            <w:shd w:val="clear" w:color="auto" w:fill="CCEEFF"/>
          </w:tcPr>
          <w:p>
            <w:pPr>
              <w:spacing w:after="0"/>
              <w:rPr>
                <w:sz w:val="15"/>
                <w:szCs w:val="15"/>
                <w:color w:val="auto"/>
              </w:rPr>
            </w:pP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adolescents</w:t>
            </w:r>
            <w:r>
              <w:rPr>
                <w:rFonts w:ascii="Arial" w:cs="Arial" w:eastAsia="Arial" w:hAnsi="Arial"/>
                <w:sz w:val="20"/>
                <w:szCs w:val="20"/>
                <w:color w:val="auto"/>
                <w:vertAlign w:val="superscript"/>
              </w:rPr>
              <w:t>(d)</w:t>
            </w:r>
            <w:r>
              <w:rPr>
                <w:rFonts w:ascii="Arial" w:cs="Arial" w:eastAsia="Arial" w:hAnsi="Arial"/>
                <w:sz w:val="16"/>
                <w:szCs w:val="16"/>
                <w:color w:val="auto"/>
              </w:rPr>
              <w:t>, and</w:t>
            </w:r>
          </w:p>
        </w:tc>
        <w:tc>
          <w:tcPr>
            <w:tcW w:w="13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years of age)</w:t>
            </w:r>
          </w:p>
        </w:tc>
        <w:tc>
          <w:tcPr>
            <w:tcW w:w="19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in hand and foot atopic</w:t>
            </w:r>
          </w:p>
        </w:tc>
        <w:tc>
          <w:tcPr>
            <w:tcW w:w="18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application in the EU</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pediatrics</w:t>
            </w:r>
          </w:p>
        </w:tc>
        <w:tc>
          <w:tcPr>
            <w:tcW w:w="13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(EU)</w:t>
            </w:r>
          </w:p>
        </w:tc>
        <w:tc>
          <w:tcPr>
            <w:tcW w:w="19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dermatitis</w:t>
            </w:r>
          </w:p>
        </w:tc>
        <w:tc>
          <w:tcPr>
            <w:tcW w:w="18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for atopic dermatitis in</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pediatric patients (6</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–EoE in adults</w:t>
            </w:r>
          </w:p>
        </w:tc>
        <w:tc>
          <w:tcPr>
            <w:tcW w:w="19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–Approved by FDA for</w:t>
            </w:r>
          </w:p>
        </w:tc>
        <w:tc>
          <w:tcPr>
            <w:tcW w:w="18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months–5 years of age)</w:t>
            </w:r>
          </w:p>
        </w:tc>
        <w:tc>
          <w:tcPr>
            <w:tcW w:w="0" w:type="dxa"/>
            <w:vAlign w:val="bottom"/>
          </w:tcPr>
          <w:p>
            <w:pPr>
              <w:spacing w:after="0"/>
              <w:rPr>
                <w:sz w:val="1"/>
                <w:szCs w:val="1"/>
                <w:color w:val="auto"/>
              </w:rPr>
            </w:pPr>
          </w:p>
        </w:tc>
      </w:tr>
      <w:tr>
        <w:trPr>
          <w:trHeight w:val="68"/>
        </w:trPr>
        <w:tc>
          <w:tcPr>
            <w:tcW w:w="2440" w:type="dxa"/>
            <w:vAlign w:val="bottom"/>
            <w:shd w:val="clear" w:color="auto" w:fill="CCEEFF"/>
          </w:tcPr>
          <w:p>
            <w:pPr>
              <w:spacing w:after="0"/>
              <w:rPr>
                <w:sz w:val="5"/>
                <w:szCs w:val="5"/>
                <w:color w:val="auto"/>
              </w:rPr>
            </w:pPr>
          </w:p>
        </w:tc>
        <w:tc>
          <w:tcPr>
            <w:tcW w:w="20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18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(first half 2022)</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3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and adolescents</w:t>
            </w:r>
          </w:p>
        </w:tc>
        <w:tc>
          <w:tcPr>
            <w:tcW w:w="19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asthma in pediatrics (6–</w:t>
            </w: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 years of age)</w:t>
            </w: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20"/>
          </w:cols>
          <w:pgMar w:left="320" w:top="3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Clinical Program</w:t>
            </w: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Regulatory</w:t>
            </w:r>
          </w:p>
        </w:tc>
        <w:tc>
          <w:tcPr>
            <w:tcW w:w="1840" w:type="dxa"/>
            <w:vAlign w:val="bottom"/>
          </w:tcPr>
          <w:p>
            <w:pPr>
              <w:ind w:left="360"/>
              <w:spacing w:after="0"/>
              <w:rPr>
                <w:sz w:val="20"/>
                <w:szCs w:val="20"/>
                <w:color w:val="auto"/>
              </w:rPr>
            </w:pPr>
            <w:r>
              <w:rPr>
                <w:rFonts w:ascii="Arial" w:cs="Arial" w:eastAsia="Arial" w:hAnsi="Arial"/>
                <w:sz w:val="18"/>
                <w:szCs w:val="18"/>
                <w:b w:val="1"/>
                <w:bCs w:val="1"/>
                <w:color w:val="auto"/>
              </w:rPr>
              <w:t>2021 and 2022</w:t>
            </w:r>
          </w:p>
        </w:tc>
        <w:tc>
          <w:tcPr>
            <w:tcW w:w="0" w:type="dxa"/>
            <w:vAlign w:val="bottom"/>
          </w:tcPr>
          <w:p>
            <w:pPr>
              <w:spacing w:after="0"/>
              <w:rPr>
                <w:sz w:val="1"/>
                <w:szCs w:val="1"/>
                <w:color w:val="auto"/>
              </w:rPr>
            </w:pPr>
          </w:p>
        </w:tc>
      </w:tr>
      <w:tr>
        <w:trPr>
          <w:trHeight w:val="229"/>
        </w:trPr>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87"/>
              </w:rPr>
              <w:t>(continued)</w:t>
            </w:r>
          </w:p>
        </w:tc>
        <w:tc>
          <w:tcPr>
            <w:tcW w:w="126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300" w:type="dxa"/>
            <w:vAlign w:val="bottom"/>
            <w:gridSpan w:val="2"/>
          </w:tcPr>
          <w:p>
            <w:pPr>
              <w:jc w:val="center"/>
              <w:ind w:right="80"/>
              <w:spacing w:after="0" w:line="23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840" w:type="dxa"/>
            <w:vAlign w:val="bottom"/>
          </w:tcPr>
          <w:p>
            <w:pPr>
              <w:ind w:left="360"/>
              <w:spacing w:after="0"/>
              <w:rPr>
                <w:sz w:val="20"/>
                <w:szCs w:val="20"/>
                <w:color w:val="auto"/>
              </w:rPr>
            </w:pPr>
            <w:r>
              <w:rPr>
                <w:rFonts w:ascii="Arial" w:cs="Arial" w:eastAsia="Arial" w:hAnsi="Arial"/>
                <w:sz w:val="18"/>
                <w:szCs w:val="18"/>
                <w:b w:val="1"/>
                <w:bCs w:val="1"/>
                <w:color w:val="auto"/>
              </w:rPr>
              <w:t>Events to Date</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4"/>
              </w:rPr>
              <w:t>Dupixent (dupilumab)</w:t>
            </w:r>
          </w:p>
        </w:tc>
        <w:tc>
          <w:tcPr>
            <w:tcW w:w="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–Chronic</w:t>
            </w: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–European Medicines</w:t>
            </w: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w:t>
            </w: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obstructive</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Agency's ("EMA")</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(continued)</w:t>
            </w: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pulmonary disease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Committee for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("COPD")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Medicinal Products for</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9"/>
              </w:rPr>
              <w:t>Human Use adopted a</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–Bullous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positive opinion for</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severe asthma in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pemphigoid (Phase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tcPr>
          <w:p>
            <w:pPr>
              <w:ind w:left="20"/>
              <w:spacing w:after="0" w:line="123" w:lineRule="exact"/>
              <w:rPr>
                <w:sz w:val="20"/>
                <w:szCs w:val="20"/>
                <w:color w:val="auto"/>
              </w:rPr>
            </w:pPr>
            <w:r>
              <w:rPr>
                <w:rFonts w:ascii="Arial" w:cs="Arial" w:eastAsia="Arial" w:hAnsi="Arial"/>
                <w:sz w:val="11"/>
                <w:szCs w:val="11"/>
                <w:color w:val="auto"/>
              </w:rPr>
              <w:t>2/3)</w:t>
            </w:r>
            <w:r>
              <w:rPr>
                <w:rFonts w:ascii="Arial" w:cs="Arial" w:eastAsia="Arial" w:hAnsi="Arial"/>
                <w:sz w:val="14"/>
                <w:szCs w:val="14"/>
                <w:color w:val="auto"/>
                <w:vertAlign w:val="superscript"/>
              </w:rPr>
              <w:t>(c)</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Pr>
          <w:p>
            <w:pPr>
              <w:ind w:left="20"/>
              <w:spacing w:after="0" w:line="123" w:lineRule="exact"/>
              <w:rPr>
                <w:sz w:val="20"/>
                <w:szCs w:val="20"/>
                <w:color w:val="auto"/>
              </w:rPr>
            </w:pPr>
            <w:r>
              <w:rPr>
                <w:rFonts w:ascii="Arial" w:cs="Arial" w:eastAsia="Arial" w:hAnsi="Arial"/>
                <w:sz w:val="13"/>
                <w:szCs w:val="13"/>
                <w:color w:val="auto"/>
              </w:rPr>
              <w:t>pediatrics (6–11 years of</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age)</w:t>
            </w:r>
          </w:p>
        </w:tc>
        <w:tc>
          <w:tcPr>
            <w:tcW w:w="0" w:type="dxa"/>
            <w:vAlign w:val="bottom"/>
          </w:tcPr>
          <w:p>
            <w:pPr>
              <w:spacing w:after="0"/>
              <w:rPr>
                <w:sz w:val="1"/>
                <w:szCs w:val="1"/>
                <w:color w:val="auto"/>
              </w:rPr>
            </w:pPr>
          </w:p>
        </w:tc>
      </w:tr>
      <w:tr>
        <w:trPr>
          <w:trHeight w:val="24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–Chronic</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New England Journal</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spontaneous</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i w:val="1"/>
                <w:iCs w:val="1"/>
                <w:color w:val="auto"/>
              </w:rPr>
              <w:t>of Medicine ("NEJM")</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urticaria ("CSU")</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published positive</w:t>
            </w: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–Prurigo nodularis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0"/>
              </w:rPr>
              <w:t>results from Phase 3 trial</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1"/>
              </w:rPr>
              <w:t>in pediatrics (6–11 years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9"/>
              </w:rPr>
              <w:t>of age) with moderate-</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–Allergic</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Arial" w:cs="Arial" w:eastAsia="Arial" w:hAnsi="Arial"/>
                <w:sz w:val="18"/>
                <w:szCs w:val="18"/>
                <w:color w:val="auto"/>
              </w:rPr>
              <w:t>to-severe asthma</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bronchopulmonary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aspergillosis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4"/>
              </w:rPr>
              <w:t>–Reported that Phase 3</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("ABPA")</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trial in CSU met its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–Chronic inducible</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urticaria - cold</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–Reported that two</w:t>
            </w:r>
          </w:p>
        </w:tc>
        <w:tc>
          <w:tcPr>
            <w:tcW w:w="0" w:type="dxa"/>
            <w:vAlign w:val="bottom"/>
          </w:tcPr>
          <w:p>
            <w:pPr>
              <w:spacing w:after="0"/>
              <w:rPr>
                <w:sz w:val="1"/>
                <w:szCs w:val="1"/>
                <w:color w:val="auto"/>
              </w:rPr>
            </w:pPr>
          </w:p>
        </w:tc>
      </w:tr>
      <w:tr>
        <w:trPr>
          <w:trHeight w:val="161"/>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–Chronic</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Arial" w:cs="Arial" w:eastAsia="Arial" w:hAnsi="Arial"/>
                <w:sz w:val="18"/>
                <w:szCs w:val="18"/>
                <w:color w:val="auto"/>
                <w:w w:val="95"/>
              </w:rPr>
              <w:t>Phase 3 trials in prurigo</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rhinosinusitis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nodularis met their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without nasal</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respective primary and</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polyposis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0"/>
              </w:rPr>
              <w:t>key secondary endpoints</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–Allergic fungal</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2"/>
              </w:rPr>
              <w:t>–Reported that Part B of</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rhinosinusitis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89"/>
              </w:rPr>
              <w:t>the Phase 3 trial in adults</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ind w:left="20"/>
              <w:spacing w:after="0" w:line="149" w:lineRule="exact"/>
              <w:rPr>
                <w:sz w:val="20"/>
                <w:szCs w:val="20"/>
                <w:color w:val="auto"/>
              </w:rPr>
            </w:pPr>
            <w:r>
              <w:rPr>
                <w:rFonts w:ascii="Arial" w:cs="Arial" w:eastAsia="Arial" w:hAnsi="Arial"/>
                <w:sz w:val="17"/>
                <w:szCs w:val="17"/>
                <w:color w:val="auto"/>
              </w:rPr>
              <w:t>and adolescents with</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EoE met its co-primary</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–Approved by FDA for</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200 mg auto-injector</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4"/>
              </w:rPr>
              <w:t>–Reported that Phase 2</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trial of Dupixent in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combination with</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Aimmune Therapeutics'</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AR101, an oral</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immunotherapy, in</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pediatric patients with</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peanut allergy met its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secondary endpoint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-5648960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Upcoming</w:t>
      </w:r>
    </w:p>
    <w:p>
      <w:pPr>
        <w:jc w:val="center"/>
        <w:spacing w:after="0" w:line="220" w:lineRule="auto"/>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–European Commission ("EC") decision on regulatory submission for asthma in pediatrics (6–11 years of age) (first half 2022)</w:t>
      </w:r>
    </w:p>
    <w:p>
      <w:pPr>
        <w:spacing w:after="0" w:line="190"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–Complete rolling sBLA submission for EoE in adults and adolescents (first quarter 2022)</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–Report results from Phase 2 study in peanut allergy (second half 2022)</w:t>
      </w:r>
    </w:p>
    <w:p>
      <w:pPr>
        <w:spacing w:after="0" w:line="190"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–Report results from additional Phase 3 CSU study (second half 2022)</w:t>
      </w:r>
    </w:p>
    <w:p>
      <w:pPr>
        <w:spacing w:after="0" w:line="190"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–Submit sBLA for prurigo nodularis (first half 2022)</w:t>
      </w:r>
    </w:p>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–Report results from Phase 3 study in chronic inducible urticaria - cold (second half 2022)</w:t>
      </w:r>
    </w:p>
    <w:p>
      <w:pPr>
        <w:spacing w:after="0" w:line="3245" w:lineRule="exact"/>
        <w:rPr>
          <w:sz w:val="20"/>
          <w:szCs w:val="20"/>
          <w:color w:val="auto"/>
        </w:rPr>
      </w:pPr>
    </w:p>
    <w:p>
      <w:pPr>
        <w:sectPr>
          <w:pgSz w:w="11900" w:h="16838" w:orient="portrait"/>
          <w:cols w:equalWidth="0" w:num="2">
            <w:col w:w="9340" w:space="100"/>
            <w:col w:w="1780"/>
          </w:cols>
          <w:pgMar w:left="320" w:top="37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Regulatory</w:t>
            </w: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2021 and 2022</w:t>
            </w:r>
          </w:p>
        </w:tc>
        <w:tc>
          <w:tcPr>
            <w:tcW w:w="1800" w:type="dxa"/>
            <w:vAlign w:val="bottom"/>
          </w:tcPr>
          <w:p>
            <w:pPr>
              <w:ind w:left="26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6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300" w:type="dxa"/>
            <w:vAlign w:val="bottom"/>
            <w:gridSpan w:val="2"/>
          </w:tcPr>
          <w:p>
            <w:pPr>
              <w:ind w:left="260"/>
              <w:spacing w:after="0" w:line="230" w:lineRule="exact"/>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(h)</w:t>
            </w: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80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5"/>
                <w:szCs w:val="15"/>
                <w:b w:val="1"/>
                <w:bCs w:val="1"/>
                <w:color w:val="auto"/>
              </w:rPr>
              <w:t>Kevzara (sarilumab)</w:t>
            </w:r>
            <w:r>
              <w:rPr>
                <w:rFonts w:ascii="Arial" w:cs="Arial" w:eastAsia="Arial" w:hAnsi="Arial"/>
                <w:sz w:val="19"/>
                <w:szCs w:val="19"/>
                <w:b w:val="1"/>
                <w:bCs w:val="1"/>
                <w:color w:val="auto"/>
                <w:vertAlign w:val="superscript"/>
              </w:rPr>
              <w:t>(a)</w:t>
            </w:r>
          </w:p>
        </w:tc>
        <w:tc>
          <w:tcPr>
            <w:tcW w:w="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–Polyarticular-</w:t>
            </w: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Antibody to IL-6R</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course juvenile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idiopathic arthritis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("pcJIA")</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w w:val="99"/>
              </w:rPr>
              <w:t>–Systemic juvenile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idiopathic arthritis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("sJIA")</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Itepekimab</w:t>
            </w:r>
            <w:r>
              <w:rPr>
                <w:rFonts w:ascii="Arial" w:cs="Arial" w:eastAsia="Arial" w:hAnsi="Arial"/>
                <w:sz w:val="20"/>
                <w:szCs w:val="20"/>
                <w:b w:val="1"/>
                <w:bCs w:val="1"/>
                <w:color w:val="auto"/>
                <w:vertAlign w:val="superscript"/>
              </w:rPr>
              <w:t>(a)</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–COPD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(REGN3500)</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IL-33</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REGN1908-1909</w:t>
            </w:r>
            <w:r>
              <w:rPr>
                <w:rFonts w:ascii="Arial" w:cs="Arial" w:eastAsia="Arial" w:hAnsi="Arial"/>
                <w:sz w:val="20"/>
                <w:szCs w:val="20"/>
                <w:b w:val="1"/>
                <w:bCs w:val="1"/>
                <w:color w:val="auto"/>
                <w:vertAlign w:val="superscript"/>
              </w:rPr>
              <w:t>(f)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–Cat allergy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–Reported that Phase 2</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Multi-antibody therapy</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study in cat allergic</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to Fel d 1</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patients with mild</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asthma met its primary</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key secondary</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endpoints</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8"/>
              </w:rPr>
              <w:t>REGN5713-5714-5715</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–Birch allergy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–Initial Phase 3 study in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Multi-antibody therapy</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birch allergic patients</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to Bet v 1</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with allergic</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rhinoconjunctivitis met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its primary endpoint</w:t>
            </w: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REGN6490</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–Palmo-plantar</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IL-36R</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pustulosis</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60" w:type="dxa"/>
            <w:vAlign w:val="bottom"/>
            <w:gridSpan w:val="4"/>
            <w:shd w:val="clear" w:color="auto" w:fill="ACACAC"/>
          </w:tcPr>
          <w:p>
            <w:pPr>
              <w:ind w:left="120"/>
              <w:spacing w:after="0"/>
              <w:rPr>
                <w:sz w:val="20"/>
                <w:szCs w:val="20"/>
                <w:color w:val="auto"/>
              </w:rPr>
            </w:pPr>
            <w:r>
              <w:rPr>
                <w:rFonts w:ascii="Arial" w:cs="Arial" w:eastAsia="Arial" w:hAnsi="Arial"/>
                <w:sz w:val="18"/>
                <w:szCs w:val="18"/>
                <w:b w:val="1"/>
                <w:bCs w:val="1"/>
                <w:color w:val="auto"/>
              </w:rPr>
              <w:t>Solid Organ Oncology</w:t>
            </w:r>
          </w:p>
        </w:tc>
        <w:tc>
          <w:tcPr>
            <w:tcW w:w="184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Libtayo (cemiplimab)</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–Metastatic or</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–First-line NSCLC,</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–Second-line</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–Approved by FDA and</w:t>
            </w:r>
          </w:p>
        </w:tc>
        <w:tc>
          <w:tcPr>
            <w:tcW w:w="1800" w:type="dxa"/>
            <w:vAlign w:val="bottom"/>
          </w:tcPr>
          <w:p>
            <w:pPr>
              <w:spacing w:after="0"/>
              <w:rPr>
                <w:sz w:val="20"/>
                <w:szCs w:val="20"/>
                <w:color w:val="auto"/>
              </w:rPr>
            </w:pPr>
            <w:r>
              <w:rPr>
                <w:rFonts w:ascii="Arial" w:cs="Arial" w:eastAsia="Arial" w:hAnsi="Arial"/>
                <w:sz w:val="18"/>
                <w:szCs w:val="18"/>
                <w:color w:val="auto"/>
              </w:rPr>
              <w:t>–FDA decision on</w:t>
            </w: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(a)(g)</w:t>
            </w: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locally advanced</w:t>
            </w:r>
          </w:p>
        </w:tc>
        <w:tc>
          <w:tcPr>
            <w:tcW w:w="156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chemotherapy</w:t>
            </w:r>
          </w:p>
        </w:tc>
        <w:tc>
          <w:tcPr>
            <w:tcW w:w="13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cervical cancer</w:t>
            </w: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EC for first-line</w:t>
            </w:r>
          </w:p>
        </w:tc>
        <w:tc>
          <w:tcPr>
            <w:tcW w:w="1800" w:type="dxa"/>
            <w:vAlign w:val="bottom"/>
            <w:vMerge w:val="restart"/>
          </w:tcPr>
          <w:p>
            <w:pPr>
              <w:spacing w:after="0" w:line="176" w:lineRule="exact"/>
              <w:rPr>
                <w:sz w:val="20"/>
                <w:szCs w:val="20"/>
                <w:color w:val="auto"/>
              </w:rPr>
            </w:pPr>
            <w:r>
              <w:rPr>
                <w:rFonts w:ascii="Arial" w:cs="Arial" w:eastAsia="Arial" w:hAnsi="Arial"/>
                <w:sz w:val="18"/>
                <w:szCs w:val="18"/>
                <w:color w:val="auto"/>
                <w:w w:val="92"/>
              </w:rPr>
              <w:t>sBLA (target action date</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PD-1</w:t>
            </w: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CSCC</w:t>
            </w:r>
            <w:r>
              <w:rPr>
                <w:rFonts w:ascii="Arial" w:cs="Arial" w:eastAsia="Arial" w:hAnsi="Arial"/>
                <w:sz w:val="20"/>
                <w:szCs w:val="20"/>
                <w:color w:val="auto"/>
                <w:vertAlign w:val="superscript"/>
              </w:rPr>
              <w:t>(d)</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combination</w:t>
            </w:r>
          </w:p>
        </w:tc>
        <w:tc>
          <w:tcPr>
            <w:tcW w:w="1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(EU)</w:t>
            </w: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NSCLC, monotherapy</w:t>
            </w:r>
          </w:p>
        </w:tc>
        <w:tc>
          <w:tcPr>
            <w:tcW w:w="1800" w:type="dxa"/>
            <w:vAlign w:val="bottom"/>
          </w:tcPr>
          <w:p>
            <w:pPr>
              <w:spacing w:after="0" w:line="176" w:lineRule="exact"/>
              <w:rPr>
                <w:sz w:val="20"/>
                <w:szCs w:val="20"/>
                <w:color w:val="auto"/>
              </w:rPr>
            </w:pPr>
            <w:r>
              <w:rPr>
                <w:rFonts w:ascii="Arial" w:cs="Arial" w:eastAsia="Arial" w:hAnsi="Arial"/>
                <w:sz w:val="18"/>
                <w:szCs w:val="18"/>
                <w:color w:val="auto"/>
                <w:w w:val="94"/>
              </w:rPr>
              <w:t>of September 19, 2022)</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rPr>
              <w:t>–Approved by FDA and</w:t>
            </w: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and EC decision on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color w:val="auto"/>
              </w:rPr>
              <w:t>–Neoadjuvant</w:t>
            </w: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–Second-line</w:t>
            </w: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–First-line</w:t>
            </w:r>
          </w:p>
        </w:tc>
        <w:tc>
          <w:tcPr>
            <w:tcW w:w="1940" w:type="dxa"/>
            <w:vAlign w:val="bottom"/>
            <w:gridSpan w:val="2"/>
            <w:vMerge w:val="continue"/>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regulatory submission</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rPr>
              <w:t>EC for BCC</w:t>
            </w:r>
          </w:p>
        </w:tc>
        <w:tc>
          <w:tcPr>
            <w:tcW w:w="1800" w:type="dxa"/>
            <w:vAlign w:val="bottom"/>
            <w:vMerge w:val="restart"/>
          </w:tcPr>
          <w:p>
            <w:pPr>
              <w:spacing w:after="0"/>
              <w:rPr>
                <w:sz w:val="20"/>
                <w:szCs w:val="20"/>
                <w:color w:val="auto"/>
              </w:rPr>
            </w:pPr>
            <w:r>
              <w:rPr>
                <w:rFonts w:ascii="Arial" w:cs="Arial" w:eastAsia="Arial" w:hAnsi="Arial"/>
                <w:sz w:val="18"/>
                <w:szCs w:val="18"/>
                <w:color w:val="auto"/>
              </w:rPr>
              <w:t>for NSCLC,</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CSCC</w:t>
            </w:r>
          </w:p>
        </w:tc>
        <w:tc>
          <w:tcPr>
            <w:tcW w:w="156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cervical cancer</w:t>
            </w:r>
            <w:r>
              <w:rPr>
                <w:rFonts w:ascii="Arial" w:cs="Arial" w:eastAsia="Arial" w:hAnsi="Arial"/>
                <w:sz w:val="20"/>
                <w:szCs w:val="20"/>
                <w:color w:val="auto"/>
                <w:vertAlign w:val="superscript"/>
              </w:rPr>
              <w:t>(e)</w:t>
            </w:r>
          </w:p>
        </w:tc>
        <w:tc>
          <w:tcPr>
            <w:tcW w:w="1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NSCLC,</w:t>
            </w:r>
          </w:p>
        </w:tc>
        <w:tc>
          <w:tcPr>
            <w:tcW w:w="1940" w:type="dxa"/>
            <w:vAlign w:val="bottom"/>
            <w:gridSpan w:val="2"/>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chemotherapy</w:t>
            </w: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line="108" w:lineRule="exact"/>
              <w:rPr>
                <w:sz w:val="20"/>
                <w:szCs w:val="20"/>
                <w:color w:val="auto"/>
              </w:rPr>
            </w:pPr>
            <w:r>
              <w:rPr>
                <w:rFonts w:ascii="Arial" w:cs="Arial" w:eastAsia="Arial" w:hAnsi="Arial"/>
                <w:sz w:val="12"/>
                <w:szCs w:val="12"/>
                <w:color w:val="auto"/>
              </w:rPr>
              <w:t>chemotherapy</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–Reported Phase 3</w:t>
            </w:r>
          </w:p>
        </w:tc>
        <w:tc>
          <w:tcPr>
            <w:tcW w:w="1800" w:type="dxa"/>
            <w:vAlign w:val="bottom"/>
            <w:vMerge w:val="restart"/>
          </w:tcPr>
          <w:p>
            <w:pPr>
              <w:spacing w:after="0" w:line="176" w:lineRule="exact"/>
              <w:rPr>
                <w:sz w:val="20"/>
                <w:szCs w:val="20"/>
                <w:color w:val="auto"/>
              </w:rPr>
            </w:pPr>
            <w:r>
              <w:rPr>
                <w:rFonts w:ascii="Arial" w:cs="Arial" w:eastAsia="Arial" w:hAnsi="Arial"/>
                <w:sz w:val="18"/>
                <w:szCs w:val="18"/>
                <w:color w:val="auto"/>
              </w:rPr>
              <w:t>combination (second</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color w:val="auto"/>
              </w:rPr>
              <w:t>–Second-line</w:t>
            </w: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–Adjuvant CSCC</w:t>
            </w:r>
          </w:p>
        </w:tc>
        <w:tc>
          <w:tcPr>
            <w:tcW w:w="13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combination</w:t>
            </w:r>
          </w:p>
        </w:tc>
        <w:tc>
          <w:tcPr>
            <w:tcW w:w="1940" w:type="dxa"/>
            <w:vAlign w:val="bottom"/>
            <w:gridSpan w:val="2"/>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chemotherapy</w:t>
            </w:r>
          </w:p>
        </w:tc>
        <w:tc>
          <w:tcPr>
            <w:tcW w:w="1800" w:type="dxa"/>
            <w:vAlign w:val="bottom"/>
            <w:vMerge w:val="restart"/>
          </w:tcPr>
          <w:p>
            <w:pPr>
              <w:spacing w:after="0" w:line="176" w:lineRule="exact"/>
              <w:rPr>
                <w:sz w:val="20"/>
                <w:szCs w:val="20"/>
                <w:color w:val="auto"/>
              </w:rPr>
            </w:pPr>
            <w:r>
              <w:rPr>
                <w:rFonts w:ascii="Arial" w:cs="Arial" w:eastAsia="Arial" w:hAnsi="Arial"/>
                <w:sz w:val="18"/>
                <w:szCs w:val="18"/>
                <w:color w:val="auto"/>
              </w:rPr>
              <w:t>half 2022)</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(U.S. and EU)</w:t>
            </w:r>
          </w:p>
        </w:tc>
        <w:tc>
          <w:tcPr>
            <w:tcW w:w="1940" w:type="dxa"/>
            <w:vAlign w:val="bottom"/>
            <w:gridSpan w:val="2"/>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cervical cancer,</w:t>
            </w: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combination trial in</w:t>
            </w: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40" w:type="dxa"/>
            <w:vAlign w:val="bottom"/>
            <w:gridSpan w:val="2"/>
            <w:vMerge w:val="continue"/>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ISA101b</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NSCLC met its overall</w:t>
            </w:r>
          </w:p>
        </w:tc>
        <w:tc>
          <w:tcPr>
            <w:tcW w:w="1800" w:type="dxa"/>
            <w:vAlign w:val="bottom"/>
            <w:vMerge w:val="restart"/>
          </w:tcPr>
          <w:p>
            <w:pPr>
              <w:spacing w:after="0"/>
              <w:rPr>
                <w:sz w:val="20"/>
                <w:szCs w:val="20"/>
                <w:color w:val="auto"/>
              </w:rPr>
            </w:pPr>
            <w:r>
              <w:rPr>
                <w:rFonts w:ascii="Arial" w:cs="Arial" w:eastAsia="Arial" w:hAnsi="Arial"/>
                <w:sz w:val="18"/>
                <w:szCs w:val="18"/>
                <w:color w:val="auto"/>
              </w:rPr>
              <w:t>–EC decision on</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combination</w:t>
            </w: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rPr>
              <w:t>survival primary</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800" w:type="dxa"/>
            <w:vAlign w:val="bottom"/>
          </w:tcPr>
          <w:p>
            <w:pPr>
              <w:spacing w:after="0" w:line="123" w:lineRule="exact"/>
              <w:rPr>
                <w:sz w:val="20"/>
                <w:szCs w:val="20"/>
                <w:color w:val="auto"/>
              </w:rPr>
            </w:pPr>
            <w:r>
              <w:rPr>
                <w:rFonts w:ascii="Arial" w:cs="Arial" w:eastAsia="Arial" w:hAnsi="Arial"/>
                <w:sz w:val="13"/>
                <w:szCs w:val="13"/>
                <w:color w:val="auto"/>
              </w:rPr>
              <w:t>regulatory submission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-1371600</wp:posOffset>
            </wp:positionV>
            <wp:extent cx="7132320" cy="2040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tbl>
      <w:tblPr>
        <w:tblLayout w:type="fixed"/>
        <w:tblInd w:w="7520" w:type="dxa"/>
        <w:tblCellMar>
          <w:top w:w="0" w:type="dxa"/>
          <w:left w:w="0" w:type="dxa"/>
          <w:bottom w:w="0" w:type="dxa"/>
          <w:right w:w="0" w:type="dxa"/>
        </w:tblCellMar>
      </w:tblPr>
      <w:tr>
        <w:trPr>
          <w:trHeight w:val="160"/>
        </w:trPr>
        <w:tc>
          <w:tcPr>
            <w:tcW w:w="1800" w:type="dxa"/>
            <w:vAlign w:val="bottom"/>
          </w:tcPr>
          <w:p>
            <w:pPr>
              <w:spacing w:after="0" w:line="160" w:lineRule="exact"/>
              <w:rPr>
                <w:sz w:val="20"/>
                <w:szCs w:val="20"/>
                <w:color w:val="auto"/>
              </w:rPr>
            </w:pPr>
            <w:r>
              <w:rPr>
                <w:rFonts w:ascii="Arial" w:cs="Arial" w:eastAsia="Arial" w:hAnsi="Arial"/>
                <w:sz w:val="18"/>
                <w:szCs w:val="18"/>
                <w:color w:val="auto"/>
              </w:rPr>
              <w:t>endpoint; trial stopped</w:t>
            </w:r>
          </w:p>
        </w:tc>
        <w:tc>
          <w:tcPr>
            <w:tcW w:w="1480" w:type="dxa"/>
            <w:vAlign w:val="bottom"/>
            <w:vMerge w:val="restart"/>
          </w:tcPr>
          <w:p>
            <w:pPr>
              <w:ind w:left="120"/>
              <w:spacing w:after="0"/>
              <w:rPr>
                <w:sz w:val="20"/>
                <w:szCs w:val="20"/>
                <w:color w:val="auto"/>
              </w:rPr>
            </w:pPr>
            <w:r>
              <w:rPr>
                <w:rFonts w:ascii="Arial" w:cs="Arial" w:eastAsia="Arial" w:hAnsi="Arial"/>
                <w:sz w:val="18"/>
                <w:szCs w:val="18"/>
                <w:color w:val="auto"/>
                <w:w w:val="91"/>
              </w:rPr>
              <w:t>for cervical cancer</w:t>
            </w:r>
          </w:p>
        </w:tc>
        <w:tc>
          <w:tcPr>
            <w:tcW w:w="0" w:type="dxa"/>
            <w:vAlign w:val="bottom"/>
          </w:tcPr>
          <w:p>
            <w:pPr>
              <w:spacing w:after="0"/>
              <w:rPr>
                <w:sz w:val="1"/>
                <w:szCs w:val="1"/>
                <w:color w:val="auto"/>
              </w:rPr>
            </w:pPr>
          </w:p>
        </w:tc>
      </w:tr>
      <w:tr>
        <w:trPr>
          <w:trHeight w:val="68"/>
        </w:trPr>
        <w:tc>
          <w:tcPr>
            <w:tcW w:w="1800" w:type="dxa"/>
            <w:vAlign w:val="bottom"/>
            <w:vMerge w:val="restart"/>
          </w:tcPr>
          <w:p>
            <w:pPr>
              <w:spacing w:after="0" w:line="176" w:lineRule="exact"/>
              <w:rPr>
                <w:sz w:val="20"/>
                <w:szCs w:val="20"/>
                <w:color w:val="auto"/>
              </w:rPr>
            </w:pPr>
            <w:r>
              <w:rPr>
                <w:rFonts w:ascii="Arial" w:cs="Arial" w:eastAsia="Arial" w:hAnsi="Arial"/>
                <w:sz w:val="18"/>
                <w:szCs w:val="18"/>
                <w:color w:val="auto"/>
              </w:rPr>
              <w:t>early based on</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1480" w:type="dxa"/>
            <w:vAlign w:val="bottom"/>
            <w:vMerge w:val="restart"/>
          </w:tcPr>
          <w:p>
            <w:pPr>
              <w:ind w:left="120"/>
              <w:spacing w:after="0"/>
              <w:rPr>
                <w:sz w:val="20"/>
                <w:szCs w:val="20"/>
                <w:color w:val="auto"/>
              </w:rPr>
            </w:pPr>
            <w:r>
              <w:rPr>
                <w:rFonts w:ascii="Arial" w:cs="Arial" w:eastAsia="Arial" w:hAnsi="Arial"/>
                <w:sz w:val="18"/>
                <w:szCs w:val="18"/>
                <w:color w:val="auto"/>
                <w:w w:val="89"/>
              </w:rPr>
              <w:t>(second half 2022)</w:t>
            </w:r>
          </w:p>
        </w:tc>
        <w:tc>
          <w:tcPr>
            <w:tcW w:w="0" w:type="dxa"/>
            <w:vAlign w:val="bottom"/>
          </w:tcPr>
          <w:p>
            <w:pPr>
              <w:spacing w:after="0"/>
              <w:rPr>
                <w:sz w:val="1"/>
                <w:szCs w:val="1"/>
                <w:color w:val="auto"/>
              </w:rPr>
            </w:pPr>
          </w:p>
        </w:tc>
      </w:tr>
      <w:tr>
        <w:trPr>
          <w:trHeight w:val="122"/>
        </w:trPr>
        <w:tc>
          <w:tcPr>
            <w:tcW w:w="1800" w:type="dxa"/>
            <w:vAlign w:val="bottom"/>
            <w:vMerge w:val="restart"/>
          </w:tcPr>
          <w:p>
            <w:pPr>
              <w:spacing w:after="0" w:line="176" w:lineRule="exact"/>
              <w:rPr>
                <w:sz w:val="20"/>
                <w:szCs w:val="20"/>
                <w:color w:val="auto"/>
              </w:rPr>
            </w:pPr>
            <w:r>
              <w:rPr>
                <w:rFonts w:ascii="Arial" w:cs="Arial" w:eastAsia="Arial" w:hAnsi="Arial"/>
                <w:sz w:val="18"/>
                <w:szCs w:val="18"/>
                <w:color w:val="auto"/>
              </w:rPr>
              <w:t>Independent Data</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80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line="176" w:lineRule="exact"/>
              <w:rPr>
                <w:sz w:val="20"/>
                <w:szCs w:val="20"/>
                <w:color w:val="auto"/>
              </w:rPr>
            </w:pPr>
            <w:r>
              <w:rPr>
                <w:rFonts w:ascii="Arial" w:cs="Arial" w:eastAsia="Arial" w:hAnsi="Arial"/>
                <w:sz w:val="18"/>
                <w:szCs w:val="18"/>
                <w:color w:val="auto"/>
              </w:rPr>
              <w:t>Monitoring Committee</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line="176" w:lineRule="exact"/>
              <w:rPr>
                <w:sz w:val="20"/>
                <w:szCs w:val="20"/>
                <w:color w:val="auto"/>
              </w:rPr>
            </w:pPr>
            <w:r>
              <w:rPr>
                <w:rFonts w:ascii="Arial" w:cs="Arial" w:eastAsia="Arial" w:hAnsi="Arial"/>
                <w:sz w:val="18"/>
                <w:szCs w:val="18"/>
                <w:color w:val="auto"/>
              </w:rPr>
              <w:t>("IDMC")</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recommendation</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60"/>
          </w:cols>
          <w:pgMar w:left="320" w:top="37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860" w:type="dxa"/>
            <w:vAlign w:val="bottom"/>
          </w:tcPr>
          <w:p>
            <w:pPr>
              <w:ind w:left="360"/>
              <w:spacing w:after="0"/>
              <w:rPr>
                <w:sz w:val="20"/>
                <w:szCs w:val="20"/>
                <w:color w:val="auto"/>
              </w:rPr>
            </w:pPr>
            <w:r>
              <w:rPr>
                <w:rFonts w:ascii="Arial" w:cs="Arial" w:eastAsia="Arial" w:hAnsi="Arial"/>
                <w:sz w:val="18"/>
                <w:szCs w:val="18"/>
                <w:b w:val="1"/>
                <w:bCs w:val="1"/>
                <w:color w:val="auto"/>
              </w:rPr>
              <w:t>2021 and 2022</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8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28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860" w:type="dxa"/>
            <w:vAlign w:val="bottom"/>
          </w:tcPr>
          <w:p>
            <w:pPr>
              <w:ind w:left="380"/>
              <w:spacing w:after="0"/>
              <w:rPr>
                <w:sz w:val="20"/>
                <w:szCs w:val="20"/>
                <w:color w:val="auto"/>
              </w:rPr>
            </w:pPr>
            <w:r>
              <w:rPr>
                <w:rFonts w:ascii="Arial" w:cs="Arial" w:eastAsia="Arial" w:hAnsi="Arial"/>
                <w:sz w:val="18"/>
                <w:szCs w:val="18"/>
                <w:b w:val="1"/>
                <w:bCs w:val="1"/>
                <w:color w:val="auto"/>
              </w:rPr>
              <w:t>Events to Date</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6"/>
              </w:rPr>
              <w:t>Libtayo (cemiplimab)</w:t>
            </w: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–Reported positive</w:t>
            </w:r>
          </w:p>
        </w:tc>
        <w:tc>
          <w:tcPr>
            <w:tcW w:w="0" w:type="dxa"/>
            <w:vAlign w:val="bottom"/>
          </w:tcPr>
          <w:p>
            <w:pPr>
              <w:spacing w:after="0"/>
              <w:rPr>
                <w:sz w:val="1"/>
                <w:szCs w:val="1"/>
                <w:color w:val="auto"/>
              </w:rPr>
            </w:pPr>
          </w:p>
        </w:tc>
      </w:tr>
      <w:tr>
        <w:trPr>
          <w:trHeight w:val="107"/>
        </w:trPr>
        <w:tc>
          <w:tcPr>
            <w:tcW w:w="188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(a)(g)</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vMerge w:val="restart"/>
          </w:tcPr>
          <w:p>
            <w:pPr>
              <w:ind w:left="20"/>
              <w:spacing w:after="0" w:line="176" w:lineRule="exact"/>
              <w:rPr>
                <w:sz w:val="20"/>
                <w:szCs w:val="20"/>
                <w:color w:val="auto"/>
              </w:rPr>
            </w:pPr>
            <w:r>
              <w:rPr>
                <w:rFonts w:ascii="Arial" w:cs="Arial" w:eastAsia="Arial" w:hAnsi="Arial"/>
                <w:sz w:val="18"/>
                <w:szCs w:val="18"/>
                <w:color w:val="auto"/>
                <w:w w:val="91"/>
              </w:rPr>
              <w:t>results from Phase 3 trial</w:t>
            </w:r>
          </w:p>
        </w:tc>
        <w:tc>
          <w:tcPr>
            <w:tcW w:w="0" w:type="dxa"/>
            <w:vAlign w:val="bottom"/>
          </w:tcPr>
          <w:p>
            <w:pPr>
              <w:spacing w:after="0"/>
              <w:rPr>
                <w:sz w:val="1"/>
                <w:szCs w:val="1"/>
                <w:color w:val="auto"/>
              </w:rPr>
            </w:pPr>
          </w:p>
        </w:tc>
      </w:tr>
      <w:tr>
        <w:trPr>
          <w:trHeight w:val="68"/>
        </w:trPr>
        <w:tc>
          <w:tcPr>
            <w:tcW w:w="18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(continued)</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8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in cervical cancer,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2"/>
              </w:rPr>
              <w:t>demonstrating an overall</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survival benefit; trial</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7"/>
              </w:rPr>
              <w:t>stopped early based on</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w w:val="98"/>
              </w:rPr>
              <w:t>IDMC recommendation</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–Voluntarily withdrew</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3"/>
              </w:rPr>
              <w:t>sBLA for cervical cancer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due to inability to align</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with FDA on certain</w:t>
            </w:r>
          </w:p>
        </w:tc>
        <w:tc>
          <w:tcPr>
            <w:tcW w:w="0" w:type="dxa"/>
            <w:vAlign w:val="bottom"/>
          </w:tcPr>
          <w:p>
            <w:pPr>
              <w:spacing w:after="0"/>
              <w:rPr>
                <w:sz w:val="1"/>
                <w:szCs w:val="1"/>
                <w:color w:val="auto"/>
              </w:rPr>
            </w:pPr>
          </w:p>
        </w:tc>
      </w:tr>
      <w:tr>
        <w:trPr>
          <w:trHeight w:val="230"/>
        </w:trPr>
        <w:tc>
          <w:tcPr>
            <w:tcW w:w="1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REGN4018</w:t>
            </w:r>
            <w:r>
              <w:rPr>
                <w:rFonts w:ascii="Arial" w:cs="Arial" w:eastAsia="Arial" w:hAnsi="Arial"/>
                <w:sz w:val="23"/>
                <w:szCs w:val="23"/>
                <w:b w:val="1"/>
                <w:bCs w:val="1"/>
                <w:color w:val="auto"/>
                <w:vertAlign w:val="superscript"/>
              </w:rPr>
              <w:t>(f)</w:t>
            </w: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auto"/>
              </w:rPr>
              <w:t>–Platinum-</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post-marketing studies</w:t>
            </w:r>
          </w:p>
        </w:tc>
        <w:tc>
          <w:tcPr>
            <w:tcW w:w="0" w:type="dxa"/>
            <w:vAlign w:val="bottom"/>
          </w:tcPr>
          <w:p>
            <w:pPr>
              <w:spacing w:after="0"/>
              <w:rPr>
                <w:sz w:val="1"/>
                <w:szCs w:val="1"/>
                <w:color w:val="auto"/>
              </w:rPr>
            </w:pPr>
          </w:p>
        </w:tc>
      </w:tr>
      <w:tr>
        <w:trPr>
          <w:trHeight w:val="175"/>
        </w:trPr>
        <w:tc>
          <w:tcPr>
            <w:tcW w:w="188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resistant</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MUC16 and</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ovarian 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CD3</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REGN5668</w:t>
            </w:r>
          </w:p>
        </w:tc>
        <w:tc>
          <w:tcPr>
            <w:tcW w:w="1280" w:type="dxa"/>
            <w:vAlign w:val="bottom"/>
            <w:gridSpan w:val="2"/>
          </w:tcPr>
          <w:p>
            <w:pPr>
              <w:spacing w:after="0" w:line="181" w:lineRule="exact"/>
              <w:rPr>
                <w:sz w:val="20"/>
                <w:szCs w:val="20"/>
                <w:color w:val="auto"/>
              </w:rPr>
            </w:pPr>
            <w:r>
              <w:rPr>
                <w:rFonts w:ascii="Arial" w:cs="Arial" w:eastAsia="Arial" w:hAnsi="Arial"/>
                <w:sz w:val="18"/>
                <w:szCs w:val="18"/>
                <w:color w:val="auto"/>
              </w:rPr>
              <w:t>–Ovarian</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MUC16 and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CD28</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REGN5678</w:t>
            </w:r>
          </w:p>
        </w:tc>
        <w:tc>
          <w:tcPr>
            <w:tcW w:w="1280" w:type="dxa"/>
            <w:vAlign w:val="bottom"/>
            <w:gridSpan w:val="2"/>
          </w:tcPr>
          <w:p>
            <w:pPr>
              <w:spacing w:after="0" w:line="181" w:lineRule="exact"/>
              <w:rPr>
                <w:sz w:val="20"/>
                <w:szCs w:val="20"/>
                <w:color w:val="auto"/>
              </w:rPr>
            </w:pPr>
            <w:r>
              <w:rPr>
                <w:rFonts w:ascii="Arial" w:cs="Arial" w:eastAsia="Arial" w:hAnsi="Arial"/>
                <w:sz w:val="18"/>
                <w:szCs w:val="18"/>
                <w:color w:val="auto"/>
              </w:rPr>
              <w:t>–Prostate</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PSMA and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CD28</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REGN4336</w:t>
            </w:r>
          </w:p>
        </w:tc>
        <w:tc>
          <w:tcPr>
            <w:tcW w:w="1280" w:type="dxa"/>
            <w:vAlign w:val="bottom"/>
            <w:gridSpan w:val="2"/>
          </w:tcPr>
          <w:p>
            <w:pPr>
              <w:spacing w:after="0" w:line="181" w:lineRule="exact"/>
              <w:rPr>
                <w:sz w:val="20"/>
                <w:szCs w:val="20"/>
                <w:color w:val="auto"/>
              </w:rPr>
            </w:pPr>
            <w:r>
              <w:rPr>
                <w:rFonts w:ascii="Arial" w:cs="Arial" w:eastAsia="Arial" w:hAnsi="Arial"/>
                <w:sz w:val="18"/>
                <w:szCs w:val="18"/>
                <w:color w:val="auto"/>
              </w:rPr>
              <w:t>–Prostate</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PSMA and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CD3</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REGN5093</w:t>
            </w:r>
          </w:p>
        </w:tc>
        <w:tc>
          <w:tcPr>
            <w:tcW w:w="1280" w:type="dxa"/>
            <w:vAlign w:val="bottom"/>
            <w:gridSpan w:val="2"/>
          </w:tcPr>
          <w:p>
            <w:pPr>
              <w:spacing w:after="0" w:line="181" w:lineRule="exact"/>
              <w:rPr>
                <w:sz w:val="20"/>
                <w:szCs w:val="20"/>
                <w:color w:val="auto"/>
              </w:rPr>
            </w:pPr>
            <w:r>
              <w:rPr>
                <w:rFonts w:ascii="Arial" w:cs="Arial" w:eastAsia="Arial" w:hAnsi="Arial"/>
                <w:sz w:val="18"/>
                <w:szCs w:val="18"/>
                <w:color w:val="auto"/>
              </w:rPr>
              <w:t>–MET-altered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two distinct</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NSCLC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MET epitopes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REGN5093-M114</w:t>
            </w:r>
          </w:p>
        </w:tc>
        <w:tc>
          <w:tcPr>
            <w:tcW w:w="1280" w:type="dxa"/>
            <w:vAlign w:val="bottom"/>
            <w:gridSpan w:val="2"/>
          </w:tcPr>
          <w:p>
            <w:pPr>
              <w:spacing w:after="0" w:line="181" w:lineRule="exact"/>
              <w:rPr>
                <w:sz w:val="20"/>
                <w:szCs w:val="20"/>
                <w:color w:val="auto"/>
              </w:rPr>
            </w:pPr>
            <w:r>
              <w:rPr>
                <w:rFonts w:ascii="Arial" w:cs="Arial" w:eastAsia="Arial" w:hAnsi="Arial"/>
                <w:sz w:val="18"/>
                <w:szCs w:val="18"/>
                <w:color w:val="auto"/>
              </w:rPr>
              <w:t>–MET</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overexpressing</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drug conjugate</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two distinct</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MET epitopes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Fianlimab</w:t>
            </w:r>
            <w:r>
              <w:rPr>
                <w:rFonts w:ascii="Arial" w:cs="Arial" w:eastAsia="Arial" w:hAnsi="Arial"/>
                <w:sz w:val="20"/>
                <w:szCs w:val="20"/>
                <w:b w:val="1"/>
                <w:bCs w:val="1"/>
                <w:color w:val="auto"/>
                <w:vertAlign w:val="superscript"/>
              </w:rPr>
              <w:t>(f)</w:t>
            </w:r>
          </w:p>
        </w:tc>
        <w:tc>
          <w:tcPr>
            <w:tcW w:w="1280" w:type="dxa"/>
            <w:vAlign w:val="bottom"/>
            <w:gridSpan w:val="2"/>
          </w:tcPr>
          <w:p>
            <w:pPr>
              <w:spacing w:after="0" w:line="181" w:lineRule="exact"/>
              <w:rPr>
                <w:sz w:val="20"/>
                <w:szCs w:val="20"/>
                <w:color w:val="auto"/>
              </w:rPr>
            </w:pPr>
            <w:r>
              <w:rPr>
                <w:rFonts w:ascii="Arial" w:cs="Arial" w:eastAsia="Arial" w:hAnsi="Arial"/>
                <w:sz w:val="18"/>
                <w:szCs w:val="18"/>
                <w:color w:val="auto"/>
              </w:rPr>
              <w:t>–Solid tumors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81" w:lineRule="exact"/>
              <w:rPr>
                <w:sz w:val="20"/>
                <w:szCs w:val="20"/>
                <w:color w:val="auto"/>
              </w:rPr>
            </w:pPr>
            <w:r>
              <w:rPr>
                <w:rFonts w:ascii="Arial" w:cs="Arial" w:eastAsia="Arial" w:hAnsi="Arial"/>
                <w:sz w:val="18"/>
                <w:szCs w:val="18"/>
                <w:color w:val="auto"/>
                <w:w w:val="91"/>
              </w:rPr>
              <w:t>–Presented positive data</w:t>
            </w: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(REGN3767)</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and 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from Phase 1 trial in</w:t>
            </w: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Antibody to LAG-3</w:t>
            </w: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hematologic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combination with</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auto"/>
              </w:rPr>
              <w:t>malignancies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Libtayo in advanced</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8"/>
              </w:rPr>
              <w:t>melanoma at American</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Society of Clinical</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Oncology Annual</w:t>
            </w:r>
          </w:p>
        </w:tc>
        <w:tc>
          <w:tcPr>
            <w:tcW w:w="0" w:type="dxa"/>
            <w:vAlign w:val="bottom"/>
          </w:tcPr>
          <w:p>
            <w:pPr>
              <w:spacing w:after="0"/>
              <w:rPr>
                <w:sz w:val="1"/>
                <w:szCs w:val="1"/>
                <w:color w:val="auto"/>
              </w:rPr>
            </w:pPr>
          </w:p>
        </w:tc>
      </w:tr>
      <w:tr>
        <w:trPr>
          <w:trHeight w:val="230"/>
        </w:trPr>
        <w:tc>
          <w:tcPr>
            <w:tcW w:w="1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REGN6569</w:t>
            </w: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auto"/>
              </w:rPr>
              <w:t>–Solid tumors</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Meeting</w:t>
            </w:r>
          </w:p>
        </w:tc>
        <w:tc>
          <w:tcPr>
            <w:tcW w:w="0" w:type="dxa"/>
            <w:vAlign w:val="bottom"/>
          </w:tcPr>
          <w:p>
            <w:pPr>
              <w:spacing w:after="0"/>
              <w:rPr>
                <w:sz w:val="1"/>
                <w:szCs w:val="1"/>
                <w:color w:val="auto"/>
              </w:rPr>
            </w:pPr>
          </w:p>
        </w:tc>
      </w:tr>
      <w:tr>
        <w:trPr>
          <w:trHeight w:val="175"/>
        </w:trPr>
        <w:tc>
          <w:tcPr>
            <w:tcW w:w="188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GITR</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9"/>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-3248025</wp:posOffset>
            </wp:positionV>
            <wp:extent cx="7132320"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-2287905</wp:posOffset>
            </wp:positionV>
            <wp:extent cx="7132320" cy="59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91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-6179820</wp:posOffset>
            </wp:positionV>
            <wp:extent cx="7132320" cy="1491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Select Upcoming</w:t>
      </w:r>
    </w:p>
    <w:p>
      <w:pPr>
        <w:jc w:val="center"/>
        <w:ind w:right="-139"/>
        <w:spacing w:after="0"/>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–Report results from Phase 1 study in platinum-resistant ovarian cancer (2022)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–Report results from Phase 1 study in prostate cancer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–Initiate Phase 3 study in first-line metastatic melanoma (first half 2022)</w:t>
      </w:r>
    </w:p>
    <w:p>
      <w:pPr>
        <w:sectPr>
          <w:pgSz w:w="11900" w:h="16838" w:orient="portrait"/>
          <w:cols w:equalWidth="0" w:num="2">
            <w:col w:w="9340" w:space="100"/>
            <w:col w:w="1620"/>
          </w:cols>
          <w:pgMar w:left="320" w:top="373" w:right="51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Phase 1</w:t>
            </w:r>
          </w:p>
        </w:tc>
        <w:tc>
          <w:tcPr>
            <w:tcW w:w="15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gridSpan w:val="2"/>
          </w:tcPr>
          <w:p>
            <w:pPr>
              <w:ind w:left="340"/>
              <w:spacing w:after="0"/>
              <w:rPr>
                <w:sz w:val="20"/>
                <w:szCs w:val="20"/>
                <w:color w:val="auto"/>
              </w:rPr>
            </w:pPr>
            <w:r>
              <w:rPr>
                <w:rFonts w:ascii="Arial" w:cs="Arial" w:eastAsia="Arial" w:hAnsi="Arial"/>
                <w:sz w:val="18"/>
                <w:szCs w:val="18"/>
                <w:b w:val="1"/>
                <w:bCs w:val="1"/>
                <w:color w:val="auto"/>
              </w:rPr>
              <w:t>2021 and 2022</w:t>
            </w:r>
          </w:p>
        </w:tc>
        <w:tc>
          <w:tcPr>
            <w:tcW w:w="1800" w:type="dxa"/>
            <w:vAlign w:val="bottom"/>
          </w:tcPr>
          <w:p>
            <w:pPr>
              <w:ind w:left="26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30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280" w:type="dxa"/>
            <w:vAlign w:val="bottom"/>
            <w:gridSpan w:val="2"/>
          </w:tcPr>
          <w:p>
            <w:pPr>
              <w:jc w:val="center"/>
              <w:ind w:right="60"/>
              <w:spacing w:after="0" w:line="23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80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rPr>
              <w:t>REGN7075</w:t>
            </w:r>
          </w:p>
        </w:tc>
        <w:tc>
          <w:tcPr>
            <w:tcW w:w="80" w:type="dxa"/>
            <w:vAlign w:val="bottom"/>
          </w:tcPr>
          <w:p>
            <w:pPr>
              <w:spacing w:after="0"/>
              <w:rPr>
                <w:sz w:val="14"/>
                <w:szCs w:val="14"/>
                <w:color w:val="auto"/>
              </w:rPr>
            </w:pPr>
          </w:p>
        </w:tc>
        <w:tc>
          <w:tcPr>
            <w:tcW w:w="12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–Solid tumors</w:t>
            </w:r>
          </w:p>
        </w:tc>
        <w:tc>
          <w:tcPr>
            <w:tcW w:w="8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EGFR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CD28</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60" w:type="dxa"/>
            <w:vAlign w:val="bottom"/>
            <w:gridSpan w:val="2"/>
            <w:shd w:val="clear" w:color="auto" w:fill="ACACAC"/>
          </w:tcPr>
          <w:p>
            <w:pPr>
              <w:ind w:left="480"/>
              <w:spacing w:after="0"/>
              <w:rPr>
                <w:sz w:val="20"/>
                <w:szCs w:val="20"/>
                <w:color w:val="auto"/>
              </w:rPr>
            </w:pPr>
            <w:r>
              <w:rPr>
                <w:rFonts w:ascii="Arial" w:cs="Arial" w:eastAsia="Arial" w:hAnsi="Arial"/>
                <w:sz w:val="18"/>
                <w:szCs w:val="18"/>
                <w:b w:val="1"/>
                <w:bCs w:val="1"/>
                <w:color w:val="auto"/>
              </w:rPr>
              <w:t>Hematology</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Odronextamab</w:t>
            </w:r>
          </w:p>
        </w:tc>
        <w:tc>
          <w:tcPr>
            <w:tcW w:w="1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–Certain B-cell</w:t>
            </w:r>
          </w:p>
        </w:tc>
        <w:tc>
          <w:tcPr>
            <w:tcW w:w="1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–B-cell non-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–Resumed enrollment of</w:t>
            </w: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–Report additional</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(REGN1979)</w:t>
            </w:r>
          </w:p>
        </w:tc>
        <w:tc>
          <w:tcPr>
            <w:tcW w:w="1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malignancies</w:t>
            </w:r>
            <w:r>
              <w:rPr>
                <w:rFonts w:ascii="Arial" w:cs="Arial" w:eastAsia="Arial" w:hAnsi="Arial"/>
                <w:sz w:val="20"/>
                <w:szCs w:val="20"/>
                <w:color w:val="auto"/>
                <w:vertAlign w:val="superscript"/>
              </w:rPr>
              <w:t>(c)</w:t>
            </w:r>
          </w:p>
        </w:tc>
        <w:tc>
          <w:tcPr>
            <w:tcW w:w="1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Hodgkin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patients with follicular</w:t>
            </w: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results from potentially</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lymphoma ("B-</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lymphoma ("FL") and</w:t>
            </w: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pivotal Phase 2 study in</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CD20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NHL") (potentially</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diffuse large B-cell</w:t>
            </w: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B-NHL (2022)</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CD3</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pivotal study)</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lymphoma ("DLBCL")</w:t>
            </w:r>
          </w:p>
        </w:tc>
        <w:tc>
          <w:tcPr>
            <w:tcW w:w="1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–Initiate Phase 3</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following protocol</w:t>
            </w:r>
          </w:p>
        </w:tc>
        <w:tc>
          <w:tcPr>
            <w:tcW w:w="1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amendments</w:t>
            </w: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program (second half</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REGN5458</w:t>
            </w:r>
            <w:r>
              <w:rPr>
                <w:rFonts w:ascii="Arial" w:cs="Arial" w:eastAsia="Arial" w:hAnsi="Arial"/>
                <w:sz w:val="20"/>
                <w:szCs w:val="20"/>
                <w:b w:val="1"/>
                <w:bCs w:val="1"/>
                <w:color w:val="auto"/>
                <w:vertAlign w:val="superscript"/>
              </w:rPr>
              <w:t>(f)</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–Multiple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–Presented results for</w:t>
            </w: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–Complete enrollment</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myeloma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higher dose level</w:t>
            </w: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in potentially pivotal</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BCMA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(potentially pivotal</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cohorts from Phase 1</w:t>
            </w: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Phase 2 study in</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CD3</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study)</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trial in multiple</w:t>
            </w:r>
          </w:p>
        </w:tc>
        <w:tc>
          <w:tcPr>
            <w:tcW w:w="1800" w:type="dxa"/>
            <w:vAlign w:val="bottom"/>
          </w:tcPr>
          <w:p>
            <w:pPr>
              <w:spacing w:after="0" w:line="176" w:lineRule="exact"/>
              <w:rPr>
                <w:sz w:val="20"/>
                <w:szCs w:val="20"/>
                <w:color w:val="auto"/>
              </w:rPr>
            </w:pPr>
            <w:r>
              <w:rPr>
                <w:rFonts w:ascii="Arial" w:cs="Arial" w:eastAsia="Arial" w:hAnsi="Arial"/>
                <w:sz w:val="18"/>
                <w:szCs w:val="18"/>
                <w:color w:val="auto"/>
                <w:w w:val="98"/>
              </w:rPr>
              <w:t>multiple myeloma (first</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myeloma at American</w:t>
            </w: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quarter 2022)</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Society of Hematology</w:t>
            </w:r>
          </w:p>
        </w:tc>
        <w:tc>
          <w:tcPr>
            <w:tcW w:w="1800" w:type="dxa"/>
            <w:vAlign w:val="bottom"/>
            <w:vMerge w:val="restart"/>
          </w:tcPr>
          <w:p>
            <w:pPr>
              <w:spacing w:after="0"/>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("ASH") Annual</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Meeting</w:t>
            </w: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potentially pivotal</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Phase 2 study in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(second half 2022)</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–Expand into earlier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lines of multiple</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w w:val="99"/>
              </w:rPr>
              <w:t>myeloma therapy (first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half 2022)</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REGN5459</w:t>
            </w:r>
            <w:r>
              <w:rPr>
                <w:rFonts w:ascii="Arial" w:cs="Arial" w:eastAsia="Arial" w:hAnsi="Arial"/>
                <w:sz w:val="20"/>
                <w:szCs w:val="20"/>
                <w:b w:val="1"/>
                <w:bCs w:val="1"/>
                <w:color w:val="auto"/>
                <w:vertAlign w:val="superscript"/>
              </w:rPr>
              <w:t>(f)</w:t>
            </w:r>
          </w:p>
        </w:tc>
        <w:tc>
          <w:tcPr>
            <w:tcW w:w="1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–Multiple</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myeloma</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BCMA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Pozelimab</w:t>
            </w:r>
            <w:r>
              <w:rPr>
                <w:rFonts w:ascii="Arial" w:cs="Arial" w:eastAsia="Arial" w:hAnsi="Arial"/>
                <w:sz w:val="20"/>
                <w:szCs w:val="20"/>
                <w:b w:val="1"/>
                <w:bCs w:val="1"/>
                <w:color w:val="auto"/>
                <w:vertAlign w:val="superscript"/>
              </w:rPr>
              <w:t>(f)</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–CD55-deficient</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–Myasthenia</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–Submit BLA for</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(REGN3918)</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protein-losing</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gravis, cemdisiran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w w:val="96"/>
              </w:rPr>
              <w:t>CD55-deficient protein-</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w w:val="97"/>
              </w:rPr>
              <w:t>Antibody to C5; studied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enteropathy</w:t>
            </w:r>
            <w:r>
              <w:rPr>
                <w:rFonts w:ascii="Arial" w:cs="Arial" w:eastAsia="Arial" w:hAnsi="Arial"/>
                <w:sz w:val="20"/>
                <w:szCs w:val="20"/>
                <w:color w:val="auto"/>
                <w:vertAlign w:val="superscript"/>
              </w:rPr>
              <w:t>(c)</w:t>
            </w:r>
            <w:r>
              <w:rPr>
                <w:rFonts w:ascii="Arial" w:cs="Arial" w:eastAsia="Arial" w:hAnsi="Arial"/>
                <w:sz w:val="16"/>
                <w:szCs w:val="16"/>
                <w:color w:val="auto"/>
              </w:rPr>
              <w:t>,</w:t>
            </w:r>
          </w:p>
        </w:tc>
        <w:tc>
          <w:tcPr>
            <w:tcW w:w="156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combination</w:t>
            </w:r>
            <w:r>
              <w:rPr>
                <w:rFonts w:ascii="Arial" w:cs="Arial" w:eastAsia="Arial" w:hAnsi="Arial"/>
                <w:sz w:val="20"/>
                <w:szCs w:val="20"/>
                <w:color w:val="auto"/>
                <w:vertAlign w:val="superscript"/>
              </w:rPr>
              <w:t>(n)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losing enteropathy,</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w w:val="99"/>
              </w:rPr>
              <w:t>as monotherapy and in</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monotherapy</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monotherapy (second</w:t>
            </w:r>
          </w:p>
        </w:tc>
        <w:tc>
          <w:tcPr>
            <w:tcW w:w="0" w:type="dxa"/>
            <w:vAlign w:val="bottom"/>
          </w:tcPr>
          <w:p>
            <w:pPr>
              <w:spacing w:after="0"/>
              <w:rPr>
                <w:sz w:val="1"/>
                <w:szCs w:val="1"/>
                <w:color w:val="auto"/>
              </w:rPr>
            </w:pPr>
          </w:p>
        </w:tc>
      </w:tr>
      <w:tr>
        <w:trPr>
          <w:trHeight w:val="243"/>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combination with</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(potentially pivotal</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–Paroxysmal</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half 2022)</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cemdisiran</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study)</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nocturnal</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hemoglobinuria</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("PNH"),</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cemdisiran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combination</w:t>
            </w:r>
            <w:r>
              <w:rPr>
                <w:rFonts w:ascii="Arial" w:cs="Arial" w:eastAsia="Arial" w:hAnsi="Arial"/>
                <w:sz w:val="23"/>
                <w:szCs w:val="23"/>
                <w:color w:val="auto"/>
                <w:vertAlign w:val="superscript"/>
              </w:rPr>
              <w:t>(c)(n)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Cemdisiran</w:t>
            </w:r>
            <w:r>
              <w:rPr>
                <w:rFonts w:ascii="Arial" w:cs="Arial" w:eastAsia="Arial" w:hAnsi="Arial"/>
                <w:sz w:val="20"/>
                <w:szCs w:val="20"/>
                <w:b w:val="1"/>
                <w:bCs w:val="1"/>
                <w:color w:val="auto"/>
                <w:vertAlign w:val="superscript"/>
              </w:rPr>
              <w:t>(n)</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–Immunoglobulin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siRNA therapeutic</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 nephropathy</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targeting C5</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REGN7257</w:t>
            </w:r>
          </w:p>
        </w:tc>
        <w:tc>
          <w:tcPr>
            <w:tcW w:w="1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–Aplastic</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IL2Rg</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anemia</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7"/>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2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4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Phase 2</w:t>
            </w:r>
          </w:p>
        </w:tc>
        <w:tc>
          <w:tcPr>
            <w:tcW w:w="172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Regulatory</w:t>
            </w: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2021 and 2022</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Select Upcoming</w:t>
            </w:r>
          </w:p>
        </w:tc>
        <w:tc>
          <w:tcPr>
            <w:tcW w:w="0" w:type="dxa"/>
            <w:vAlign w:val="bottom"/>
          </w:tcPr>
          <w:p>
            <w:pPr>
              <w:spacing w:after="0"/>
              <w:rPr>
                <w:sz w:val="1"/>
                <w:szCs w:val="1"/>
                <w:color w:val="auto"/>
              </w:rPr>
            </w:pPr>
          </w:p>
        </w:tc>
      </w:tr>
      <w:tr>
        <w:trPr>
          <w:trHeight w:val="229"/>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8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140" w:type="dxa"/>
            <w:vAlign w:val="bottom"/>
            <w:gridSpan w:val="2"/>
          </w:tcPr>
          <w:p>
            <w:pPr>
              <w:jc w:val="center"/>
              <w:ind w:right="240"/>
              <w:spacing w:after="0" w:line="23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940" w:type="dxa"/>
            <w:vAlign w:val="bottom"/>
            <w:gridSpan w:val="2"/>
          </w:tcPr>
          <w:p>
            <w:pPr>
              <w:ind w:left="380"/>
              <w:spacing w:after="0"/>
              <w:rPr>
                <w:sz w:val="20"/>
                <w:szCs w:val="20"/>
                <w:color w:val="auto"/>
              </w:rPr>
            </w:pPr>
            <w:r>
              <w:rPr>
                <w:rFonts w:ascii="Arial" w:cs="Arial" w:eastAsia="Arial" w:hAnsi="Arial"/>
                <w:sz w:val="18"/>
                <w:szCs w:val="18"/>
                <w:b w:val="1"/>
                <w:bCs w:val="1"/>
                <w:color w:val="auto"/>
              </w:rPr>
              <w:t>Events to Date</w:t>
            </w:r>
          </w:p>
        </w:tc>
        <w:tc>
          <w:tcPr>
            <w:tcW w:w="182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7"/>
              </w:rPr>
              <w:t>Milestones</w:t>
            </w:r>
            <w:r>
              <w:rPr>
                <w:rFonts w:ascii="Arial" w:cs="Arial" w:eastAsia="Arial" w:hAnsi="Arial"/>
                <w:sz w:val="23"/>
                <w:szCs w:val="23"/>
                <w:b w:val="1"/>
                <w:bCs w:val="1"/>
                <w:color w:val="auto"/>
                <w:w w:val="87"/>
                <w:vertAlign w:val="superscript"/>
              </w:rPr>
              <w:t>(i)</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NTLA-2001</w:t>
            </w:r>
            <w:r>
              <w:rPr>
                <w:rFonts w:ascii="Arial" w:cs="Arial" w:eastAsia="Arial" w:hAnsi="Arial"/>
                <w:sz w:val="19"/>
                <w:szCs w:val="19"/>
                <w:b w:val="1"/>
                <w:bCs w:val="1"/>
                <w:color w:val="auto"/>
                <w:vertAlign w:val="superscript"/>
              </w:rPr>
              <w:t>(m)</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–Transthyretin</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–Reported positive</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TTR gene knockout</w:t>
            </w:r>
          </w:p>
        </w:tc>
        <w:tc>
          <w:tcPr>
            <w:tcW w:w="1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amyloidosis</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interim data from Phase</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using CRISPR/Cas9</w:t>
            </w:r>
          </w:p>
        </w:tc>
        <w:tc>
          <w:tcPr>
            <w:tcW w:w="1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("ATTR")</w:t>
            </w:r>
            <w:r>
              <w:rPr>
                <w:rFonts w:ascii="Arial" w:cs="Arial" w:eastAsia="Arial" w:hAnsi="Arial"/>
                <w:sz w:val="20"/>
                <w:szCs w:val="20"/>
                <w:color w:val="auto"/>
                <w:vertAlign w:val="superscript"/>
              </w:rPr>
              <w:t>(c)</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 trial in hereditary</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transthyretin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amyloidosis with</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polyneuropathy</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REGN9933</w:t>
            </w:r>
          </w:p>
        </w:tc>
        <w:tc>
          <w:tcPr>
            <w:tcW w:w="12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–Thrombosis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Factor XI</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720" w:type="dxa"/>
            <w:vAlign w:val="bottom"/>
            <w:gridSpan w:val="3"/>
            <w:shd w:val="clear" w:color="auto" w:fill="ACACAC"/>
          </w:tcPr>
          <w:p>
            <w:pPr>
              <w:ind w:left="320"/>
              <w:spacing w:after="0"/>
              <w:rPr>
                <w:sz w:val="20"/>
                <w:szCs w:val="20"/>
                <w:color w:val="auto"/>
              </w:rPr>
            </w:pPr>
            <w:r>
              <w:rPr>
                <w:rFonts w:ascii="Arial" w:cs="Arial" w:eastAsia="Arial" w:hAnsi="Arial"/>
                <w:sz w:val="18"/>
                <w:szCs w:val="18"/>
                <w:b w:val="1"/>
                <w:bCs w:val="1"/>
                <w:color w:val="auto"/>
                <w:w w:val="92"/>
              </w:rPr>
              <w:t>General Medicine</w:t>
            </w:r>
          </w:p>
        </w:tc>
        <w:tc>
          <w:tcPr>
            <w:tcW w:w="10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REGEN-COV</w:t>
      </w:r>
    </w:p>
    <w:p>
      <w:pPr>
        <w:ind w:left="20"/>
        <w:spacing w:after="0" w:line="203" w:lineRule="auto"/>
        <w:rPr>
          <w:sz w:val="20"/>
          <w:szCs w:val="20"/>
          <w:color w:val="auto"/>
        </w:rPr>
      </w:pPr>
      <w:r>
        <w:rPr>
          <w:rFonts w:ascii="Arial" w:cs="Arial" w:eastAsia="Arial" w:hAnsi="Arial"/>
          <w:sz w:val="18"/>
          <w:szCs w:val="18"/>
          <w:b w:val="1"/>
          <w:bCs w:val="1"/>
          <w:color w:val="auto"/>
        </w:rPr>
        <w:t>(casirivimab and</w:t>
      </w:r>
    </w:p>
    <w:p>
      <w:pPr>
        <w:ind w:left="20"/>
        <w:spacing w:after="0" w:line="183" w:lineRule="auto"/>
        <w:rPr>
          <w:sz w:val="20"/>
          <w:szCs w:val="20"/>
          <w:color w:val="auto"/>
        </w:rPr>
      </w:pPr>
      <w:r>
        <w:rPr>
          <w:rFonts w:ascii="Arial" w:cs="Arial" w:eastAsia="Arial" w:hAnsi="Arial"/>
          <w:sz w:val="16"/>
          <w:szCs w:val="16"/>
          <w:b w:val="1"/>
          <w:bCs w:val="1"/>
          <w:color w:val="auto"/>
        </w:rPr>
        <w:t>imdevimab)</w:t>
      </w:r>
      <w:r>
        <w:rPr>
          <w:rFonts w:ascii="Arial" w:cs="Arial" w:eastAsia="Arial" w:hAnsi="Arial"/>
          <w:sz w:val="20"/>
          <w:szCs w:val="20"/>
          <w:b w:val="1"/>
          <w:bCs w:val="1"/>
          <w:color w:val="auto"/>
          <w:vertAlign w:val="superscript"/>
        </w:rPr>
        <w:t>(e)(k)(l)</w:t>
      </w:r>
    </w:p>
    <w:p>
      <w:pPr>
        <w:ind w:left="20"/>
        <w:spacing w:after="0" w:line="216" w:lineRule="auto"/>
        <w:rPr>
          <w:sz w:val="20"/>
          <w:szCs w:val="20"/>
          <w:color w:val="auto"/>
        </w:rPr>
      </w:pPr>
      <w:r>
        <w:rPr>
          <w:rFonts w:ascii="Arial" w:cs="Arial" w:eastAsia="Arial" w:hAnsi="Arial"/>
          <w:sz w:val="17"/>
          <w:szCs w:val="17"/>
          <w:i w:val="1"/>
          <w:iCs w:val="1"/>
          <w:color w:val="auto"/>
        </w:rPr>
        <w:t>Multi-antibody therapy</w:t>
      </w:r>
    </w:p>
    <w:p>
      <w:pPr>
        <w:ind w:left="20"/>
        <w:spacing w:after="0"/>
        <w:rPr>
          <w:sz w:val="20"/>
          <w:szCs w:val="20"/>
          <w:color w:val="auto"/>
        </w:rPr>
      </w:pPr>
      <w:r>
        <w:rPr>
          <w:rFonts w:ascii="Arial" w:cs="Arial" w:eastAsia="Arial" w:hAnsi="Arial"/>
          <w:sz w:val="17"/>
          <w:szCs w:val="17"/>
          <w:i w:val="1"/>
          <w:iCs w:val="1"/>
          <w:color w:val="auto"/>
        </w:rPr>
        <w:t>to SARS-CoV-2 virus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-120650</wp:posOffset>
            </wp:positionV>
            <wp:extent cx="7132320" cy="4269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269105"/>
                    </a:xfrm>
                    <a:prstGeom prst="rect">
                      <a:avLst/>
                    </a:prstGeom>
                    <a:noFill/>
                  </pic:spPr>
                </pic:pic>
              </a:graphicData>
            </a:graphic>
          </wp:anchor>
        </w:drawing>
      </w:r>
    </w:p>
    <w:p>
      <w:pPr>
        <w:spacing w:after="0" w:line="215" w:lineRule="auto"/>
        <w:rPr>
          <w:sz w:val="20"/>
          <w:szCs w:val="20"/>
          <w:color w:val="auto"/>
        </w:rPr>
      </w:pPr>
      <w:r>
        <w:rPr>
          <w:rFonts w:ascii="Arial" w:cs="Arial" w:eastAsia="Arial" w:hAnsi="Arial"/>
          <w:sz w:val="17"/>
          <w:szCs w:val="17"/>
          <w:color w:val="auto"/>
        </w:rPr>
        <w:t>treatment in</w:t>
      </w:r>
    </w:p>
    <w:p>
      <w:pPr>
        <w:spacing w:after="0" w:line="215" w:lineRule="auto"/>
        <w:rPr>
          <w:sz w:val="20"/>
          <w:szCs w:val="20"/>
          <w:color w:val="auto"/>
        </w:rPr>
      </w:pPr>
      <w:r>
        <w:rPr>
          <w:rFonts w:ascii="Arial" w:cs="Arial" w:eastAsia="Arial" w:hAnsi="Arial"/>
          <w:sz w:val="17"/>
          <w:szCs w:val="17"/>
          <w:color w:val="auto"/>
        </w:rPr>
        <w:t>hospitalized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patients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–COVID-19</w:t>
      </w:r>
    </w:p>
    <w:p>
      <w:pPr>
        <w:spacing w:after="0"/>
        <w:rPr>
          <w:sz w:val="20"/>
          <w:szCs w:val="20"/>
          <w:color w:val="auto"/>
        </w:rPr>
      </w:pPr>
      <w:r>
        <w:rPr>
          <w:rFonts w:ascii="Arial" w:cs="Arial" w:eastAsia="Arial" w:hAnsi="Arial"/>
          <w:sz w:val="18"/>
          <w:szCs w:val="18"/>
          <w:color w:val="auto"/>
        </w:rPr>
        <w:t>prevention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–COVID-19</w:t>
            </w:r>
          </w:p>
        </w:tc>
        <w:tc>
          <w:tcPr>
            <w:tcW w:w="1880" w:type="dxa"/>
            <w:vAlign w:val="bottom"/>
          </w:tcPr>
          <w:p>
            <w:pPr>
              <w:ind w:left="80"/>
              <w:spacing w:after="0"/>
              <w:rPr>
                <w:sz w:val="20"/>
                <w:szCs w:val="20"/>
                <w:color w:val="auto"/>
              </w:rPr>
            </w:pPr>
            <w:r>
              <w:rPr>
                <w:rFonts w:ascii="Arial" w:cs="Arial" w:eastAsia="Arial" w:hAnsi="Arial"/>
                <w:sz w:val="18"/>
                <w:szCs w:val="18"/>
                <w:color w:val="auto"/>
                <w:w w:val="93"/>
              </w:rPr>
              <w:t>–Reported that Phase 3</w:t>
            </w:r>
          </w:p>
        </w:tc>
        <w:tc>
          <w:tcPr>
            <w:tcW w:w="0" w:type="dxa"/>
            <w:vAlign w:val="bottom"/>
          </w:tcPr>
          <w:p>
            <w:pPr>
              <w:spacing w:after="0"/>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Arial" w:cs="Arial" w:eastAsia="Arial" w:hAnsi="Arial"/>
                <w:sz w:val="18"/>
                <w:szCs w:val="18"/>
                <w:color w:val="auto"/>
              </w:rPr>
              <w:t>treatment and</w:t>
            </w: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2"/>
              </w:rPr>
              <w:t>trials in non-hospitalized</w:t>
            </w: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8"/>
                <w:szCs w:val="18"/>
                <w:color w:val="auto"/>
              </w:rPr>
              <w:t>prevention</w:t>
            </w: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5"/>
              </w:rPr>
              <w:t>COVID-19 patients met</w:t>
            </w:r>
          </w:p>
        </w:tc>
        <w:tc>
          <w:tcPr>
            <w:tcW w:w="0" w:type="dxa"/>
            <w:vAlign w:val="bottom"/>
          </w:tcPr>
          <w:p>
            <w:pPr>
              <w:spacing w:after="0"/>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Arial" w:cs="Arial" w:eastAsia="Arial" w:hAnsi="Arial"/>
                <w:sz w:val="18"/>
                <w:szCs w:val="18"/>
                <w:color w:val="auto"/>
              </w:rPr>
              <w:t>(U.S.)</w:t>
            </w: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230"/>
        </w:trPr>
        <w:tc>
          <w:tcPr>
            <w:tcW w:w="1220" w:type="dxa"/>
            <w:vAlign w:val="bottom"/>
            <w:vMerge w:val="restart"/>
          </w:tcPr>
          <w:p>
            <w:pPr>
              <w:spacing w:after="0"/>
              <w:rPr>
                <w:sz w:val="20"/>
                <w:szCs w:val="20"/>
                <w:color w:val="auto"/>
              </w:rPr>
            </w:pPr>
            <w:r>
              <w:rPr>
                <w:rFonts w:ascii="Arial" w:cs="Arial" w:eastAsia="Arial" w:hAnsi="Arial"/>
                <w:sz w:val="18"/>
                <w:szCs w:val="18"/>
                <w:color w:val="auto"/>
              </w:rPr>
              <w:t>–EUA</w:t>
            </w:r>
          </w:p>
        </w:tc>
        <w:tc>
          <w:tcPr>
            <w:tcW w:w="1880" w:type="dxa"/>
            <w:vAlign w:val="bottom"/>
          </w:tcPr>
          <w:p>
            <w:pPr>
              <w:ind w:left="80"/>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880" w:type="dxa"/>
            <w:vAlign w:val="bottom"/>
            <w:vMerge w:val="restart"/>
          </w:tcPr>
          <w:p>
            <w:pPr>
              <w:ind w:left="80"/>
              <w:spacing w:after="0"/>
              <w:rPr>
                <w:sz w:val="20"/>
                <w:szCs w:val="20"/>
                <w:color w:val="auto"/>
              </w:rPr>
            </w:pPr>
            <w:r>
              <w:rPr>
                <w:rFonts w:ascii="Arial" w:cs="Arial" w:eastAsia="Arial" w:hAnsi="Arial"/>
                <w:sz w:val="18"/>
                <w:szCs w:val="18"/>
                <w:color w:val="auto"/>
                <w:w w:val="93"/>
              </w:rPr>
              <w:t>–Reported that Phase 3</w:t>
            </w:r>
          </w:p>
        </w:tc>
        <w:tc>
          <w:tcPr>
            <w:tcW w:w="0" w:type="dxa"/>
            <w:vAlign w:val="bottom"/>
          </w:tcPr>
          <w:p>
            <w:pPr>
              <w:spacing w:after="0"/>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Arial" w:cs="Arial" w:eastAsia="Arial" w:hAnsi="Arial"/>
                <w:sz w:val="18"/>
                <w:szCs w:val="18"/>
                <w:color w:val="auto"/>
              </w:rPr>
              <w:t>amendment to</w:t>
            </w: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8"/>
                <w:szCs w:val="18"/>
                <w:color w:val="auto"/>
              </w:rPr>
              <w:t>add COVID-19</w:t>
            </w: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trial in hospitalized</w:t>
            </w:r>
          </w:p>
        </w:tc>
        <w:tc>
          <w:tcPr>
            <w:tcW w:w="0" w:type="dxa"/>
            <w:vAlign w:val="bottom"/>
          </w:tcPr>
          <w:p>
            <w:pPr>
              <w:spacing w:after="0"/>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Arial" w:cs="Arial" w:eastAsia="Arial" w:hAnsi="Arial"/>
                <w:sz w:val="18"/>
                <w:szCs w:val="18"/>
                <w:color w:val="auto"/>
              </w:rPr>
              <w:t>treatment for</w:t>
            </w: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5"/>
              </w:rPr>
              <w:t>COVID-19 patients met</w:t>
            </w: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8"/>
                <w:szCs w:val="18"/>
                <w:color w:val="auto"/>
              </w:rPr>
              <w:t>hospitalized</w:t>
            </w: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its primary endpoint</w:t>
            </w:r>
          </w:p>
        </w:tc>
        <w:tc>
          <w:tcPr>
            <w:tcW w:w="0" w:type="dxa"/>
            <w:vAlign w:val="bottom"/>
          </w:tcPr>
          <w:p>
            <w:pPr>
              <w:spacing w:after="0"/>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Arial" w:cs="Arial" w:eastAsia="Arial" w:hAnsi="Arial"/>
                <w:sz w:val="18"/>
                <w:szCs w:val="18"/>
                <w:color w:val="auto"/>
              </w:rPr>
              <w:t>patients and</w:t>
            </w:r>
          </w:p>
        </w:tc>
        <w:tc>
          <w:tcPr>
            <w:tcW w:w="1880" w:type="dxa"/>
            <w:vAlign w:val="bottom"/>
            <w:vMerge w:val="restart"/>
          </w:tcPr>
          <w:p>
            <w:pPr>
              <w:ind w:left="80"/>
              <w:spacing w:after="0"/>
              <w:rPr>
                <w:sz w:val="20"/>
                <w:szCs w:val="20"/>
                <w:color w:val="auto"/>
              </w:rPr>
            </w:pPr>
            <w:r>
              <w:rPr>
                <w:rFonts w:ascii="Arial" w:cs="Arial" w:eastAsia="Arial" w:hAnsi="Arial"/>
                <w:sz w:val="18"/>
                <w:szCs w:val="18"/>
                <w:color w:val="auto"/>
              </w:rPr>
              <w:t>–Positive results</w:t>
            </w:r>
          </w:p>
        </w:tc>
        <w:tc>
          <w:tcPr>
            <w:tcW w:w="0" w:type="dxa"/>
            <w:vAlign w:val="bottom"/>
          </w:tcPr>
          <w:p>
            <w:pPr>
              <w:spacing w:after="0"/>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Arial" w:cs="Arial" w:eastAsia="Arial" w:hAnsi="Arial"/>
                <w:sz w:val="18"/>
                <w:szCs w:val="18"/>
                <w:color w:val="auto"/>
              </w:rPr>
              <w:t>pre-exposure</w:t>
            </w: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8"/>
                <w:szCs w:val="18"/>
                <w:color w:val="auto"/>
              </w:rPr>
              <w:t>prophylaxis</w:t>
            </w: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9"/>
              </w:rPr>
              <w:t>reported from Phase 3</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RECOVERY trial in</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hospitalized patients</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w w:val="90"/>
              </w:rPr>
              <w:t>–Reported that all tested</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4"/>
              </w:rPr>
              <w:t>doses in Phase 2 dose-</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ranging study in non-</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89"/>
              </w:rPr>
              <w:t>hospitalized patients met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its primary endpoint</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–FDA updated EUA,</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8"/>
              </w:rPr>
              <w:t>lowering dose to 1,200</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mg, allowing for</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2"/>
              </w:rPr>
              <w:t>subcutaneous injections</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89"/>
              </w:rPr>
              <w:t>in certain circumstances,</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and to include post-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exposure prophylaxis</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–FDA revised EUA to</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exclude use in</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geographic regions</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where infection or</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w w:val="92"/>
              </w:rPr>
              <w:t>exposure is likely due to</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a variant that is not</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Arial" w:cs="Arial" w:eastAsia="Arial" w:hAnsi="Arial"/>
                <w:sz w:val="18"/>
                <w:szCs w:val="18"/>
                <w:color w:val="auto"/>
              </w:rPr>
              <w:t>susceptible to the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treatment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–FDA decision on BLA (target action date of April 13, 2022) for COVID-19 treatment of non-hospitalized patients and prevention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–Submit sBLA and</w:t>
      </w:r>
    </w:p>
    <w:p>
      <w:pPr>
        <w:spacing w:after="0" w:line="203" w:lineRule="auto"/>
        <w:rPr>
          <w:sz w:val="20"/>
          <w:szCs w:val="20"/>
          <w:color w:val="auto"/>
        </w:rPr>
      </w:pPr>
      <w:r>
        <w:rPr>
          <w:rFonts w:ascii="Arial" w:cs="Arial" w:eastAsia="Arial" w:hAnsi="Arial"/>
          <w:sz w:val="18"/>
          <w:szCs w:val="18"/>
          <w:color w:val="auto"/>
        </w:rPr>
        <w:t>Marketing</w:t>
      </w:r>
    </w:p>
    <w:p>
      <w:pPr>
        <w:spacing w:after="0" w:line="203" w:lineRule="auto"/>
        <w:rPr>
          <w:sz w:val="20"/>
          <w:szCs w:val="20"/>
          <w:color w:val="auto"/>
        </w:rPr>
      </w:pPr>
      <w:r>
        <w:rPr>
          <w:rFonts w:ascii="Arial" w:cs="Arial" w:eastAsia="Arial" w:hAnsi="Arial"/>
          <w:sz w:val="18"/>
          <w:szCs w:val="18"/>
          <w:color w:val="auto"/>
        </w:rPr>
        <w:t>Authorization</w:t>
      </w:r>
    </w:p>
    <w:p>
      <w:pPr>
        <w:spacing w:after="0" w:line="204" w:lineRule="auto"/>
        <w:rPr>
          <w:sz w:val="20"/>
          <w:szCs w:val="20"/>
          <w:color w:val="auto"/>
        </w:rPr>
      </w:pPr>
      <w:r>
        <w:rPr>
          <w:rFonts w:ascii="Arial" w:cs="Arial" w:eastAsia="Arial" w:hAnsi="Arial"/>
          <w:sz w:val="18"/>
          <w:szCs w:val="18"/>
          <w:color w:val="auto"/>
        </w:rPr>
        <w:t>Application ("MAA")</w:t>
      </w:r>
    </w:p>
    <w:p>
      <w:pPr>
        <w:spacing w:after="0" w:line="203" w:lineRule="auto"/>
        <w:rPr>
          <w:sz w:val="20"/>
          <w:szCs w:val="20"/>
          <w:color w:val="auto"/>
        </w:rPr>
      </w:pPr>
      <w:r>
        <w:rPr>
          <w:rFonts w:ascii="Arial" w:cs="Arial" w:eastAsia="Arial" w:hAnsi="Arial"/>
          <w:sz w:val="18"/>
          <w:szCs w:val="18"/>
          <w:color w:val="auto"/>
        </w:rPr>
        <w:t>for COVID-19</w:t>
      </w:r>
    </w:p>
    <w:p>
      <w:pPr>
        <w:spacing w:after="0" w:line="204" w:lineRule="auto"/>
        <w:rPr>
          <w:sz w:val="20"/>
          <w:szCs w:val="20"/>
          <w:color w:val="auto"/>
        </w:rPr>
      </w:pPr>
      <w:r>
        <w:rPr>
          <w:rFonts w:ascii="Arial" w:cs="Arial" w:eastAsia="Arial" w:hAnsi="Arial"/>
          <w:sz w:val="18"/>
          <w:szCs w:val="18"/>
          <w:color w:val="auto"/>
        </w:rPr>
        <w:t>treatment of</w:t>
      </w:r>
    </w:p>
    <w:p>
      <w:pPr>
        <w:spacing w:after="0" w:line="203" w:lineRule="auto"/>
        <w:rPr>
          <w:sz w:val="20"/>
          <w:szCs w:val="20"/>
          <w:color w:val="auto"/>
        </w:rPr>
      </w:pPr>
      <w:r>
        <w:rPr>
          <w:rFonts w:ascii="Arial" w:cs="Arial" w:eastAsia="Arial" w:hAnsi="Arial"/>
          <w:sz w:val="18"/>
          <w:szCs w:val="18"/>
          <w:color w:val="auto"/>
        </w:rPr>
        <w:t>hospitalized patients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half 2022)</w:t>
      </w:r>
    </w:p>
    <w:p>
      <w:pPr>
        <w:spacing w:after="0" w:line="4244" w:lineRule="exact"/>
        <w:rPr>
          <w:sz w:val="20"/>
          <w:szCs w:val="20"/>
          <w:color w:val="auto"/>
        </w:rPr>
      </w:pPr>
    </w:p>
    <w:p>
      <w:pPr>
        <w:sectPr>
          <w:pgSz w:w="11900" w:h="16838" w:orient="portrait"/>
          <w:cols w:equalWidth="0" w:num="4">
            <w:col w:w="3920" w:space="720"/>
            <w:col w:w="900" w:space="660"/>
            <w:col w:w="3100" w:space="140"/>
            <w:col w:w="1800"/>
          </w:cols>
          <w:pgMar w:left="320" w:top="3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2021 and 2022</w:t>
            </w:r>
          </w:p>
        </w:tc>
        <w:tc>
          <w:tcPr>
            <w:tcW w:w="1800" w:type="dxa"/>
            <w:vAlign w:val="bottom"/>
          </w:tcPr>
          <w:p>
            <w:pPr>
              <w:ind w:left="26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30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28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80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REGEN-COV</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–Approved by EC for</w:t>
            </w: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(casirivimab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COVID-19 treatment of</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imdevimab)</w:t>
            </w:r>
            <w:r>
              <w:rPr>
                <w:rFonts w:ascii="Arial" w:cs="Arial" w:eastAsia="Arial" w:hAnsi="Arial"/>
                <w:sz w:val="20"/>
                <w:szCs w:val="20"/>
                <w:b w:val="1"/>
                <w:bCs w:val="1"/>
                <w:color w:val="auto"/>
                <w:vertAlign w:val="superscript"/>
              </w:rPr>
              <w:t>(e)(k)(l)</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non-hospitalized patients</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(continued)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prevention and by</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Ministry of Health,</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Labour and Welfare</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("MHLW") for COVID-</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 treatment in Japan</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–Reported that Phase 3</w:t>
            </w: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prevention trial in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uninfected household</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contacts of SARS-CoV-2</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infected individuals met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its primary and key</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secondary endpoints</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–Reported positive</w:t>
            </w: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longer-term results from</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Phase 3 prevention trial</w:t>
            </w: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8"/>
              </w:rPr>
              <w:t>Praluent (alirocumab)</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–HeFH in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–Approved by FDA for</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PCSK9</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pediatrics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HoFH</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Fasinumab</w:t>
            </w:r>
            <w:r>
              <w:rPr>
                <w:rFonts w:ascii="Arial" w:cs="Arial" w:eastAsia="Arial" w:hAnsi="Arial"/>
                <w:sz w:val="20"/>
                <w:szCs w:val="20"/>
                <w:b w:val="1"/>
                <w:bCs w:val="1"/>
                <w:color w:val="auto"/>
                <w:vertAlign w:val="superscript"/>
              </w:rPr>
              <w:t>(j)(f)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–Osteoarthritis pain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–Continue discussions</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(REGN475)</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of the knee or hip</w:t>
            </w:r>
            <w:r>
              <w:rPr>
                <w:rFonts w:ascii="Arial" w:cs="Arial" w:eastAsia="Arial" w:hAnsi="Arial"/>
                <w:sz w:val="20"/>
                <w:szCs w:val="20"/>
                <w:color w:val="auto"/>
                <w:vertAlign w:val="superscript"/>
              </w:rPr>
              <w:t>(e)</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with regulatory</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NGF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authorities and</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determine next steps for</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4"/>
              </w:rPr>
              <w:t>the program (mid-2022)</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4"/>
              </w:rPr>
              <w:t>Evkeeza (evinacumab)</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–Acute pancreatitis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–Approved by FDA and</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(f)(o)</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color w:val="auto"/>
              </w:rPr>
              <w:t>prevention</w:t>
            </w: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rPr>
              <w:t>EC for HoFH</w:t>
            </w: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ANGPTL3</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6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–Completed Phase 2</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study in severe</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hypertriglyceridemia</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Garetosmab</w:t>
            </w:r>
            <w:r>
              <w:rPr>
                <w:rFonts w:ascii="Arial" w:cs="Arial" w:eastAsia="Arial" w:hAnsi="Arial"/>
                <w:sz w:val="20"/>
                <w:szCs w:val="20"/>
                <w:b w:val="1"/>
                <w:bCs w:val="1"/>
                <w:color w:val="auto"/>
                <w:vertAlign w:val="superscript"/>
              </w:rPr>
              <w:t>(f)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–Fibrodysplasia</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–Determine next steps</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(REGN2477)</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ossificans</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for the program (2022)</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Activin A</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progressiva</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("FOP")</w:t>
            </w:r>
            <w:r>
              <w:rPr>
                <w:rFonts w:ascii="Arial" w:cs="Arial" w:eastAsia="Arial" w:hAnsi="Arial"/>
                <w:sz w:val="10"/>
                <w:szCs w:val="10"/>
                <w:color w:val="auto"/>
              </w:rPr>
              <w:t>(c)(d)(e)</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REGN4461</w:t>
            </w:r>
            <w:r>
              <w:rPr>
                <w:rFonts w:ascii="Arial" w:cs="Arial" w:eastAsia="Arial" w:hAnsi="Arial"/>
                <w:sz w:val="20"/>
                <w:szCs w:val="20"/>
                <w:b w:val="1"/>
                <w:bCs w:val="1"/>
                <w:color w:val="auto"/>
                <w:vertAlign w:val="superscript"/>
              </w:rPr>
              <w:t>(f)</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–Generalized</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Agonist antibody to</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lipodystrophy</w:t>
            </w:r>
            <w:r>
              <w:rPr>
                <w:rFonts w:ascii="Arial" w:cs="Arial" w:eastAsia="Arial" w:hAnsi="Arial"/>
                <w:sz w:val="20"/>
                <w:szCs w:val="20"/>
                <w:color w:val="auto"/>
                <w:vertAlign w:val="superscript"/>
              </w:rPr>
              <w:t>(e)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Phase 2 study in</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leptin receptor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rPr>
              <w:t>generalized</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("LEPR")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color w:val="auto"/>
              </w:rPr>
              <w:t>–Partial</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76" w:lineRule="exact"/>
              <w:rPr>
                <w:sz w:val="20"/>
                <w:szCs w:val="20"/>
                <w:color w:val="auto"/>
              </w:rPr>
            </w:pPr>
            <w:r>
              <w:rPr>
                <w:rFonts w:ascii="Arial" w:cs="Arial" w:eastAsia="Arial" w:hAnsi="Arial"/>
                <w:sz w:val="18"/>
                <w:szCs w:val="18"/>
                <w:color w:val="auto"/>
                <w:w w:val="98"/>
              </w:rPr>
              <w:t>lipodystrophy (first half</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63"/>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color w:val="auto"/>
              </w:rPr>
              <w:t>lipodystrophy</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REGN5381</w:t>
            </w:r>
          </w:p>
        </w:tc>
        <w:tc>
          <w:tcPr>
            <w:tcW w:w="1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–Heart failure</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Agonist antibody to</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NPR1</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ALN-HSD</w:t>
            </w:r>
            <w:r>
              <w:rPr>
                <w:rFonts w:ascii="Arial" w:cs="Arial" w:eastAsia="Arial" w:hAnsi="Arial"/>
                <w:sz w:val="20"/>
                <w:szCs w:val="20"/>
                <w:b w:val="1"/>
                <w:bCs w:val="1"/>
                <w:color w:val="auto"/>
                <w:vertAlign w:val="superscript"/>
              </w:rPr>
              <w:t>(n)</w:t>
            </w:r>
          </w:p>
        </w:tc>
        <w:tc>
          <w:tcPr>
            <w:tcW w:w="1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–Nonalcoholic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RNAi therapeutic</w:t>
            </w:r>
          </w:p>
        </w:tc>
        <w:tc>
          <w:tcPr>
            <w:tcW w:w="1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steatohepatitis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HSD17B13</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("NASH")</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240" w:right="260"/>
        <w:spacing w:after="0" w:line="237" w:lineRule="auto"/>
        <w:rPr>
          <w:sz w:val="20"/>
          <w:szCs w:val="20"/>
          <w:color w:val="auto"/>
        </w:rPr>
      </w:pPr>
      <w:r>
        <w:rPr>
          <w:rFonts w:ascii="Arial" w:cs="Arial" w:eastAsia="Arial" w:hAnsi="Arial"/>
          <w:sz w:val="16"/>
          <w:szCs w:val="16"/>
          <w:color w:val="auto"/>
        </w:rPr>
        <w:t>Note: For purposes of the table above, a program is classified in Phase 1, 2, or 3 clinical development after recruitment for the corresponding study or studies has commenced</w:t>
      </w:r>
    </w:p>
    <w:p>
      <w:pPr>
        <w:ind w:left="400" w:hanging="165"/>
        <w:spacing w:after="0" w:line="23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In collaboration with Sanofi</w:t>
      </w:r>
    </w:p>
    <w:p>
      <w:pPr>
        <w:spacing w:after="0" w:line="24" w:lineRule="exact"/>
        <w:rPr>
          <w:rFonts w:ascii="Arial" w:cs="Arial" w:eastAsia="Arial" w:hAnsi="Arial"/>
          <w:sz w:val="20"/>
          <w:szCs w:val="20"/>
          <w:color w:val="auto"/>
          <w:vertAlign w:val="superscript"/>
        </w:rPr>
      </w:pPr>
    </w:p>
    <w:p>
      <w:pPr>
        <w:ind w:left="400" w:hanging="165"/>
        <w:spacing w:after="0" w:line="20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In collaboration with Bayer outside of the United States</w:t>
      </w:r>
    </w:p>
    <w:p>
      <w:pPr>
        <w:spacing w:after="0" w:line="24" w:lineRule="exact"/>
        <w:rPr>
          <w:rFonts w:ascii="Arial" w:cs="Arial" w:eastAsia="Arial" w:hAnsi="Arial"/>
          <w:sz w:val="20"/>
          <w:szCs w:val="20"/>
          <w:color w:val="auto"/>
          <w:vertAlign w:val="superscript"/>
        </w:rPr>
      </w:pPr>
    </w:p>
    <w:p>
      <w:pPr>
        <w:ind w:left="400" w:hanging="165"/>
        <w:spacing w:after="0" w:line="191" w:lineRule="auto"/>
        <w:tabs>
          <w:tab w:leader="none" w:pos="40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FDA granted orphan drug designation</w:t>
      </w:r>
    </w:p>
    <w:p>
      <w:pPr>
        <w:spacing w:after="0" w:line="23" w:lineRule="exact"/>
        <w:rPr>
          <w:rFonts w:ascii="Arial" w:cs="Arial" w:eastAsia="Arial" w:hAnsi="Arial"/>
          <w:sz w:val="21"/>
          <w:szCs w:val="21"/>
          <w:color w:val="auto"/>
          <w:vertAlign w:val="superscript"/>
        </w:rPr>
      </w:pPr>
    </w:p>
    <w:p>
      <w:pPr>
        <w:ind w:left="400" w:hanging="165"/>
        <w:spacing w:after="0" w:line="20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FDA granted Breakthrough Therapy designation</w:t>
      </w:r>
    </w:p>
    <w:p>
      <w:pPr>
        <w:spacing w:after="0" w:line="24" w:lineRule="exact"/>
        <w:rPr>
          <w:rFonts w:ascii="Arial" w:cs="Arial" w:eastAsia="Arial" w:hAnsi="Arial"/>
          <w:sz w:val="20"/>
          <w:szCs w:val="20"/>
          <w:color w:val="auto"/>
          <w:vertAlign w:val="superscript"/>
        </w:rPr>
      </w:pPr>
    </w:p>
    <w:p>
      <w:pPr>
        <w:ind w:left="400" w:hanging="165"/>
        <w:spacing w:after="0" w:line="20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FDA granted Fast Track designation</w:t>
      </w:r>
    </w:p>
    <w:p>
      <w:pPr>
        <w:spacing w:after="0" w:line="24" w:lineRule="exact"/>
        <w:rPr>
          <w:rFonts w:ascii="Arial" w:cs="Arial" w:eastAsia="Arial" w:hAnsi="Arial"/>
          <w:sz w:val="20"/>
          <w:szCs w:val="20"/>
          <w:color w:val="auto"/>
          <w:vertAlign w:val="superscript"/>
        </w:rPr>
      </w:pPr>
    </w:p>
    <w:p>
      <w:pPr>
        <w:ind w:left="240" w:right="80" w:hanging="5"/>
        <w:spacing w:after="0" w:line="189" w:lineRule="auto"/>
        <w:tabs>
          <w:tab w:leader="none" w:pos="397"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Sanofi did not opt-in to or elected not to continue to co-develop the product candidate. Under the terms of our agreement, Sanofi is entitled to receive royalties on sales of the product, if any.</w:t>
      </w:r>
    </w:p>
    <w:p>
      <w:pPr>
        <w:spacing w:after="0" w:line="1" w:lineRule="exact"/>
        <w:rPr>
          <w:rFonts w:ascii="Arial" w:cs="Arial" w:eastAsia="Arial" w:hAnsi="Arial"/>
          <w:sz w:val="23"/>
          <w:szCs w:val="23"/>
          <w:color w:val="auto"/>
          <w:vertAlign w:val="superscript"/>
        </w:rPr>
      </w:pPr>
    </w:p>
    <w:p>
      <w:pPr>
        <w:ind w:left="420" w:hanging="185"/>
        <w:spacing w:after="0" w:line="217"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Studied as monotherapy and in combination with other antibodies and treatments</w:t>
      </w:r>
    </w:p>
    <w:p>
      <w:pPr>
        <w:spacing w:after="0" w:line="24" w:lineRule="exact"/>
        <w:rPr>
          <w:rFonts w:ascii="Arial" w:cs="Arial" w:eastAsia="Arial" w:hAnsi="Arial"/>
          <w:sz w:val="22"/>
          <w:szCs w:val="22"/>
          <w:color w:val="auto"/>
          <w:vertAlign w:val="superscript"/>
        </w:rPr>
      </w:pPr>
    </w:p>
    <w:p>
      <w:pPr>
        <w:ind w:left="420" w:hanging="185"/>
        <w:spacing w:after="0" w:line="182"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Information in this column relates to U.S., EU, and Japan regulatory submissions only</w:t>
      </w:r>
    </w:p>
    <w:p>
      <w:pPr>
        <w:spacing w:after="0" w:line="37" w:lineRule="exact"/>
        <w:rPr>
          <w:rFonts w:ascii="Arial" w:cs="Arial" w:eastAsia="Arial" w:hAnsi="Arial"/>
          <w:sz w:val="22"/>
          <w:szCs w:val="22"/>
          <w:color w:val="auto"/>
          <w:vertAlign w:val="superscript"/>
        </w:rPr>
      </w:pPr>
    </w:p>
    <w:p>
      <w:pPr>
        <w:ind w:left="240" w:hanging="5"/>
        <w:spacing w:after="0" w:line="189" w:lineRule="auto"/>
        <w:tabs>
          <w:tab w:leader="none" w:pos="395"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As described in the section preceding the table above and Part I, Item 1A. "Risk Factors," development timelines may be further subject to change as a result of the impact of the COVID-19 pandemic.</w:t>
      </w:r>
    </w:p>
    <w:p>
      <w:pPr>
        <w:spacing w:after="0" w:line="1" w:lineRule="exact"/>
        <w:rPr>
          <w:rFonts w:ascii="Arial" w:cs="Arial" w:eastAsia="Arial" w:hAnsi="Arial"/>
          <w:sz w:val="23"/>
          <w:szCs w:val="23"/>
          <w:color w:val="auto"/>
          <w:vertAlign w:val="superscript"/>
        </w:rPr>
      </w:pPr>
    </w:p>
    <w:p>
      <w:pPr>
        <w:ind w:left="380" w:hanging="145"/>
        <w:spacing w:after="0" w:line="196" w:lineRule="auto"/>
        <w:tabs>
          <w:tab w:leader="none" w:pos="38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In collaboration with Teva and Mitsubishi Tanabe Pharma</w:t>
      </w:r>
    </w:p>
    <w:p>
      <w:pPr>
        <w:spacing w:after="0" w:line="37" w:lineRule="exact"/>
        <w:rPr>
          <w:rFonts w:ascii="Arial" w:cs="Arial" w:eastAsia="Arial" w:hAnsi="Arial"/>
          <w:sz w:val="23"/>
          <w:szCs w:val="23"/>
          <w:color w:val="auto"/>
          <w:vertAlign w:val="superscript"/>
        </w:rPr>
      </w:pPr>
    </w:p>
    <w:p>
      <w:pPr>
        <w:ind w:left="420" w:hanging="185"/>
        <w:spacing w:after="0" w:line="182"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Certain trials conducted with the National Institute of Allergy and Infectious Diseases ("NIAID"), part of the NIH</w:t>
      </w:r>
    </w:p>
    <w:p>
      <w:pPr>
        <w:spacing w:after="0" w:line="24" w:lineRule="exact"/>
        <w:rPr>
          <w:rFonts w:ascii="Arial" w:cs="Arial" w:eastAsia="Arial" w:hAnsi="Arial"/>
          <w:sz w:val="22"/>
          <w:szCs w:val="22"/>
          <w:color w:val="auto"/>
          <w:vertAlign w:val="superscript"/>
        </w:rPr>
      </w:pPr>
    </w:p>
    <w:p>
      <w:pPr>
        <w:ind w:left="380" w:hanging="145"/>
        <w:spacing w:after="0" w:line="182" w:lineRule="auto"/>
        <w:tabs>
          <w:tab w:leader="none" w:pos="38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collaboration with Roche outside of the United States</w:t>
      </w:r>
    </w:p>
    <w:p>
      <w:pPr>
        <w:spacing w:after="0" w:line="24" w:lineRule="exact"/>
        <w:rPr>
          <w:rFonts w:ascii="Arial" w:cs="Arial" w:eastAsia="Arial" w:hAnsi="Arial"/>
          <w:sz w:val="22"/>
          <w:szCs w:val="22"/>
          <w:color w:val="auto"/>
          <w:vertAlign w:val="superscript"/>
        </w:rPr>
      </w:pPr>
    </w:p>
    <w:p>
      <w:pPr>
        <w:ind w:left="440" w:hanging="205"/>
        <w:spacing w:after="0" w:line="200" w:lineRule="auto"/>
        <w:tabs>
          <w:tab w:leader="none" w:pos="44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In collaboration with Intellia</w:t>
      </w:r>
    </w:p>
    <w:p>
      <w:pPr>
        <w:spacing w:after="0" w:line="24" w:lineRule="exact"/>
        <w:rPr>
          <w:rFonts w:ascii="Arial" w:cs="Arial" w:eastAsia="Arial" w:hAnsi="Arial"/>
          <w:sz w:val="20"/>
          <w:szCs w:val="20"/>
          <w:color w:val="auto"/>
          <w:vertAlign w:val="superscript"/>
        </w:rPr>
      </w:pPr>
    </w:p>
    <w:p>
      <w:pPr>
        <w:ind w:left="420" w:hanging="185"/>
        <w:spacing w:after="0" w:line="182"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collaboration with Alnylam</w:t>
      </w:r>
    </w:p>
    <w:p>
      <w:pPr>
        <w:spacing w:after="0" w:line="24" w:lineRule="exact"/>
        <w:rPr>
          <w:rFonts w:ascii="Arial" w:cs="Arial" w:eastAsia="Arial" w:hAnsi="Arial"/>
          <w:sz w:val="22"/>
          <w:szCs w:val="22"/>
          <w:color w:val="auto"/>
          <w:vertAlign w:val="superscript"/>
        </w:rPr>
      </w:pPr>
    </w:p>
    <w:p>
      <w:pPr>
        <w:ind w:left="420" w:hanging="185"/>
        <w:spacing w:after="0" w:line="182" w:lineRule="auto"/>
        <w:tabs>
          <w:tab w:leader="none" w:pos="4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collaboration with Ultragenyx outside of the United States</w:t>
      </w: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73" w:right="61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 Clinical Development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Based on laboratory data that showed markedly decreased binding to the Omicron spike protein, REGEN-COV is highly unlikely to be active against the Omicron variant. In January 2022, the FDA revised the EUA for REGEN-COV to exclude its use in geographic regions where, based on available information including variant susceptibility and regional variant frequency, infection or exposure is likely due to a variant such as Omicron (B.1.1.529) that is not susceptible to the treatment. See "REGEN-COV - Emergency and Temporary Use Authorizations" above for further information.</w:t>
      </w:r>
    </w:p>
    <w:p>
      <w:pPr>
        <w:spacing w:after="0" w:line="1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has completed or discontinued dosing with REGEN-COV in all COVID-19 treatment and prevention studies. However, the Company continues to progress "next generation" antibodies that are active against Omicron, Delta, and other variants of concern. Pending regulatory discussions, new therapeutic candidates could enter clinical development in the coming months.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REGEN-COV Treatment Study - Hospitalized Patients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Phase 3 UK-based RECOVERY trial in hospitalized patients with severe COVID-19 found that adding REGEN-COV to usual care reduced the risk of death by 20% in patients who had not mounted a natural antibody response on their own against SARS-CoV-2, compared to usual care alone. We were subsequently notified by the sponsor of the RECOVERY trial of a Good Clinical Practices ("GCPs") inspection of the trial by the UK MHRA, which found certain deviations from GCP compliance. The MHRA report stated that it found no evidence that the identified issues had impacted the overall data integrity to such an extent that the data would be unreliable based on those findings. However, it noted that certain aspects of data quality could not be fully assured and requested that certain corrective and preventative actions be taken; the sponsor of the trial has been in discussions with the MHRA and is responding to these findings. We have shared this information with the FDA.</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Company-sponsored Phase 2/3 study in hospitalized patients, REGEN-COV met the primary virologic endpoint, showing that REGEN-COV reduced viral load in these hospitalized patients, but did not achieve statistical significance in the pre-specified primary clinical endpoint: reduction in mechanical ventilation or death from day 6 to day 29 in patients with high viral load at baseline. However, the study showed a reduction in mechanical ventilation or death from day 1 to day 29 in all patients who were SARS-CoV-2 PCR-positive at baseline. In addition, an approximately 36% reduction in all-cause mortality was seen from day 1 to day 29, supporting the results of the RECOVERY trial.</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2021, the Company announced that a Phase 3 trial in patients hospitalized with COVID-19 met its primary endpoint. The trial showed that REGEN-COV significantly reduced viral load within 7 days of treatment in patients who entered the trial without having mounted their own antibody response (seronegative) and required low-flow or no supplemental oxygen. Patients who received REGEN-COV in this trial experienced a 36% reduced risk of death within 29 days of receiving treatment, and in patients who were seronegative when they entered the trial the risk of death was reduced by 56%.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REGEN-COV Prevention Study</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we announced positive results from the Phase 3 COVID-19 prevention trial in household contacts of SARS-CoV-2 infected individuals. The trial, which was jointly run with the NIAID, part of the NIH, met its primary and key secondary endpoints, showing that REGEN-COV 1,200 mg subcutaneous injection reduced the risk of symptomatic infections by 81% in those who were not infected.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we announced additional positive results from the Phase 3 COVID-19 prevention trial jointly run with the NIAID, showing the a single dose of REGEN-COV reduced the risk of contracting COVID-19 by 81.6% during the pre-specified follow-up period (months 2–8), maintaining the risk reduction reported during the first month after administration, which is described above.</w:t>
      </w:r>
    </w:p>
    <w:p>
      <w:pPr>
        <w:spacing w:after="0" w:line="116" w:lineRule="exact"/>
        <w:rPr>
          <w:sz w:val="20"/>
          <w:szCs w:val="20"/>
          <w:color w:val="auto"/>
        </w:rPr>
      </w:pPr>
    </w:p>
    <w:p>
      <w:pPr>
        <w:ind w:right="1620"/>
        <w:spacing w:after="0" w:line="414" w:lineRule="auto"/>
        <w:rPr>
          <w:sz w:val="20"/>
          <w:szCs w:val="20"/>
          <w:color w:val="auto"/>
        </w:rPr>
      </w:pPr>
      <w:r>
        <w:rPr>
          <w:rFonts w:ascii="Arial" w:cs="Arial" w:eastAsia="Arial" w:hAnsi="Arial"/>
          <w:sz w:val="18"/>
          <w:szCs w:val="18"/>
          <w:b w:val="1"/>
          <w:bCs w:val="1"/>
          <w:i w:val="1"/>
          <w:iCs w:val="1"/>
          <w:color w:val="auto"/>
        </w:rPr>
        <w:t xml:space="preserve">Descriptions of Marketed Products Studied in Additional Indications and Product Candidates in Late-Stage Clinical Development </w:t>
      </w:r>
      <w:r>
        <w:rPr>
          <w:rFonts w:ascii="Arial" w:cs="Arial" w:eastAsia="Arial" w:hAnsi="Arial"/>
          <w:sz w:val="18"/>
          <w:szCs w:val="18"/>
          <w:i w:val="1"/>
          <w:iCs w:val="1"/>
          <w:color w:val="auto"/>
        </w:rPr>
        <w:t>EYLEA (aflibercept)</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EYLEA (2 mg intravitreal injection) is a soluble fusion protein that acts as a vascular endothelial growth factor ("VEGF") inhibitor, formulated as an injection for the eye. It is designed to block the growth of new blood vessels and decrease the ability of fluid to pass through blood vessels (vascular permeability) in the eye by blocking VEGF-A and PLGF, two growth factors involved in angiogenesis.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Aflibercept 8 mg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Aflibercept 8 mg is an investigational soluble fusion protein that acts as a VEGF inhibitor (see related description under "EYLEA (aflibercept)" above).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This concentrated aflibercept formulation is being studied in wet AMD and DME, investigating dosing intervals of every 12 weeks and every 16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Dupixent (dupilumab)</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Dupixent is a fully human monoclonal antibody that inhibits signaling of the IL-4 and IL-13 pathways, and is not an immunosuppressant. IL-4 and IL-13 are key and central drivers of the type 2 inflammation that plays a major role in atopic dermatitis, asthma, and CRSwNP, and potentially other chronic allergic diseases.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Kevzara (sarilumab)</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Kevzara is a fully human monoclonal antibody that binds specifically to the IL-6 receptor and inhibits IL-6-mediated signaling. IL-6 is a signaling protein produced in increased quantities in patients with RA and has been associated with disease activity, joint destruction, and other systemic problems.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Itepekimab</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Itepekimab is an investigational, fully human monoclonal antibody that inhibits IL-33, a protein that is believed to play a key role in lung inflammation in COPD.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REGN1908-1909</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REGN1908-1909 is an investigational, novel cocktail of two fully human monoclonal immunoglobulin G antibodies that is designed to specifically bind and block the Fel d 1 allergen, thus preventing it from binding and triggering the endogenous antibodies that cause allergies (i.e., immunoglobulin E antibodies). Cat allergy is primarily caused by exposure to Fel d 1, the major allergen in cat dander produced by all cats.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REGN5713-5714-5715</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REGN5713-5714-5715 is an investigational combination of three fully human monoclonal antibodies designed to treat allergic inflammatory conditions caused by the allergen Betv1, which is the main allergen responsible for birch pollen allergies. Birch pollen allergy is one of the most common causes of seasonal allergies that occur in the spring, and is also believed to trigger "oral allergy syndrome" food reactions to related allergens found in nuts and fruits such as apples, pears, and cherries.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Libtayo (cemiplimab)</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Libtayo is a fully human monoclonal antibody targeting the immune checkpoint receptor PD-1 on T-cells. The PD-1/PD-L1 immune checkpoint pathway is a well-known mechanism by which cancers evade immune destruction. Regeneron is studying Libtayo as monotherapy and in combination with either conventional or novel therapeutic approaches in various solid tumors and blood cancers. It is also being studied in combination with proprietary anti-cancer assets of other companies.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Odronextamab</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Odronextamab is an investigational bispecific monoclonal antibody designed to bind to a component of the T-cell receptor ("TCR") complex (CD3), while also binding and bridging T-cells to a protein expressed on B-cells (CD20). We are studying whether odronextamab may help to activate T-cells via their CD3 receptors and trigger targeted, T-cell mediated killing of cancerous cells in several types of B-cell non-Hodgkin lymphoma.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REGN5458</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REGN5458 is an investigational bispecific monoclonal antibody designed to bind to CD3 while also binding and bridging T-cells to the BCMA protein on multiple myeloma cells. We are studying whether REGN5458 may help to activate T-cells via their CD3 receptors and trigger targeted, T-cell mediated killing of multiple myeloma.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Pozelimab</w:t>
      </w:r>
    </w:p>
    <w:p>
      <w:pPr>
        <w:spacing w:after="0" w:line="15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Pozelimab is an investigational, fully human monoclonal antibody designed to block complement factor C5 in order to treat diseases mediated by abnormal complement pathway activity, including PNH, CD55-deficient protein-losing enteropathy, and myasthenia gravis. Pozelimab is being studied as monotherapy and also in combination with Alnylam’s investigational siRNA therapy, cemdisiran.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REGEN-COV is an investigational cocktail of two fully human monoclonal antibodies designed to prevent and treat infection from the SARS-CoV-2 virus. The two potent, virus-neutralizing antibodies that form the cocktail bind non-competitively to the critical receptor binding domain of the virus's spike protein.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Praluent (alirocumab)</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Praluent is a fully human monoclonal antibody that inhibits the binding of PCSK9 to the LDL receptor. Through inhibiting PCSK9, Praluent increases the number of available LDL receptors on the surface of liver cells to clear LDL, which lowers LDL cholesterol levels in the blood.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Fasinumab is an investigational, fully human monoclonal antibody that targets NGF, a protein that plays a central role in the regulation of pain signaling, and is a potential new way to manage pain without resorting to opioids.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Evkeeza (evinacumab)</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Evkeeza is a fully human monoclonal antibody that specifically binds to and blocks ANGPTL3. ANGPTL3 plays a key role in regulating plasma lipid levels, including triglycerides, LDL cholesterol, and HDL cholesterol, through inhibition of lipase enzymes (lipoprotein lipase and endothelial lipase).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diseases related to aging, and rare diseases.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ZALTRAP, and ARCALYST are drugs generated using our Trap technology.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our second technology platform, which is used for discovering, developing, and producing fully human antibodies that can address both</w:t>
      </w:r>
      <w:r>
        <w:rPr>
          <w:rFonts w:ascii="Arial" w:cs="Arial" w:eastAsia="Arial" w:hAnsi="Arial"/>
          <w:sz w:val="18"/>
          <w:szCs w:val="18"/>
          <w:i w:val="1"/>
          <w:iCs w:val="1"/>
          <w:color w:val="auto"/>
        </w:rPr>
        <w:t xml:space="preserve"> </w:t>
      </w:r>
      <w:r>
        <w:rPr>
          <w:rFonts w:ascii="Arial" w:cs="Arial" w:eastAsia="Arial" w:hAnsi="Arial"/>
          <w:sz w:val="18"/>
          <w:szCs w:val="18"/>
          <w:color w:val="auto"/>
        </w:rPr>
        <w:t>secreted and cell-surface targets.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VelociSuite </w:t>
      </w:r>
      <w:r>
        <w:rPr>
          <w:rFonts w:ascii="Arial" w:cs="Arial" w:eastAsia="Arial" w:hAnsi="Arial"/>
          <w:sz w:val="17"/>
          <w:szCs w:val="17"/>
          <w:color w:val="auto"/>
        </w:rPr>
        <w:t>consists of</w:t>
      </w:r>
      <w:r>
        <w:rPr>
          <w:rFonts w:ascii="Arial" w:cs="Arial" w:eastAsia="Arial" w:hAnsi="Arial"/>
          <w:sz w:val="17"/>
          <w:szCs w:val="17"/>
          <w:i w:val="1"/>
          <w:iCs w:val="1"/>
          <w:color w:val="auto"/>
        </w:rPr>
        <w:t xml:space="preserve"> VelocImmune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VelociGene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VelociMouse</w:t>
      </w:r>
      <w:r>
        <w:rPr>
          <w:rFonts w:ascii="Arial" w:cs="Arial" w:eastAsia="Arial" w:hAnsi="Arial"/>
          <w:sz w:val="22"/>
          <w:szCs w:val="22"/>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VelociMab</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Veloci-Bi</w:t>
      </w:r>
      <w:r>
        <w:rPr>
          <w:rFonts w:ascii="Arial" w:cs="Arial" w:eastAsia="Arial" w:hAnsi="Arial"/>
          <w:sz w:val="22"/>
          <w:szCs w:val="22"/>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VelociT</w:t>
      </w:r>
      <w:r>
        <w:rPr>
          <w:rFonts w:ascii="Arial" w:cs="Arial" w:eastAsia="Arial" w:hAnsi="Arial"/>
          <w:sz w:val="22"/>
          <w:szCs w:val="22"/>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VelociHum</w:t>
      </w:r>
      <w:r>
        <w:rPr>
          <w:rFonts w:ascii="Arial" w:cs="Arial" w:eastAsia="Arial" w:hAnsi="Arial"/>
          <w:sz w:val="22"/>
          <w:szCs w:val="22"/>
          <w:color w:val="auto"/>
          <w:vertAlign w:val="superscript"/>
        </w:rPr>
        <w:t>®</w:t>
      </w:r>
      <w:r>
        <w:rPr>
          <w:rFonts w:ascii="Arial" w:cs="Arial" w:eastAsia="Arial" w:hAnsi="Arial"/>
          <w:sz w:val="17"/>
          <w:szCs w:val="17"/>
          <w:color w:val="auto"/>
        </w:rPr>
        <w:t>, and other related technologies. The</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mouse platform is utilized to produce fully human antibodies.</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was generated by leveraging our</w:t>
      </w:r>
      <w:r>
        <w:rPr>
          <w:rFonts w:ascii="Arial" w:cs="Arial" w:eastAsia="Arial" w:hAnsi="Arial"/>
          <w:sz w:val="17"/>
          <w:szCs w:val="17"/>
          <w:i w:val="1"/>
          <w:iCs w:val="1"/>
          <w:color w:val="auto"/>
        </w:rPr>
        <w:t xml:space="preserve"> VelociGene </w:t>
      </w:r>
      <w:r>
        <w:rPr>
          <w:rFonts w:ascii="Arial" w:cs="Arial" w:eastAsia="Arial" w:hAnsi="Arial"/>
          <w:sz w:val="17"/>
          <w:szCs w:val="17"/>
          <w:color w:val="auto"/>
        </w:rPr>
        <w:t>technology (see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below), in a process in which six megabases of mouse immune gene loci were replaced, or "humanized," with corresponding human immune gene loci.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mice can be used efficiently to generate fully human antibodies to targets of therapeutic interest.</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and our entire</w:t>
      </w:r>
      <w:r>
        <w:rPr>
          <w:rFonts w:ascii="Arial" w:cs="Arial" w:eastAsia="Arial" w:hAnsi="Arial"/>
          <w:sz w:val="17"/>
          <w:szCs w:val="17"/>
          <w:i w:val="1"/>
          <w:iCs w:val="1"/>
          <w:color w:val="auto"/>
        </w:rPr>
        <w:t xml:space="preserve"> VelociSuite </w:t>
      </w:r>
      <w:r>
        <w:rPr>
          <w:rFonts w:ascii="Arial" w:cs="Arial" w:eastAsia="Arial" w:hAnsi="Arial"/>
          <w:sz w:val="17"/>
          <w:szCs w:val="17"/>
          <w:color w:val="auto"/>
        </w:rPr>
        <w:t>offer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potential to increase the speed and efficiency through which human antibody therapeutics may be discovered and validated, thereby improving the overall efficiency of our early stage drug development activities. We are utilizing the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produce our next generation of therapeutic antibody drug candidates for preclinical and clinical development.</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platform allows custom and precise manipulation of very large sequences of DNA to produce highly customized alterations of a specified target gene, or genes, and accelerates the production of knock-out and transgenic expression models.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offers the opportunity to humanize targets by replacing the mouse gene with the human homolog. Thus,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allows scientists to rapidly identify the physical and biological effects of deleting or over-expressing the target gene, as well as to characterize and test potential therapeutic molecules.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VelociMab </w:t>
      </w:r>
      <w:r>
        <w:rPr>
          <w:rFonts w:ascii="Arial" w:cs="Arial" w:eastAsia="Arial" w:hAnsi="Arial"/>
          <w:sz w:val="18"/>
          <w:szCs w:val="18"/>
          <w:color w:val="auto"/>
        </w:rPr>
        <w:t>platform for the rapid screening of antibodies and rapid generation of expression cell lines for our Traps and our</w:t>
      </w:r>
      <w:r>
        <w:rPr>
          <w:rFonts w:ascii="Arial" w:cs="Arial" w:eastAsia="Arial" w:hAnsi="Arial"/>
          <w:sz w:val="18"/>
          <w:szCs w:val="18"/>
          <w:i w:val="1"/>
          <w:iCs w:val="1"/>
          <w:color w:val="auto"/>
        </w:rPr>
        <w:t xml:space="preserve"> VelocImmune </w:t>
      </w:r>
      <w:r>
        <w:rPr>
          <w:rFonts w:ascii="Arial" w:cs="Arial" w:eastAsia="Arial" w:hAnsi="Arial"/>
          <w:sz w:val="18"/>
          <w:szCs w:val="18"/>
          <w:color w:val="auto"/>
        </w:rPr>
        <w:t>human</w:t>
      </w:r>
      <w:r>
        <w:rPr>
          <w:rFonts w:ascii="Arial" w:cs="Arial" w:eastAsia="Arial" w:hAnsi="Arial"/>
          <w:sz w:val="18"/>
          <w:szCs w:val="18"/>
          <w:i w:val="1"/>
          <w:iCs w:val="1"/>
          <w:color w:val="auto"/>
        </w:rPr>
        <w:t xml:space="preserve"> </w:t>
      </w:r>
      <w:r>
        <w:rPr>
          <w:rFonts w:ascii="Arial" w:cs="Arial" w:eastAsia="Arial" w:hAnsi="Arial"/>
          <w:sz w:val="18"/>
          <w:szCs w:val="18"/>
          <w:color w:val="auto"/>
        </w:rPr>
        <w:t>antibodies.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w:t>
      </w:r>
      <w:r>
        <w:rPr>
          <w:rFonts w:ascii="Arial" w:cs="Arial" w:eastAsia="Arial" w:hAnsi="Arial"/>
          <w:sz w:val="17"/>
          <w:szCs w:val="17"/>
          <w:i w:val="1"/>
          <w:iCs w:val="1"/>
          <w:color w:val="auto"/>
        </w:rPr>
        <w:t>Veloci-Bi</w:t>
      </w:r>
      <w:r>
        <w:rPr>
          <w:rFonts w:ascii="Arial" w:cs="Arial" w:eastAsia="Arial" w:hAnsi="Arial"/>
          <w:sz w:val="17"/>
          <w:szCs w:val="17"/>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We are exploring additional indications and applications for our bispecific technologies, including a new class of CD28 and 4-1BB costimulatory bispecifics.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VelociT</w:t>
      </w:r>
      <w:r>
        <w:rPr>
          <w:rFonts w:ascii="Arial" w:cs="Arial" w:eastAsia="Arial" w:hAnsi="Arial"/>
          <w:sz w:val="18"/>
          <w:szCs w:val="18"/>
          <w:color w:val="auto"/>
        </w:rPr>
        <w:t xml:space="preserve"> mouse extends our research and drug discovery capabilities into cell-mediated immunity and therapeutic TCRs for oncology and other indications. </w:t>
      </w:r>
      <w:r>
        <w:rPr>
          <w:rFonts w:ascii="Arial" w:cs="Arial" w:eastAsia="Arial" w:hAnsi="Arial"/>
          <w:sz w:val="18"/>
          <w:szCs w:val="18"/>
          <w:i w:val="1"/>
          <w:iCs w:val="1"/>
          <w:color w:val="auto"/>
        </w:rPr>
        <w:t>VelociT</w:t>
      </w:r>
      <w:r>
        <w:rPr>
          <w:rFonts w:ascii="Arial" w:cs="Arial" w:eastAsia="Arial" w:hAnsi="Arial"/>
          <w:sz w:val="18"/>
          <w:szCs w:val="18"/>
          <w:color w:val="auto"/>
        </w:rPr>
        <w:t xml:space="preserve"> was developed by using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to humanize genes encoding TCRα and TCRβ variable sequences, CD4 and CD8 co-receptors, β2m, and class-I and -II major histocompatibility complexes. As a result, </w:t>
      </w:r>
      <w:r>
        <w:rPr>
          <w:rFonts w:ascii="Arial" w:cs="Arial" w:eastAsia="Arial" w:hAnsi="Arial"/>
          <w:sz w:val="18"/>
          <w:szCs w:val="18"/>
          <w:i w:val="1"/>
          <w:iCs w:val="1"/>
          <w:color w:val="auto"/>
        </w:rPr>
        <w:t>VelociT</w:t>
      </w:r>
      <w:r>
        <w:rPr>
          <w:rFonts w:ascii="Arial" w:cs="Arial" w:eastAsia="Arial" w:hAnsi="Arial"/>
          <w:sz w:val="18"/>
          <w:szCs w:val="18"/>
          <w:color w:val="auto"/>
        </w:rPr>
        <w:t xml:space="preserve"> mice generate fully human TCRs, providing for customized modeling of T-cell function in different diseases and a powerful platform for the discovery of unique TCR-based therapies. We are also able to produce antibodies that recognize intracellular peptides bound in the groove of human leukocyte antigen ("HLA"), enabling the targeting of intracellular proteins in cancer cells.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VelociHum </w:t>
      </w:r>
      <w:r>
        <w:rPr>
          <w:rFonts w:ascii="Arial" w:cs="Arial" w:eastAsia="Arial" w:hAnsi="Arial"/>
          <w:sz w:val="17"/>
          <w:szCs w:val="17"/>
          <w:color w:val="auto"/>
        </w:rPr>
        <w:t>is our immunodeficient mouse platform that can be used to accurately test human therapeutics against human immune cells and to study human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tumor models. Through genetic humanizations, </w:t>
      </w:r>
      <w:r>
        <w:rPr>
          <w:rFonts w:ascii="Arial" w:cs="Arial" w:eastAsia="Arial" w:hAnsi="Arial"/>
          <w:sz w:val="17"/>
          <w:szCs w:val="17"/>
          <w:i w:val="1"/>
          <w:iCs w:val="1"/>
          <w:color w:val="auto"/>
        </w:rPr>
        <w:t>VelociHum</w:t>
      </w:r>
      <w:r>
        <w:rPr>
          <w:rFonts w:ascii="Arial" w:cs="Arial" w:eastAsia="Arial" w:hAnsi="Arial"/>
          <w:sz w:val="17"/>
          <w:szCs w:val="17"/>
          <w:color w:val="auto"/>
        </w:rPr>
        <w:t xml:space="preserve"> mice have been optimized to allow for better development of human immune cells </w:t>
      </w:r>
      <w:r>
        <w:rPr>
          <w:rFonts w:ascii="Arial" w:cs="Arial" w:eastAsia="Arial" w:hAnsi="Arial"/>
          <w:sz w:val="17"/>
          <w:szCs w:val="17"/>
          <w:i w:val="1"/>
          <w:iCs w:val="1"/>
          <w:color w:val="auto"/>
        </w:rPr>
        <w:t>in vivo</w:t>
      </w:r>
      <w:r>
        <w:rPr>
          <w:rFonts w:ascii="Arial" w:cs="Arial" w:eastAsia="Arial" w:hAnsi="Arial"/>
          <w:sz w:val="17"/>
          <w:szCs w:val="17"/>
          <w:color w:val="auto"/>
        </w:rPr>
        <w:t>, as well as to allow for engraftment of primary patient-derived tumors that do not take in other commercially available mice.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Genetics Center</w:t>
      </w:r>
      <w:r>
        <w:rPr>
          <w:rFonts w:ascii="Arial" w:cs="Arial" w:eastAsia="Arial" w:hAnsi="Arial"/>
          <w:sz w:val="23"/>
          <w:szCs w:val="23"/>
          <w:b w:val="1"/>
          <w:bCs w:val="1"/>
          <w:color w:val="auto"/>
          <w:vertAlign w:val="superscript"/>
        </w:rPr>
        <w:t>®</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Regeneron Genetics Center (RGC</w:t>
      </w:r>
      <w:r>
        <w:rPr>
          <w:rFonts w:ascii="Arial" w:cs="Arial" w:eastAsia="Arial" w:hAnsi="Arial"/>
          <w:sz w:val="20"/>
          <w:szCs w:val="20"/>
          <w:color w:val="auto"/>
          <w:vertAlign w:val="superscript"/>
        </w:rPr>
        <w:t>™</w:t>
      </w:r>
      <w:r>
        <w:rPr>
          <w:rFonts w:ascii="Arial" w:cs="Arial" w:eastAsia="Arial" w:hAnsi="Arial"/>
          <w:sz w:val="16"/>
          <w:szCs w:val="16"/>
          <w:color w:val="auto"/>
        </w:rPr>
        <w:t>), a wholly owned subsidiary of Regeneron Pharmaceuticals, Inc.,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and to advance innovation in clinical care design. RGC is undertaking multiple collaborative approaches to study design and implementation, including large population-based efforts as well as family- and founder-based approaches. RGC utilizes laboratory automation and innovative approaches to cloud computing to achieve high-quality throughput.</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Central to the work of RGC is the portfolio of collaborations with over 100 academic and clinical collaborators around the world, including the University of Colorado, Geisinger Health System, Mayo Clinic, University of Pennsylvania, UCLA Medical Center, UK Biobank, and the University of Helsinki. These collaborations provide access to biological samples and associated phenotype data from consented patient volunteers for purposes of genomic research. RGC undertakes genetic sequencing of these samples to create a unique resource of de-identified genetic data and associated phenotype data for research. Furthermore, the RGC has deployed bulk RNA sequencing, whole genome sequencing, and an O-LINK proteomic assay to complement whole exome sequencing and genotyping. In addition, the RGC leverages organoid models, silencing RNA ("siRNA"), and CRISPR knockout models to validate genetic associations that lead to new therapeutic targets. The RGC continues to publish results from its research efforts in journals and publications in collaboration with its collaborators to advance the field of genomics.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These efforts at the RGC have led to the identification of more than 10 novel genetic targets. Through our Regeneron Genetics Medicines initiative, we are currently advancing these targets using either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or other technologies, such as siRNA gene silencing, genome editing, and targeted viral-based gene delivery and expression. See the "Collaboration, License, and Other Agreements" section below for descriptions of our collaborations with Alnylam and Intellia.</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Related to COVID-19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the Company announced an expansion of its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1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July 2020, the Company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1.25 million doses of drug product, resulting in payments to the Company of $2.625 billion (as described under "Products - REGEN-COV - Emergency and Temporary Use Authorizations" above).</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2021, the Company announced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Additionally, Roche supplied a portion of the doses to Regeneron to fulfill our agreement with the U.S. government (see "Roche" section below for further details regarding our collaboration agreement with Roche).</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the Company had completed its final deliveries of drug product under the agreements described above. See "Results of Operations - Revenues" below for REGEN-COV net product sales recognized in connection with these agreements.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August 2020, we entered into a collaboration agreement with Roche to develop, manufacture, and distribute the casirivimab and imdevimab antibody cocktail.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License, and Other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collaborating with Sanofi on the global development and commercialization of Dupixent, Kevzara, and itepekimab (the "Antibody Collaboration"). Under the terms of the Antibody License and Collaboration Agreement (the "LCA"), Sanofi is generally responsible for funding 80%–100% of agreed-upon development costs. We are obligated to reimburse Sanofi for 30%–50% of worldwide development expenses that were funded by Sanofi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each of 2020 and 2021, the Company earned a $50.0 million sales-based milestone from Sanofi, upon aggregate annual sales of antibodies outside the United States (including Praluent) exceeding $1.0 billion and $1.5 billion, respectively, on a rolling twelve-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month basis. We are entitled to receive up to an aggregate of $150.0 million in additional sales milestone payments from Sanofi, which includes the next sales milestone payment of $50.0 million that would be earned when such sales outside the United States exceed $2.0 billion on a rolling twelve-month basis.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collaborating with Sanofi on the development and commercialization of antibody-based cancer treatments in the field of immuno-oncology (the "IO Collaboration").</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December 31, 2018, the Company and Sanofi entered into an Amended and Restated Immuno-oncology Discovery and Development Agreement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among other things, Sanofi's prepayment for certain IO Development Activities regarding the BCMAxCD3 Program and the MUC16xCD3 Program. Under the terms of the Amended IO Discovery Agreement, the Company was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regard to the BCMAxCD3 Program and the MUC16xCD3 Program, when the applicable Program Costs Cap was reached, Sanofi had the option to license rights to the product candidate and other antibodies targeting the same targets for, with regard to BCMAxCD3, immuno-oncology indications, and with regard to MUC16xCD3, all indications, pursuant to the Immuno-oncology License and Collaboration Agreement (the "IO License and Collaboration Agreement"), as amended. During the first quarter of 2021, Sanofi did not exercise its options to license rights to these product candidates; as a result, we retain the exclusive right to develop and commercialize such product candidates and Sanofi will receive a royalty on sales (if any).</w:t>
      </w:r>
    </w:p>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IO License and Collaboration Agreement, the parties are co-developing and co-commercializing Libtayo. We have principal control over the development of Libtayo, and the parties share equally, on an ongoing basis, development and commercialization expenses for Libtayo. 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Libtayo equal or exceed $2.0 billion in any consecutive twelve-month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and aflibercept 8 mg outside the 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Bayer are parties to a license and collaboration agreement for the global development and commercialization of EYLEA and aflibercept 8 mg outside the United States. All agreed-upon development expenses incurred by the Company and Bayer are shared equally. Bayer markets EYLEA outside the United States, where, for countries other than Japan, the companies share equally in profits and losses from sales. In Japan, we were entitled to receive a tiered percentage of between 33.5% and 40.0% of EYLEA net sales through 2021, and thereafter, the companies share equally in profits and losses from sales.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and are entitled to all profits from such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December 31, 2021, we had received an aggregate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Odronextamab (REGN1979)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entered into an agreement with Zai Lab Limited to develop and commercialize odronextamab in mainland China, Hong Kong, Taiwan, and Macau (the "Zai Territories"). In connection with the agreement, Zai made a $30.0 million non-refundable up-front payment to the Company. We continue to lead global development activities for odronextamab, and Zai is responsible for funding a portion of the global development costs for certain clinical trials.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responsible for the manufacture and supply of clinical and commercial product of odronextamab to Zai. If odronextamab is commercialized in the Zai Territories, we will supply the product to Zai at a tiered purchase price, which is calculated as a percentage of net sales of the product (subject to adjustment in certain circumstances), and we are eligible to receive up to $160.0 million in additional regulatory and sales milestone payments.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the lead party for all future development.</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and CNS programs.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Investigational New Drug Applications ("INDs") (or their equivalent in certain other countries) for programs in the eye and CNS.</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Co-Commercialization Collaboration Agreement, in which case the lead party is required to take the program forward under the Co-Commercialization Collaboration Agreement structure. Alnylam does not have rights to opt-in to a Co-Commercialization Collaboration Agreement for eye programs.</w:t>
      </w:r>
    </w:p>
    <w:p>
      <w:pPr>
        <w:spacing w:after="0" w:line="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as well as certain tiered royalty payments to the licensor based on the aggregate annual net sales of the collaboration product.</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CNS programs and liver programs, as soon as a party is designated as a lead party, the other company has rights to opt-in to a Co-Commercialization Collaboration Agreement as a participating party. Under a Co-Commercialization Collaboration Agreement, the party designated as the lead party will lead development and commercialization of the program and the parties will split profits and share costs equally, subject to certain co-funding opt-outs at specified clinical trial phases or under other conditions. If a party exercises its co-funding opt-out right, the lead party will be required to make certain tiered royalty payments to the other party based on the aggregate annual net sales of the collaboration product and the timing of the exercise of the co-funding opt-out right. If the non-lead party does not initially opt-in to a Co-Commercialization Collaboration Agreement, the lead party has the right to take the program forward under a License Agreement structure.</w:t>
      </w: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collaboration, when we are the licensee under a License Agreement or the lead party under a Co-Commercialization Collaboration Agreement, Alnylam will be responsible for the manufacture and supply of the product to us for Phase 1 and Phase 2 clinical trials.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collaboration, we also purchased shares of Alnylam common stock for aggregate cash consideration of $400.0 million.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the parties entered into a Co-Commercialization Collaboration Agreement for an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sales milestones.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NTLA-2001, which is in clinical development, is subject to a co-development and co-commercialization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Intellia will lead development and commercialization activities and the parties share an agreed-upon percentage of development expenses and profits (if commercialized).</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2020, we expanded our existing collaboration with Intellia Therapeutics, Inc. to provide us with rights to develop products for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In connection with the May 2020 agreement, we made a $70.0 million up-front payment and purchased shares of Intellia common stock for an aggregate purchase price of $30.0 million.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"Agreements Related to COVID-19 - U.S. Government" section above for information related to our COVID-19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Kiniksa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ARCALYST</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described under "Products" above, pursuant to a 2017 license agreement, we granted Kiniksa Pharmaceuticals, Ltd. the right to develop and commercialize certain new indications for ARCALYST. During the first quarter of 2021, Kiniksa received marketing approval in the United States for a new indication of ARCALYST, recurrent pericarditis, and, as a result, we received a $20.0 million milestone payment from Kiniksa. The quarterly period ended March 31, 2021 was the last quarter for which the Company recorded net product sales of ARCALYST.</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Ultragenyx</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under "Products" above, in January 2022 we entered into a license and collaboration agreement for Ultragenyx Pharmaceutical Inc. to develop and commercialize Evkeeza in countries outside of the United States. In connection with the agreement, Ultragenyx made a $30.0 million non-refundable up-front payment to the Company. Ultragenyx will share in certain costs for global trials led by the Company and also have the right to continue to clinically develop Evkeeza in countries outside of the U.S. We will supply commercial product to Ultragenyx at a tiered purchase price, which is calculated as a percentage of net sales of the product (subject to adjustment in certain circumstances), and are eligible to receive additional regulatory and sales milestone payments.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also granted Ultragenyx an exclusive option to negotiate a separate agreement to collaborate on the development and commercialization of garetosmab outside of the United States under terms to be agreed upon by both companies.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manufacture bulk drug materials and products at our manufacturing facilities in Rensselaer, New York and Limerick, Ireland. These facilities consist of owned and leased research, manufacturing, office, laboratory, and warehouse space. In addition, during 2022, we expect to continue the construction of a fill/finish facility in Rensselaer, New York.</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approximately 100,000 liters of cell culture capacity at our Rensselaer facility, and are approved by the FDA and other regulatory agencies to manufacture our bulk drug materials and products. In addition, we currently have approximately 130,000 liters of cell culture capacity at our Limerick facility which has received certain manufacturing approvals by regulatory agencies, including the FDA.</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medicines are marketed through our commercial group, which includes experienced professionals in the fields of marketing, professional education, patient education, reimbursement and market access, trade and distribution, commercial operations, commercial analytics, market research, and forecasting.</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our marketed products in the United States primarily to wholesalers and specialty distributors that serve pharmacies, hospitals, government agencies, physicians, and other healthcare providers. We had sales to two customers (Besse Medical, a subsidiary of AmerisourceBergen Corporation, and McKesson Corporation) that each accounted for more than 10% of total gross product revenue for the year ended December 31, 2021. On a combined basis, our product sales to these customers accounted for 48% of our total gross product revenue for the year ended December 31, 2021. We promote approved medicines to healthcare professionals via our team of U.S.-based field employees, as well as medical journals, medical exhibitions, distribution of literature and samples, and online channels. In addition, we advertise certain products directly to U.S. consumers and maintain websites with information about our medicines. The commercial group also evaluates opportunities for our targets and product candidates and prepares for market launches of new medicines.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are a party to several collaboration agreements, whereby our collaborator is responsible for recording product sales of certain products either solely outside the United States or globally. We have exercised our option to co-commercialize some products in accordance with such collaboration agreements. Refer to "Collaboration, License, and Other Agreements" section above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substantial competition from pharmaceutical, biotechnology, and chemical companies. Our ability to compete depends, to a great extent, on how fast we can develop safe and effective product candidates, complete clinical testing and approval processes, and supply commercial quantities of the product to the market. Competition among products approved for sale is based on efficacy, safety, reliability, availability, price, patent position, and other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table below provides an overview of the current competitive landscape for the key products marketed by us and/or our collaborators under our collaboration agreements with them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 products and product candidates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competition.</w:t>
      </w:r>
      <w:r>
        <w:rPr>
          <w:rFonts w:ascii="Arial" w:cs="Arial" w:eastAsia="Arial" w:hAnsi="Arial"/>
          <w:sz w:val="18"/>
          <w:szCs w:val="18"/>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 w:type="dxa"/>
            <w:vAlign w:val="bottom"/>
          </w:tcPr>
          <w:p>
            <w:pPr>
              <w:spacing w:after="0"/>
              <w:rPr>
                <w:sz w:val="23"/>
                <w:szCs w:val="23"/>
                <w:color w:val="auto"/>
              </w:rPr>
            </w:pPr>
          </w:p>
        </w:tc>
        <w:tc>
          <w:tcPr>
            <w:tcW w:w="2000" w:type="dxa"/>
            <w:vAlign w:val="bottom"/>
          </w:tcPr>
          <w:p>
            <w:pPr>
              <w:ind w:left="300"/>
              <w:spacing w:after="0"/>
              <w:rPr>
                <w:sz w:val="20"/>
                <w:szCs w:val="20"/>
                <w:color w:val="auto"/>
              </w:rPr>
            </w:pPr>
            <w:r>
              <w:rPr>
                <w:rFonts w:ascii="Arial" w:cs="Arial" w:eastAsia="Arial" w:hAnsi="Arial"/>
                <w:sz w:val="18"/>
                <w:szCs w:val="18"/>
                <w:b w:val="1"/>
                <w:bCs w:val="1"/>
                <w:color w:val="auto"/>
              </w:rPr>
              <w:t>Marketed Product</w:t>
            </w:r>
          </w:p>
        </w:tc>
        <w:tc>
          <w:tcPr>
            <w:tcW w:w="120" w:type="dxa"/>
            <w:vAlign w:val="bottom"/>
          </w:tcPr>
          <w:p>
            <w:pPr>
              <w:spacing w:after="0"/>
              <w:rPr>
                <w:sz w:val="23"/>
                <w:szCs w:val="23"/>
                <w:color w:val="auto"/>
              </w:rPr>
            </w:pPr>
          </w:p>
        </w:tc>
        <w:tc>
          <w:tcPr>
            <w:tcW w:w="2480" w:type="dxa"/>
            <w:vAlign w:val="bottom"/>
          </w:tcPr>
          <w:p>
            <w:pPr>
              <w:ind w:left="460"/>
              <w:spacing w:after="0"/>
              <w:rPr>
                <w:sz w:val="20"/>
                <w:szCs w:val="20"/>
                <w:color w:val="auto"/>
              </w:rPr>
            </w:pPr>
            <w:r>
              <w:rPr>
                <w:rFonts w:ascii="Arial" w:cs="Arial" w:eastAsia="Arial" w:hAnsi="Arial"/>
                <w:sz w:val="18"/>
                <w:szCs w:val="18"/>
                <w:b w:val="1"/>
                <w:bCs w:val="1"/>
                <w:color w:val="auto"/>
              </w:rPr>
              <w:t>Competitor Product</w:t>
            </w:r>
          </w:p>
        </w:tc>
        <w:tc>
          <w:tcPr>
            <w:tcW w:w="100" w:type="dxa"/>
            <w:vAlign w:val="bottom"/>
          </w:tcPr>
          <w:p>
            <w:pPr>
              <w:spacing w:after="0"/>
              <w:rPr>
                <w:sz w:val="23"/>
                <w:szCs w:val="23"/>
                <w:color w:val="auto"/>
              </w:rPr>
            </w:pPr>
          </w:p>
        </w:tc>
        <w:tc>
          <w:tcPr>
            <w:tcW w:w="2500" w:type="dxa"/>
            <w:vAlign w:val="bottom"/>
            <w:gridSpan w:val="2"/>
          </w:tcPr>
          <w:p>
            <w:pPr>
              <w:ind w:left="760"/>
              <w:spacing w:after="0"/>
              <w:rPr>
                <w:sz w:val="20"/>
                <w:szCs w:val="20"/>
                <w:color w:val="auto"/>
              </w:rPr>
            </w:pPr>
            <w:r>
              <w:rPr>
                <w:rFonts w:ascii="Arial" w:cs="Arial" w:eastAsia="Arial" w:hAnsi="Arial"/>
                <w:sz w:val="18"/>
                <w:szCs w:val="18"/>
                <w:b w:val="1"/>
                <w:bCs w:val="1"/>
                <w:color w:val="auto"/>
              </w:rPr>
              <w:t>Competitor</w:t>
            </w:r>
          </w:p>
        </w:tc>
        <w:tc>
          <w:tcPr>
            <w:tcW w:w="20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Indication</w:t>
            </w:r>
          </w:p>
        </w:tc>
        <w:tc>
          <w:tcPr>
            <w:tcW w:w="1900" w:type="dxa"/>
            <w:vAlign w:val="bottom"/>
            <w:gridSpan w:val="2"/>
          </w:tcPr>
          <w:p>
            <w:pPr>
              <w:ind w:left="50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EYLEA</w:t>
            </w:r>
          </w:p>
        </w:tc>
        <w:tc>
          <w:tcPr>
            <w:tcW w:w="12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Lucentis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(ranibizumab injection)</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Novartis AG and</w:t>
            </w:r>
          </w:p>
        </w:tc>
        <w:tc>
          <w:tcPr>
            <w:tcW w:w="12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6"/>
              </w:rPr>
              <w:t>Wet AMD, DME, macular</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Worldwide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Genentech/Roche</w:t>
            </w: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edema following RVO</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(including CRVO and</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BRVO), diabetic</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retinopathy, mCNV, and</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Byooviz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(ranibizumab-nuna)</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ROP</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Samsung Bioepis Co.,</w:t>
            </w: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Wet AMD, DME, macular</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United States, EU</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(biosimilar referencing Lucentis)</w:t>
            </w:r>
          </w:p>
        </w:tc>
        <w:tc>
          <w:tcPr>
            <w:tcW w:w="10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Ltd./Biogen Inc.</w:t>
            </w: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edema following RVO</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(including CRVO and</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BRVO), diabetic</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Susvimo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(ranibizumab ocular</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retinopathy, and mCNV</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Genentech/Roche</w:t>
            </w:r>
          </w:p>
        </w:tc>
        <w:tc>
          <w:tcPr>
            <w:tcW w:w="2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Wet AMD</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implant)</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Vabysmo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(faricimab-svoa)</w:t>
            </w:r>
          </w:p>
        </w:tc>
        <w:tc>
          <w:tcPr>
            <w:tcW w:w="10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Genentech/Roche</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Wet AMD, DME</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Avastin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(bevacizumab) (off-</w:t>
            </w:r>
          </w:p>
        </w:tc>
        <w:tc>
          <w:tcPr>
            <w:tcW w:w="10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Genentech/Roche</w:t>
            </w: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Wet AMD, DME, and</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Worldwide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label and repackaged)</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macular edema following</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RVO</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gridSpan w:val="2"/>
          </w:tcPr>
          <w:p>
            <w:pPr>
              <w:ind w:left="8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ind w:left="280"/>
              <w:spacing w:after="0"/>
              <w:rPr>
                <w:sz w:val="20"/>
                <w:szCs w:val="20"/>
                <w:color w:val="auto"/>
              </w:rPr>
            </w:pPr>
            <w:r>
              <w:rPr>
                <w:rFonts w:ascii="Arial" w:cs="Arial" w:eastAsia="Arial" w:hAnsi="Arial"/>
                <w:sz w:val="18"/>
                <w:szCs w:val="18"/>
                <w:b w:val="1"/>
                <w:bCs w:val="1"/>
                <w:color w:val="auto"/>
              </w:rPr>
              <w:t>Marketed Product</w:t>
            </w:r>
          </w:p>
        </w:tc>
        <w:tc>
          <w:tcPr>
            <w:tcW w:w="100" w:type="dxa"/>
            <w:vAlign w:val="bottom"/>
          </w:tcPr>
          <w:p>
            <w:pPr>
              <w:spacing w:after="0"/>
              <w:rPr>
                <w:sz w:val="17"/>
                <w:szCs w:val="17"/>
                <w:color w:val="auto"/>
              </w:rPr>
            </w:pPr>
          </w:p>
        </w:tc>
        <w:tc>
          <w:tcPr>
            <w:tcW w:w="250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Competitor Product</w:t>
            </w:r>
          </w:p>
        </w:tc>
        <w:tc>
          <w:tcPr>
            <w:tcW w:w="100" w:type="dxa"/>
            <w:vAlign w:val="bottom"/>
          </w:tcPr>
          <w:p>
            <w:pPr>
              <w:spacing w:after="0"/>
              <w:rPr>
                <w:sz w:val="17"/>
                <w:szCs w:val="17"/>
                <w:color w:val="auto"/>
              </w:rPr>
            </w:pPr>
          </w:p>
        </w:tc>
        <w:tc>
          <w:tcPr>
            <w:tcW w:w="23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Competitor</w:t>
            </w:r>
          </w:p>
        </w:tc>
        <w:tc>
          <w:tcPr>
            <w:tcW w:w="120" w:type="dxa"/>
            <w:vAlign w:val="bottom"/>
          </w:tcPr>
          <w:p>
            <w:pPr>
              <w:spacing w:after="0"/>
              <w:rPr>
                <w:sz w:val="17"/>
                <w:szCs w:val="17"/>
                <w:color w:val="auto"/>
              </w:rPr>
            </w:pPr>
          </w:p>
        </w:tc>
        <w:tc>
          <w:tcPr>
            <w:tcW w:w="206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Indication</w:t>
            </w:r>
          </w:p>
        </w:tc>
        <w:tc>
          <w:tcPr>
            <w:tcW w:w="18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30"/>
        </w:trPr>
        <w:tc>
          <w:tcPr>
            <w:tcW w:w="20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(continued)</w:t>
            </w:r>
          </w:p>
        </w:tc>
        <w:tc>
          <w:tcPr>
            <w:tcW w:w="10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EYLEA</w:t>
            </w:r>
          </w:p>
        </w:tc>
        <w:tc>
          <w:tcPr>
            <w:tcW w:w="10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Beovu</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(brolucizumab) Injection</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Novartis</w:t>
            </w:r>
          </w:p>
        </w:tc>
        <w:tc>
          <w:tcPr>
            <w:tcW w:w="12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Wet AMD</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(continued)</w:t>
            </w:r>
          </w:p>
        </w:tc>
        <w:tc>
          <w:tcPr>
            <w:tcW w:w="100" w:type="dxa"/>
            <w:vAlign w:val="bottom"/>
            <w:shd w:val="clear" w:color="auto" w:fill="CCEEFF"/>
          </w:tcPr>
          <w:p>
            <w:pPr>
              <w:spacing w:after="0"/>
              <w:rPr>
                <w:sz w:val="19"/>
                <w:szCs w:val="19"/>
                <w:color w:val="auto"/>
              </w:rPr>
            </w:pPr>
          </w:p>
        </w:tc>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Ozurdex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(dexamethasone</w:t>
            </w:r>
          </w:p>
        </w:tc>
        <w:tc>
          <w:tcPr>
            <w:tcW w:w="100" w:type="dxa"/>
            <w:vAlign w:val="bottom"/>
            <w:shd w:val="clear" w:color="auto" w:fill="CCEEFF"/>
          </w:tcPr>
          <w:p>
            <w:pPr>
              <w:spacing w:after="0"/>
              <w:rPr>
                <w:sz w:val="19"/>
                <w:szCs w:val="19"/>
                <w:color w:val="auto"/>
              </w:rPr>
            </w:pPr>
          </w:p>
        </w:tc>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Allergan/AbbVie Inc.</w:t>
            </w:r>
          </w:p>
        </w:tc>
        <w:tc>
          <w:tcPr>
            <w:tcW w:w="120" w:type="dxa"/>
            <w:vAlign w:val="bottom"/>
            <w:shd w:val="clear" w:color="auto" w:fill="CCEEFF"/>
          </w:tcPr>
          <w:p>
            <w:pPr>
              <w:spacing w:after="0"/>
              <w:rPr>
                <w:sz w:val="19"/>
                <w:szCs w:val="19"/>
                <w:color w:val="auto"/>
              </w:rPr>
            </w:pPr>
          </w:p>
        </w:tc>
        <w:tc>
          <w:tcPr>
            <w:tcW w:w="2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DME, RVO</w:t>
            </w:r>
          </w:p>
        </w:tc>
        <w:tc>
          <w:tcPr>
            <w:tcW w:w="1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vMerge w:val="continue"/>
            <w:shd w:val="clear" w:color="auto" w:fill="CCEEFF"/>
          </w:tcPr>
          <w:p>
            <w:pPr>
              <w:spacing w:after="0"/>
              <w:rPr>
                <w:sz w:val="15"/>
                <w:szCs w:val="15"/>
                <w:color w:val="auto"/>
              </w:rPr>
            </w:pPr>
          </w:p>
        </w:tc>
        <w:tc>
          <w:tcPr>
            <w:tcW w:w="1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Iluvien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(fluocinolone acetonide</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Alimera Sciences, Inc.</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DME</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Conbercept</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Chengdu Kanghong</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Wet AMD, DME, mCNV</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Pharmaceutical Group Co., Ltd.</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Dupixent</w:t>
            </w:r>
          </w:p>
        </w:tc>
        <w:tc>
          <w:tcPr>
            <w:tcW w:w="100" w:type="dxa"/>
            <w:vAlign w:val="bottom"/>
          </w:tcPr>
          <w:p>
            <w:pPr>
              <w:spacing w:after="0"/>
              <w:rPr>
                <w:sz w:val="15"/>
                <w:szCs w:val="15"/>
                <w:color w:val="auto"/>
              </w:rPr>
            </w:pPr>
          </w:p>
        </w:tc>
        <w:tc>
          <w:tcPr>
            <w:tcW w:w="2500" w:type="dxa"/>
            <w:vAlign w:val="bottom"/>
          </w:tcPr>
          <w:p>
            <w:pPr>
              <w:ind w:left="20"/>
              <w:spacing w:after="0" w:line="176" w:lineRule="exact"/>
              <w:rPr>
                <w:sz w:val="20"/>
                <w:szCs w:val="20"/>
                <w:color w:val="auto"/>
              </w:rPr>
            </w:pPr>
            <w:r>
              <w:rPr>
                <w:rFonts w:ascii="Arial" w:cs="Arial" w:eastAsia="Arial" w:hAnsi="Arial"/>
                <w:sz w:val="16"/>
                <w:szCs w:val="16"/>
                <w:color w:val="auto"/>
              </w:rPr>
              <w:t>Eucrisa</w:t>
            </w:r>
            <w:r>
              <w:rPr>
                <w:rFonts w:ascii="Arial" w:cs="Arial" w:eastAsia="Arial" w:hAnsi="Arial"/>
                <w:sz w:val="20"/>
                <w:szCs w:val="20"/>
                <w:color w:val="auto"/>
                <w:vertAlign w:val="superscript"/>
              </w:rPr>
              <w:t>®</w:t>
            </w:r>
            <w:r>
              <w:rPr>
                <w:rFonts w:ascii="Arial" w:cs="Arial" w:eastAsia="Arial" w:hAnsi="Arial"/>
                <w:sz w:val="16"/>
                <w:szCs w:val="16"/>
                <w:color w:val="auto"/>
              </w:rPr>
              <w:t>/Staquis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(crisaborole)</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Pfizer Inc.</w:t>
            </w: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rPr>
              <w:t>Mild-to-moderate atopic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9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(baricitinib)</w:t>
            </w:r>
          </w:p>
        </w:tc>
        <w:tc>
          <w:tcPr>
            <w:tcW w:w="100" w:type="dxa"/>
            <w:vAlign w:val="bottom"/>
          </w:tcPr>
          <w:p>
            <w:pPr>
              <w:spacing w:after="0"/>
              <w:rPr>
                <w:sz w:val="16"/>
                <w:szCs w:val="16"/>
                <w:color w:val="auto"/>
              </w:rPr>
            </w:pPr>
          </w:p>
        </w:tc>
        <w:tc>
          <w:tcPr>
            <w:tcW w:w="2380" w:type="dxa"/>
            <w:vAlign w:val="bottom"/>
          </w:tcPr>
          <w:p>
            <w:pPr>
              <w:ind w:left="20"/>
              <w:spacing w:after="0" w:line="190" w:lineRule="exact"/>
              <w:rPr>
                <w:sz w:val="20"/>
                <w:szCs w:val="20"/>
                <w:color w:val="auto"/>
              </w:rPr>
            </w:pPr>
            <w:r>
              <w:rPr>
                <w:rFonts w:ascii="Arial" w:cs="Arial" w:eastAsia="Arial" w:hAnsi="Arial"/>
                <w:sz w:val="18"/>
                <w:szCs w:val="18"/>
                <w:color w:val="auto"/>
              </w:rPr>
              <w:t>Eli Lilly and Company/Incyte</w:t>
            </w:r>
          </w:p>
        </w:tc>
        <w:tc>
          <w:tcPr>
            <w:tcW w:w="120" w:type="dxa"/>
            <w:vAlign w:val="bottom"/>
          </w:tcPr>
          <w:p>
            <w:pPr>
              <w:spacing w:after="0"/>
              <w:rPr>
                <w:sz w:val="16"/>
                <w:szCs w:val="16"/>
                <w:color w:val="auto"/>
              </w:rPr>
            </w:pPr>
          </w:p>
        </w:tc>
        <w:tc>
          <w:tcPr>
            <w:tcW w:w="2060" w:type="dxa"/>
            <w:vAlign w:val="bottom"/>
            <w:gridSpan w:val="2"/>
          </w:tcPr>
          <w:p>
            <w:pPr>
              <w:spacing w:after="0" w:line="190" w:lineRule="exact"/>
              <w:rPr>
                <w:sz w:val="20"/>
                <w:szCs w:val="20"/>
                <w:color w:val="auto"/>
              </w:rPr>
            </w:pPr>
            <w:r>
              <w:rPr>
                <w:rFonts w:ascii="Arial" w:cs="Arial" w:eastAsia="Arial" w:hAnsi="Arial"/>
                <w:sz w:val="18"/>
                <w:szCs w:val="18"/>
                <w:color w:val="auto"/>
                <w:w w:val="97"/>
              </w:rPr>
              <w:t>Moderate-to-severe atopic</w:t>
            </w:r>
          </w:p>
        </w:tc>
        <w:tc>
          <w:tcPr>
            <w:tcW w:w="1840" w:type="dxa"/>
            <w:vAlign w:val="bottom"/>
          </w:tcPr>
          <w:p>
            <w:pPr>
              <w:ind w:left="20"/>
              <w:spacing w:after="0" w:line="190" w:lineRule="exact"/>
              <w:rPr>
                <w:sz w:val="20"/>
                <w:szCs w:val="20"/>
                <w:color w:val="auto"/>
              </w:rPr>
            </w:pPr>
            <w:r>
              <w:rPr>
                <w:rFonts w:ascii="Arial" w:cs="Arial" w:eastAsia="Arial" w:hAnsi="Arial"/>
                <w:sz w:val="18"/>
                <w:szCs w:val="18"/>
                <w:color w:val="auto"/>
              </w:rPr>
              <w:t>EU, Japan</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dermatitis</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ind w:left="20"/>
              <w:spacing w:after="0" w:line="177" w:lineRule="exact"/>
              <w:rPr>
                <w:sz w:val="20"/>
                <w:szCs w:val="20"/>
                <w:color w:val="auto"/>
              </w:rPr>
            </w:pPr>
            <w:r>
              <w:rPr>
                <w:rFonts w:ascii="Arial" w:cs="Arial" w:eastAsia="Arial" w:hAnsi="Arial"/>
                <w:sz w:val="16"/>
                <w:szCs w:val="16"/>
                <w:color w:val="auto"/>
              </w:rPr>
              <w:t>Cibinqo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(abrocitinib)</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Pfizer</w:t>
            </w: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w w:val="97"/>
              </w:rPr>
              <w:t>Moderate-to-severe atopic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ind w:left="20"/>
              <w:spacing w:after="0" w:line="177" w:lineRule="exact"/>
              <w:rPr>
                <w:sz w:val="20"/>
                <w:szCs w:val="20"/>
                <w:color w:val="auto"/>
              </w:rPr>
            </w:pPr>
            <w:r>
              <w:rPr>
                <w:rFonts w:ascii="Arial" w:cs="Arial" w:eastAsia="Arial" w:hAnsi="Arial"/>
                <w:sz w:val="16"/>
                <w:szCs w:val="16"/>
                <w:color w:val="auto"/>
              </w:rPr>
              <w:t>Rinvoq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(upadacitinib)</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AbbVie</w:t>
            </w: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w w:val="97"/>
              </w:rPr>
              <w:t>Moderate-to-severe atopic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ind w:left="20"/>
              <w:spacing w:after="0" w:line="177" w:lineRule="exact"/>
              <w:rPr>
                <w:sz w:val="20"/>
                <w:szCs w:val="20"/>
                <w:color w:val="auto"/>
              </w:rPr>
            </w:pPr>
            <w:r>
              <w:rPr>
                <w:rFonts w:ascii="Arial" w:cs="Arial" w:eastAsia="Arial" w:hAnsi="Arial"/>
                <w:sz w:val="16"/>
                <w:szCs w:val="16"/>
                <w:color w:val="auto"/>
              </w:rPr>
              <w:t>Adbry</w:t>
            </w:r>
            <w:r>
              <w:rPr>
                <w:rFonts w:ascii="Arial" w:cs="Arial" w:eastAsia="Arial" w:hAnsi="Arial"/>
                <w:sz w:val="20"/>
                <w:szCs w:val="20"/>
                <w:color w:val="auto"/>
                <w:vertAlign w:val="superscript"/>
              </w:rPr>
              <w:t>™</w:t>
            </w:r>
            <w:r>
              <w:rPr>
                <w:rFonts w:ascii="Arial" w:cs="Arial" w:eastAsia="Arial" w:hAnsi="Arial"/>
                <w:sz w:val="16"/>
                <w:szCs w:val="16"/>
                <w:color w:val="auto"/>
              </w:rPr>
              <w:t>/Adtralza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(tralokinumab)</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LEO Pharma Inc.</w:t>
            </w: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w w:val="97"/>
              </w:rPr>
              <w:t>Moderate-to-severe atopic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90" w:lineRule="exact"/>
              <w:rPr>
                <w:sz w:val="20"/>
                <w:szCs w:val="20"/>
                <w:color w:val="auto"/>
              </w:rPr>
            </w:pPr>
            <w:r>
              <w:rPr>
                <w:rFonts w:ascii="Arial" w:cs="Arial" w:eastAsia="Arial" w:hAnsi="Arial"/>
                <w:sz w:val="17"/>
                <w:szCs w:val="17"/>
                <w:color w:val="auto"/>
              </w:rPr>
              <w:t>Corectim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(delgocitinib)</w:t>
            </w:r>
          </w:p>
        </w:tc>
        <w:tc>
          <w:tcPr>
            <w:tcW w:w="100" w:type="dxa"/>
            <w:vAlign w:val="bottom"/>
          </w:tcPr>
          <w:p>
            <w:pPr>
              <w:spacing w:after="0"/>
              <w:rPr>
                <w:sz w:val="16"/>
                <w:szCs w:val="16"/>
                <w:color w:val="auto"/>
              </w:rPr>
            </w:pPr>
          </w:p>
        </w:tc>
        <w:tc>
          <w:tcPr>
            <w:tcW w:w="2380" w:type="dxa"/>
            <w:vAlign w:val="bottom"/>
          </w:tcPr>
          <w:p>
            <w:pPr>
              <w:ind w:left="20"/>
              <w:spacing w:after="0" w:line="190" w:lineRule="exact"/>
              <w:rPr>
                <w:sz w:val="20"/>
                <w:szCs w:val="20"/>
                <w:color w:val="auto"/>
              </w:rPr>
            </w:pPr>
            <w:r>
              <w:rPr>
                <w:rFonts w:ascii="Arial" w:cs="Arial" w:eastAsia="Arial" w:hAnsi="Arial"/>
                <w:sz w:val="18"/>
                <w:szCs w:val="18"/>
                <w:color w:val="auto"/>
              </w:rPr>
              <w:t>Japan Tobacco Inc./Torii</w:t>
            </w:r>
          </w:p>
        </w:tc>
        <w:tc>
          <w:tcPr>
            <w:tcW w:w="120" w:type="dxa"/>
            <w:vAlign w:val="bottom"/>
          </w:tcPr>
          <w:p>
            <w:pPr>
              <w:spacing w:after="0"/>
              <w:rPr>
                <w:sz w:val="16"/>
                <w:szCs w:val="16"/>
                <w:color w:val="auto"/>
              </w:rPr>
            </w:pPr>
          </w:p>
        </w:tc>
        <w:tc>
          <w:tcPr>
            <w:tcW w:w="2060" w:type="dxa"/>
            <w:vAlign w:val="bottom"/>
            <w:gridSpan w:val="2"/>
          </w:tcPr>
          <w:p>
            <w:pPr>
              <w:spacing w:after="0" w:line="190" w:lineRule="exact"/>
              <w:rPr>
                <w:sz w:val="20"/>
                <w:szCs w:val="20"/>
                <w:color w:val="auto"/>
              </w:rPr>
            </w:pPr>
            <w:r>
              <w:rPr>
                <w:rFonts w:ascii="Arial" w:cs="Arial" w:eastAsia="Arial" w:hAnsi="Arial"/>
                <w:sz w:val="18"/>
                <w:szCs w:val="18"/>
                <w:color w:val="auto"/>
              </w:rPr>
              <w:t>Atopic dermatitis</w:t>
            </w:r>
          </w:p>
        </w:tc>
        <w:tc>
          <w:tcPr>
            <w:tcW w:w="1840" w:type="dxa"/>
            <w:vAlign w:val="bottom"/>
          </w:tcPr>
          <w:p>
            <w:pPr>
              <w:ind w:left="20"/>
              <w:spacing w:after="0" w:line="190"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Pharmaceutical Co., Ltd.</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line="229" w:lineRule="exact"/>
              <w:rPr>
                <w:sz w:val="20"/>
                <w:szCs w:val="20"/>
                <w:color w:val="auto"/>
              </w:rPr>
            </w:pPr>
            <w:r>
              <w:rPr>
                <w:rFonts w:ascii="Arial" w:cs="Arial" w:eastAsia="Arial" w:hAnsi="Arial"/>
                <w:sz w:val="18"/>
                <w:szCs w:val="18"/>
                <w:color w:val="auto"/>
              </w:rPr>
              <w:t>Xolair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(omalizumab)</w:t>
            </w: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Roche/Novartis</w:t>
            </w: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 nasal polyps</w:t>
            </w:r>
          </w:p>
        </w:tc>
        <w:tc>
          <w:tcPr>
            <w:tcW w:w="1840" w:type="dxa"/>
            <w:vAlign w:val="bottom"/>
          </w:tcPr>
          <w:p>
            <w:pPr>
              <w:ind w:left="20"/>
              <w:spacing w:after="0"/>
              <w:rPr>
                <w:sz w:val="20"/>
                <w:szCs w:val="20"/>
                <w:color w:val="auto"/>
              </w:rPr>
            </w:pPr>
            <w:r>
              <w:rPr>
                <w:rFonts w:ascii="Arial" w:cs="Arial" w:eastAsia="Arial" w:hAnsi="Arial"/>
                <w:sz w:val="18"/>
                <w:szCs w:val="18"/>
                <w:color w:val="auto"/>
              </w:rPr>
              <w:t>Worldwide (asthma);</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ind w:left="20"/>
              <w:spacing w:after="0" w:line="135" w:lineRule="exact"/>
              <w:rPr>
                <w:sz w:val="20"/>
                <w:szCs w:val="20"/>
                <w:color w:val="auto"/>
              </w:rPr>
            </w:pPr>
            <w:r>
              <w:rPr>
                <w:rFonts w:ascii="Arial" w:cs="Arial" w:eastAsia="Arial" w:hAnsi="Arial"/>
                <w:sz w:val="15"/>
                <w:szCs w:val="15"/>
                <w:color w:val="auto"/>
              </w:rPr>
              <w:t>United States, EU (nasal</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polyps)</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Arial" w:cs="Arial" w:eastAsia="Arial" w:hAnsi="Arial"/>
                <w:sz w:val="17"/>
                <w:szCs w:val="17"/>
                <w:color w:val="auto"/>
              </w:rPr>
              <w:t>Nucala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(mepolizumab)</w:t>
            </w:r>
          </w:p>
        </w:tc>
        <w:tc>
          <w:tcPr>
            <w:tcW w:w="100" w:type="dxa"/>
            <w:vAlign w:val="bottom"/>
          </w:tcPr>
          <w:p>
            <w:pPr>
              <w:spacing w:after="0"/>
              <w:rPr>
                <w:sz w:val="16"/>
                <w:szCs w:val="16"/>
                <w:color w:val="auto"/>
              </w:rPr>
            </w:pPr>
          </w:p>
        </w:tc>
        <w:tc>
          <w:tcPr>
            <w:tcW w:w="2380" w:type="dxa"/>
            <w:vAlign w:val="bottom"/>
          </w:tcPr>
          <w:p>
            <w:pPr>
              <w:ind w:left="20"/>
              <w:spacing w:after="0" w:line="189" w:lineRule="exact"/>
              <w:rPr>
                <w:sz w:val="20"/>
                <w:szCs w:val="20"/>
                <w:color w:val="auto"/>
              </w:rPr>
            </w:pPr>
            <w:r>
              <w:rPr>
                <w:rFonts w:ascii="Arial" w:cs="Arial" w:eastAsia="Arial" w:hAnsi="Arial"/>
                <w:sz w:val="18"/>
                <w:szCs w:val="18"/>
                <w:color w:val="auto"/>
              </w:rPr>
              <w:t>GlaxoSmithKline ("GSK")</w:t>
            </w:r>
          </w:p>
        </w:tc>
        <w:tc>
          <w:tcPr>
            <w:tcW w:w="120" w:type="dxa"/>
            <w:vAlign w:val="bottom"/>
          </w:tcPr>
          <w:p>
            <w:pPr>
              <w:spacing w:after="0"/>
              <w:rPr>
                <w:sz w:val="16"/>
                <w:szCs w:val="16"/>
                <w:color w:val="auto"/>
              </w:rPr>
            </w:pPr>
          </w:p>
        </w:tc>
        <w:tc>
          <w:tcPr>
            <w:tcW w:w="2060" w:type="dxa"/>
            <w:vAlign w:val="bottom"/>
            <w:gridSpan w:val="2"/>
          </w:tcPr>
          <w:p>
            <w:pPr>
              <w:spacing w:after="0" w:line="189" w:lineRule="exact"/>
              <w:rPr>
                <w:sz w:val="20"/>
                <w:szCs w:val="20"/>
                <w:color w:val="auto"/>
              </w:rPr>
            </w:pPr>
            <w:r>
              <w:rPr>
                <w:rFonts w:ascii="Arial" w:cs="Arial" w:eastAsia="Arial" w:hAnsi="Arial"/>
                <w:sz w:val="18"/>
                <w:szCs w:val="18"/>
                <w:color w:val="auto"/>
              </w:rPr>
              <w:t>Asthma, nasal polyps</w:t>
            </w:r>
          </w:p>
        </w:tc>
        <w:tc>
          <w:tcPr>
            <w:tcW w:w="1840" w:type="dxa"/>
            <w:vAlign w:val="bottom"/>
          </w:tcPr>
          <w:p>
            <w:pPr>
              <w:ind w:left="20"/>
              <w:spacing w:after="0" w:line="189" w:lineRule="exact"/>
              <w:rPr>
                <w:sz w:val="20"/>
                <w:szCs w:val="20"/>
                <w:color w:val="auto"/>
              </w:rPr>
            </w:pPr>
            <w:r>
              <w:rPr>
                <w:rFonts w:ascii="Arial" w:cs="Arial" w:eastAsia="Arial" w:hAnsi="Arial"/>
                <w:sz w:val="18"/>
                <w:szCs w:val="18"/>
                <w:color w:val="auto"/>
              </w:rPr>
              <w:t>Worldwide (asthma);</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ind w:left="20"/>
              <w:spacing w:after="0" w:line="189" w:lineRule="exact"/>
              <w:rPr>
                <w:sz w:val="20"/>
                <w:szCs w:val="20"/>
                <w:color w:val="auto"/>
              </w:rPr>
            </w:pPr>
            <w:r>
              <w:rPr>
                <w:rFonts w:ascii="Arial" w:cs="Arial" w:eastAsia="Arial" w:hAnsi="Arial"/>
                <w:sz w:val="18"/>
                <w:szCs w:val="18"/>
                <w:color w:val="auto"/>
                <w:w w:val="91"/>
              </w:rPr>
              <w:t>United States, EU (nasal</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polyps)</w:t>
            </w:r>
          </w:p>
        </w:tc>
        <w:tc>
          <w:tcPr>
            <w:tcW w:w="0" w:type="dxa"/>
            <w:vAlign w:val="bottom"/>
          </w:tcPr>
          <w:p>
            <w:pPr>
              <w:spacing w:after="0"/>
              <w:rPr>
                <w:sz w:val="1"/>
                <w:szCs w:val="1"/>
                <w:color w:val="auto"/>
              </w:rPr>
            </w:pPr>
          </w:p>
        </w:tc>
      </w:tr>
      <w:tr>
        <w:trPr>
          <w:trHeight w:val="242"/>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ind w:left="20"/>
              <w:spacing w:after="0" w:line="242" w:lineRule="exact"/>
              <w:rPr>
                <w:sz w:val="20"/>
                <w:szCs w:val="20"/>
                <w:color w:val="auto"/>
              </w:rPr>
            </w:pPr>
            <w:r>
              <w:rPr>
                <w:rFonts w:ascii="Arial" w:cs="Arial" w:eastAsia="Arial" w:hAnsi="Arial"/>
                <w:sz w:val="18"/>
                <w:szCs w:val="18"/>
                <w:color w:val="auto"/>
              </w:rPr>
              <w:t>Cinqair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(reslizumab)</w:t>
            </w:r>
          </w:p>
        </w:tc>
        <w:tc>
          <w:tcPr>
            <w:tcW w:w="10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Teva</w:t>
            </w:r>
          </w:p>
        </w:tc>
        <w:tc>
          <w:tcPr>
            <w:tcW w:w="12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w:t>
            </w:r>
          </w:p>
        </w:tc>
        <w:tc>
          <w:tcPr>
            <w:tcW w:w="1840" w:type="dxa"/>
            <w:vAlign w:val="bottom"/>
          </w:tcPr>
          <w:p>
            <w:pPr>
              <w:ind w:left="20"/>
              <w:spacing w:after="0"/>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97"/>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Fasenra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(benralizumab)</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AstraZeneca</w:t>
            </w:r>
          </w:p>
        </w:tc>
        <w:tc>
          <w:tcPr>
            <w:tcW w:w="12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w:t>
            </w:r>
          </w:p>
        </w:tc>
        <w:tc>
          <w:tcPr>
            <w:tcW w:w="184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line="231" w:lineRule="exact"/>
              <w:rPr>
                <w:sz w:val="20"/>
                <w:szCs w:val="20"/>
                <w:color w:val="auto"/>
              </w:rPr>
            </w:pPr>
            <w:r>
              <w:rPr>
                <w:rFonts w:ascii="Arial" w:cs="Arial" w:eastAsia="Arial" w:hAnsi="Arial"/>
                <w:sz w:val="18"/>
                <w:szCs w:val="18"/>
                <w:color w:val="auto"/>
                <w:w w:val="99"/>
              </w:rPr>
              <w:t>Tezspire</w:t>
            </w:r>
            <w:r>
              <w:rPr>
                <w:rFonts w:ascii="Arial" w:cs="Arial" w:eastAsia="Arial" w:hAnsi="Arial"/>
                <w:sz w:val="23"/>
                <w:szCs w:val="23"/>
                <w:color w:val="auto"/>
                <w:w w:val="99"/>
                <w:vertAlign w:val="superscript"/>
              </w:rPr>
              <w:t>™</w:t>
            </w:r>
            <w:r>
              <w:rPr>
                <w:rFonts w:ascii="Arial" w:cs="Arial" w:eastAsia="Arial" w:hAnsi="Arial"/>
                <w:sz w:val="18"/>
                <w:szCs w:val="18"/>
                <w:color w:val="auto"/>
                <w:w w:val="99"/>
              </w:rPr>
              <w:t xml:space="preserve"> (tezepelumab-ekko)</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AstraZeneca/Amgen</w:t>
            </w:r>
          </w:p>
        </w:tc>
        <w:tc>
          <w:tcPr>
            <w:tcW w:w="1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w:t>
            </w:r>
          </w:p>
        </w:tc>
        <w:tc>
          <w:tcPr>
            <w:tcW w:w="18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Merck &amp; Co., Inc.</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(nivolumab)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Imfinzi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(durvalumab)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AstraZeneca</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Bavencio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(avelumab)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Pfizer/Merck KGaA</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Jemperli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(dostarlimab)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GSK</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Praluent</w:t>
            </w:r>
          </w:p>
        </w:tc>
        <w:tc>
          <w:tcPr>
            <w:tcW w:w="100" w:type="dxa"/>
            <w:vAlign w:val="bottom"/>
          </w:tcPr>
          <w:p>
            <w:pPr>
              <w:spacing w:after="0"/>
              <w:rPr>
                <w:sz w:val="15"/>
                <w:szCs w:val="15"/>
                <w:color w:val="auto"/>
              </w:rPr>
            </w:pPr>
          </w:p>
        </w:tc>
        <w:tc>
          <w:tcPr>
            <w:tcW w:w="2500" w:type="dxa"/>
            <w:vAlign w:val="bottom"/>
          </w:tcPr>
          <w:p>
            <w:pPr>
              <w:ind w:left="20"/>
              <w:spacing w:after="0" w:line="176" w:lineRule="exact"/>
              <w:rPr>
                <w:sz w:val="20"/>
                <w:szCs w:val="20"/>
                <w:color w:val="auto"/>
              </w:rPr>
            </w:pPr>
            <w:r>
              <w:rPr>
                <w:rFonts w:ascii="Arial" w:cs="Arial" w:eastAsia="Arial" w:hAnsi="Arial"/>
                <w:sz w:val="16"/>
                <w:szCs w:val="16"/>
                <w:color w:val="auto"/>
              </w:rPr>
              <w:t>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(evolocumab)</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Amgen</w:t>
            </w: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rPr>
              <w:t>(1) Reduce the risk of</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rPr>
              <w:t>myocardial infarction,</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rPr>
              <w:t>stroke, and coronary</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spacing w:after="0" w:line="191" w:lineRule="exact"/>
              <w:rPr>
                <w:sz w:val="20"/>
                <w:szCs w:val="20"/>
                <w:color w:val="auto"/>
              </w:rPr>
            </w:pPr>
            <w:r>
              <w:rPr>
                <w:rFonts w:ascii="Arial" w:cs="Arial" w:eastAsia="Arial" w:hAnsi="Arial"/>
                <w:sz w:val="18"/>
                <w:szCs w:val="18"/>
                <w:color w:val="auto"/>
                <w:w w:val="98"/>
              </w:rPr>
              <w:t>revascularization in adults</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7280"/>
        <w:spacing w:after="0" w:line="203" w:lineRule="auto"/>
        <w:rPr>
          <w:sz w:val="20"/>
          <w:szCs w:val="20"/>
          <w:color w:val="auto"/>
        </w:rPr>
      </w:pPr>
      <w:r>
        <w:rPr>
          <w:rFonts w:ascii="Arial" w:cs="Arial" w:eastAsia="Arial" w:hAnsi="Arial"/>
          <w:sz w:val="18"/>
          <w:szCs w:val="18"/>
          <w:color w:val="auto"/>
        </w:rPr>
        <w:t>with established</w:t>
      </w:r>
    </w:p>
    <w:p>
      <w:pPr>
        <w:ind w:left="7280"/>
        <w:spacing w:after="0" w:line="203" w:lineRule="auto"/>
        <w:rPr>
          <w:sz w:val="20"/>
          <w:szCs w:val="20"/>
          <w:color w:val="auto"/>
        </w:rPr>
      </w:pPr>
      <w:r>
        <w:rPr>
          <w:rFonts w:ascii="Arial" w:cs="Arial" w:eastAsia="Arial" w:hAnsi="Arial"/>
          <w:sz w:val="18"/>
          <w:szCs w:val="18"/>
          <w:color w:val="auto"/>
        </w:rPr>
        <w:t>cardiovascular disease, (2)</w:t>
      </w:r>
    </w:p>
    <w:p>
      <w:pPr>
        <w:ind w:left="7280"/>
        <w:spacing w:after="0" w:line="204" w:lineRule="auto"/>
        <w:rPr>
          <w:sz w:val="20"/>
          <w:szCs w:val="20"/>
          <w:color w:val="auto"/>
        </w:rPr>
      </w:pPr>
      <w:r>
        <w:rPr>
          <w:rFonts w:ascii="Arial" w:cs="Arial" w:eastAsia="Arial" w:hAnsi="Arial"/>
          <w:sz w:val="18"/>
          <w:szCs w:val="18"/>
          <w:color w:val="auto"/>
        </w:rPr>
        <w:t>primary hyperlipidemia,</w:t>
      </w:r>
    </w:p>
    <w:p>
      <w:pPr>
        <w:ind w:left="7280"/>
        <w:spacing w:after="0"/>
        <w:rPr>
          <w:sz w:val="20"/>
          <w:szCs w:val="20"/>
          <w:color w:val="auto"/>
        </w:rPr>
      </w:pPr>
      <w:r>
        <w:rPr>
          <w:rFonts w:ascii="Arial" w:cs="Arial" w:eastAsia="Arial" w:hAnsi="Arial"/>
          <w:sz w:val="18"/>
          <w:szCs w:val="18"/>
          <w:color w:val="auto"/>
        </w:rPr>
        <w:t>and (3) HoFH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73" w:right="39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Marketed Product</w:t>
            </w:r>
          </w:p>
        </w:tc>
        <w:tc>
          <w:tcPr>
            <w:tcW w:w="100" w:type="dxa"/>
            <w:vAlign w:val="bottom"/>
          </w:tcPr>
          <w:p>
            <w:pPr>
              <w:spacing w:after="0"/>
              <w:rPr>
                <w:sz w:val="17"/>
                <w:szCs w:val="17"/>
                <w:color w:val="auto"/>
              </w:rPr>
            </w:pPr>
          </w:p>
        </w:tc>
        <w:tc>
          <w:tcPr>
            <w:tcW w:w="24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Competitor Product</w:t>
            </w:r>
          </w:p>
        </w:tc>
        <w:tc>
          <w:tcPr>
            <w:tcW w:w="100" w:type="dxa"/>
            <w:vAlign w:val="bottom"/>
          </w:tcPr>
          <w:p>
            <w:pPr>
              <w:spacing w:after="0"/>
              <w:rPr>
                <w:sz w:val="17"/>
                <w:szCs w:val="17"/>
                <w:color w:val="auto"/>
              </w:rPr>
            </w:pPr>
          </w:p>
        </w:tc>
        <w:tc>
          <w:tcPr>
            <w:tcW w:w="23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Competitor</w:t>
            </w:r>
          </w:p>
        </w:tc>
        <w:tc>
          <w:tcPr>
            <w:tcW w:w="120" w:type="dxa"/>
            <w:vAlign w:val="bottom"/>
          </w:tcPr>
          <w:p>
            <w:pPr>
              <w:spacing w:after="0"/>
              <w:rPr>
                <w:sz w:val="17"/>
                <w:szCs w:val="17"/>
                <w:color w:val="auto"/>
              </w:rPr>
            </w:pPr>
          </w:p>
        </w:tc>
        <w:tc>
          <w:tcPr>
            <w:tcW w:w="208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Indication</w:t>
            </w:r>
          </w:p>
        </w:tc>
        <w:tc>
          <w:tcPr>
            <w:tcW w:w="18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(continued)</w:t>
            </w:r>
          </w:p>
        </w:tc>
        <w:tc>
          <w:tcPr>
            <w:tcW w:w="100" w:type="dxa"/>
            <w:vAlign w:val="bottom"/>
          </w:tcPr>
          <w:p>
            <w:pPr>
              <w:spacing w:after="0"/>
              <w:rPr>
                <w:sz w:val="19"/>
                <w:szCs w:val="19"/>
                <w:color w:val="auto"/>
              </w:rPr>
            </w:pPr>
          </w:p>
        </w:tc>
        <w:tc>
          <w:tcPr>
            <w:tcW w:w="2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Praluent</w:t>
            </w:r>
          </w:p>
        </w:tc>
        <w:tc>
          <w:tcPr>
            <w:tcW w:w="100" w:type="dxa"/>
            <w:vAlign w:val="bottom"/>
          </w:tcPr>
          <w:p>
            <w:pPr>
              <w:spacing w:after="0"/>
              <w:rPr>
                <w:sz w:val="15"/>
                <w:szCs w:val="15"/>
                <w:color w:val="auto"/>
              </w:rPr>
            </w:pPr>
          </w:p>
        </w:tc>
        <w:tc>
          <w:tcPr>
            <w:tcW w:w="248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7"/>
                <w:szCs w:val="17"/>
                <w:color w:val="auto"/>
              </w:rPr>
              <w:t>Leqvio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(inclisiran)</w:t>
            </w:r>
          </w:p>
        </w:tc>
        <w:tc>
          <w:tcPr>
            <w:tcW w:w="100" w:type="dxa"/>
            <w:vAlign w:val="bottom"/>
          </w:tcPr>
          <w:p>
            <w:pPr>
              <w:spacing w:after="0"/>
              <w:rPr>
                <w:sz w:val="15"/>
                <w:szCs w:val="15"/>
                <w:color w:val="auto"/>
              </w:rPr>
            </w:pPr>
          </w:p>
        </w:tc>
        <w:tc>
          <w:tcPr>
            <w:tcW w:w="23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Novartis</w:t>
            </w:r>
          </w:p>
        </w:tc>
        <w:tc>
          <w:tcPr>
            <w:tcW w:w="120" w:type="dxa"/>
            <w:vAlign w:val="bottom"/>
          </w:tcPr>
          <w:p>
            <w:pPr>
              <w:spacing w:after="0"/>
              <w:rPr>
                <w:sz w:val="15"/>
                <w:szCs w:val="15"/>
                <w:color w:val="auto"/>
              </w:rPr>
            </w:pPr>
          </w:p>
        </w:tc>
        <w:tc>
          <w:tcPr>
            <w:tcW w:w="19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Primary</w:t>
            </w:r>
          </w:p>
        </w:tc>
        <w:tc>
          <w:tcPr>
            <w:tcW w:w="100" w:type="dxa"/>
            <w:vAlign w:val="bottom"/>
          </w:tcPr>
          <w:p>
            <w:pPr>
              <w:spacing w:after="0"/>
              <w:rPr>
                <w:sz w:val="15"/>
                <w:szCs w:val="15"/>
                <w:color w:val="auto"/>
              </w:rPr>
            </w:pPr>
          </w:p>
        </w:tc>
        <w:tc>
          <w:tcPr>
            <w:tcW w:w="18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8"/>
                <w:szCs w:val="18"/>
                <w:i w:val="1"/>
                <w:iCs w:val="1"/>
                <w:color w:val="auto"/>
              </w:rPr>
              <w:t>(continued)</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hypercholesterolemia</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(heterozygous familial and</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non-familial) or mixed</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dyslipidemia</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Kevzara</w:t>
            </w: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Actemra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(tocilizumab)</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Genentech/Roche/Chugai</w:t>
            </w:r>
          </w:p>
        </w:tc>
        <w:tc>
          <w:tcPr>
            <w:tcW w:w="12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Rheumatoid arthritis</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Pharmaceutical Co., Ltd.</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Orencia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(abatacept)</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Xeljanz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(tofacitinib)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Pfizer</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(baricitinib)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 Lilly/Incyte</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Rinvoq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(upadacitinib)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5"/>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20"/>
              <w:spacing w:after="0" w:line="215" w:lineRule="exact"/>
              <w:rPr>
                <w:sz w:val="20"/>
                <w:szCs w:val="20"/>
                <w:color w:val="auto"/>
              </w:rPr>
            </w:pPr>
            <w:r>
              <w:rPr>
                <w:rFonts w:ascii="Arial" w:cs="Arial" w:eastAsia="Arial" w:hAnsi="Arial"/>
                <w:sz w:val="18"/>
                <w:szCs w:val="18"/>
                <w:color w:val="auto"/>
              </w:rPr>
              <w:t>Jyseleca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(filgotinib)</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Gilead Sciences, Inc./Galapagos</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 Japan</w:t>
            </w:r>
          </w:p>
        </w:tc>
        <w:tc>
          <w:tcPr>
            <w:tcW w:w="0" w:type="dxa"/>
            <w:vAlign w:val="bottom"/>
          </w:tcPr>
          <w:p>
            <w:pPr>
              <w:spacing w:after="0"/>
              <w:rPr>
                <w:sz w:val="1"/>
                <w:szCs w:val="1"/>
                <w:color w:val="auto"/>
              </w:rPr>
            </w:pPr>
          </w:p>
        </w:tc>
      </w:tr>
      <w:tr>
        <w:trPr>
          <w:trHeight w:val="244"/>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NV</w:t>
            </w: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140" w:hanging="5"/>
        <w:spacing w:after="0" w:line="202" w:lineRule="auto"/>
        <w:tabs>
          <w:tab w:leader="none" w:pos="437"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This table focuses primarily on the United States, EU, and Japan. "Worldwide" indicates that the relevant product is approved in the United States, EU, Japan, and at least one other country.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late-stage and earlier-stage clinical candidates (including those being developed in collaboration with our collaborators) face competition from many pharmaceutical and biotechnology companies. For example, we are aware of other pharmaceutical and biotechnology companies actively engaged in the research and development of antibody-based products against targets that are also the targets of our early- and late-stage product candidates. These companies are using various technologies in competition with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our other antibody generation technologies, including their own antibody generation technologies and other approaches such as RNAi, chimeric antigen receptor T cell (CAR-T cell), and gene therapy technologies. We are also aware of several companies developing or marketing small molecules that may compete with our antibody product candidates in various indications, if such product candidates obtain regulatory approval in those indications.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Arial" w:cs="Arial" w:eastAsia="Arial" w:hAnsi="Arial"/>
          <w:sz w:val="16"/>
          <w:szCs w:val="16"/>
          <w:i w:val="1"/>
          <w:iCs w:val="1"/>
          <w:color w:val="auto"/>
        </w:rPr>
        <w:t>The commercial success of our products and product candidates is subject to significant competition</w:t>
      </w:r>
      <w:r>
        <w:rPr>
          <w:rFonts w:ascii="Arial" w:cs="Arial" w:eastAsia="Arial" w:hAnsi="Arial"/>
          <w:sz w:val="16"/>
          <w:szCs w:val="16"/>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Areas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inferior intellectual property position or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also may have established substantial intellectual property and other competitive advantages.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compete with academic institutions, governmental agencies, and other public or private research organizations, which conduct research, seek patent and other intellectual property protection, and establish collaborative arrangements for the development and marketing of products that would provide royalties or other consideration for use of their technology. These institutions are becoming more active in seeking patent and other intellectual property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7"/>
          <w:szCs w:val="17"/>
          <w:i w:val="1"/>
          <w:iCs w:val="1"/>
          <w:color w:val="auto"/>
        </w:rPr>
        <w:t>We may be restricted in our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manufacturing, and/or commercialization activities by patents or other proprietary rights of others, and could be subject to awards of damages if we are found to have infringed such patents or rights</w:t>
      </w:r>
      <w:r>
        <w:rPr>
          <w:rFonts w:ascii="Arial" w:cs="Arial" w:eastAsia="Arial" w:hAnsi="Arial"/>
          <w:sz w:val="17"/>
          <w:szCs w:val="17"/>
          <w:color w:val="auto"/>
        </w:rPr>
        <w:t>"; and Note 15 to our Consolidated Financial Statements). Our policy is to file patent applications to protect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inventions, and improvements that we consider important to our business and operations. We hold an ownership interest in a number of issued patents in the United States and foreign countries with respect to our products and technologies. In addition, we hold an ownership interest in thousands of patent applications in the United States and foreign countries.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antibodies. Our issued patents covering these technologies generally expire between 2022 and 2032. However, we continue to file patent applications directed to improvements to these technology platforms.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describes our U.S. patents, European patents ("EP"), and Japanese patents ("JP") that are of particular relevance to key products marketed or otherwise commercialized by us and/or our collaborators,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may not be separately listed.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15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18"/>
                <w:szCs w:val="18"/>
                <w:color w:val="auto"/>
              </w:rPr>
            </w:pPr>
          </w:p>
        </w:tc>
        <w:tc>
          <w:tcPr>
            <w:tcW w:w="16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18"/>
                <w:szCs w:val="18"/>
                <w:color w:val="auto"/>
              </w:rPr>
            </w:pPr>
          </w:p>
        </w:tc>
        <w:tc>
          <w:tcPr>
            <w:tcW w:w="1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Territory</w:t>
            </w:r>
          </w:p>
        </w:tc>
        <w:tc>
          <w:tcPr>
            <w:tcW w:w="120" w:type="dxa"/>
            <w:vAlign w:val="bottom"/>
          </w:tcPr>
          <w:p>
            <w:pPr>
              <w:spacing w:after="0"/>
              <w:rPr>
                <w:sz w:val="18"/>
                <w:szCs w:val="18"/>
                <w:color w:val="auto"/>
              </w:rPr>
            </w:pPr>
          </w:p>
        </w:tc>
        <w:tc>
          <w:tcPr>
            <w:tcW w:w="12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Patent No.</w:t>
            </w:r>
          </w:p>
        </w:tc>
        <w:tc>
          <w:tcPr>
            <w:tcW w:w="1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b w:val="1"/>
                <w:bCs w:val="1"/>
                <w:color w:val="auto"/>
              </w:rPr>
              <w:t>General Subject Matter</w:t>
            </w:r>
          </w:p>
        </w:tc>
        <w:tc>
          <w:tcPr>
            <w:tcW w:w="120" w:type="dxa"/>
            <w:vAlign w:val="bottom"/>
          </w:tcPr>
          <w:p>
            <w:pPr>
              <w:spacing w:after="0"/>
              <w:rPr>
                <w:sz w:val="18"/>
                <w:szCs w:val="18"/>
                <w:color w:val="auto"/>
              </w:rPr>
            </w:pPr>
          </w:p>
        </w:tc>
        <w:tc>
          <w:tcPr>
            <w:tcW w:w="2560" w:type="dxa"/>
            <w:vAlign w:val="bottom"/>
            <w:gridSpan w:val="2"/>
            <w:vMerge w:val="restart"/>
          </w:tcPr>
          <w:p>
            <w:pPr>
              <w:ind w:left="66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ind w:left="880"/>
              <w:spacing w:after="0"/>
              <w:rPr>
                <w:sz w:val="20"/>
                <w:szCs w:val="20"/>
                <w:color w:val="auto"/>
              </w:rPr>
            </w:pPr>
            <w:r>
              <w:rPr>
                <w:rFonts w:ascii="Arial" w:cs="Arial" w:eastAsia="Arial" w:hAnsi="Arial"/>
                <w:sz w:val="18"/>
                <w:szCs w:val="18"/>
                <w:b w:val="1"/>
                <w:bCs w:val="1"/>
                <w:color w:val="auto"/>
              </w:rPr>
              <w:t>Class</w:t>
            </w:r>
          </w:p>
        </w:tc>
        <w:tc>
          <w:tcPr>
            <w:tcW w:w="120" w:type="dxa"/>
            <w:vAlign w:val="bottom"/>
          </w:tcPr>
          <w:p>
            <w:pPr>
              <w:spacing w:after="0"/>
              <w:rPr>
                <w:sz w:val="19"/>
                <w:szCs w:val="19"/>
                <w:color w:val="auto"/>
              </w:rPr>
            </w:pPr>
          </w:p>
        </w:tc>
        <w:tc>
          <w:tcPr>
            <w:tcW w:w="2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aflibercept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7,070,959</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June 16, 2023</w:t>
            </w:r>
            <w:r>
              <w:rPr>
                <w:rFonts w:ascii="Arial" w:cs="Arial" w:eastAsia="Arial" w:hAnsi="Arial"/>
                <w:sz w:val="23"/>
                <w:szCs w:val="23"/>
                <w:color w:val="auto"/>
                <w:vertAlign w:val="superscript"/>
              </w:rPr>
              <w:t>(b)</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8,092,803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21,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10,464,992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10,857,231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22, 2026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11,066,458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11,084,865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9,254,338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22, 2032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10,857,205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11, 2032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10,828,345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11, 2032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10,888,601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11, 2032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10,406,226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 of Manufacturing</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22, 2026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1183353</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Composition of Matter</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(May 23, 2025)</w:t>
            </w:r>
            <w:r>
              <w:rPr>
                <w:rFonts w:ascii="Arial" w:cs="Arial" w:eastAsia="Arial" w:hAnsi="Arial"/>
                <w:sz w:val="21"/>
                <w:szCs w:val="21"/>
                <w:color w:val="auto"/>
                <w:vertAlign w:val="superscript"/>
              </w:rPr>
              <w:t>(c)</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(Supplementary Protection</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2364691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2944306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JP</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4,723,140</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Composition of Matter</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December 29, 2022 –</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25, 2023</w:t>
            </w:r>
            <w:r>
              <w:rPr>
                <w:rFonts w:ascii="Arial" w:cs="Arial" w:eastAsia="Arial" w:hAnsi="Arial"/>
                <w:sz w:val="21"/>
                <w:szCs w:val="21"/>
                <w:color w:val="auto"/>
                <w:vertAlign w:val="superscript"/>
              </w:rPr>
              <w:t>(d)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5,273,746</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24, 2022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5,216,002</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February 27, 2028 – October</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1, 2029</w:t>
            </w:r>
            <w:r>
              <w:rPr>
                <w:rFonts w:ascii="Arial" w:cs="Arial" w:eastAsia="Arial" w:hAnsi="Arial"/>
                <w:sz w:val="21"/>
                <w:szCs w:val="21"/>
                <w:color w:val="auto"/>
                <w:vertAlign w:val="superscript"/>
              </w:rPr>
              <w:t>(d)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ind w:left="20"/>
              <w:spacing w:after="0" w:line="229"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(a)</w:t>
            </w:r>
          </w:p>
        </w:tc>
        <w:tc>
          <w:tcPr>
            <w:tcW w:w="10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dupilumab</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7,608,693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Composition of Matter</w:t>
            </w:r>
          </w:p>
        </w:tc>
        <w:tc>
          <w:tcPr>
            <w:tcW w:w="120" w:type="dxa"/>
            <w:vAlign w:val="bottom"/>
          </w:tcPr>
          <w:p>
            <w:pPr>
              <w:spacing w:after="0"/>
              <w:rPr>
                <w:sz w:val="19"/>
                <w:szCs w:val="19"/>
                <w:color w:val="auto"/>
              </w:rPr>
            </w:pPr>
          </w:p>
        </w:tc>
        <w:tc>
          <w:tcPr>
            <w:tcW w:w="2160" w:type="dxa"/>
            <w:vAlign w:val="bottom"/>
          </w:tcPr>
          <w:p>
            <w:pPr>
              <w:ind w:left="20"/>
              <w:spacing w:after="0" w:line="229" w:lineRule="exact"/>
              <w:rPr>
                <w:sz w:val="20"/>
                <w:szCs w:val="20"/>
                <w:color w:val="auto"/>
              </w:rPr>
            </w:pPr>
            <w:r>
              <w:rPr>
                <w:rFonts w:ascii="Arial" w:cs="Arial" w:eastAsia="Arial" w:hAnsi="Arial"/>
                <w:sz w:val="18"/>
                <w:szCs w:val="18"/>
                <w:color w:val="auto"/>
              </w:rPr>
              <w:t>March 28, 2031</w:t>
            </w:r>
            <w:r>
              <w:rPr>
                <w:rFonts w:ascii="Arial" w:cs="Arial" w:eastAsia="Arial" w:hAnsi="Arial"/>
                <w:sz w:val="23"/>
                <w:szCs w:val="23"/>
                <w:color w:val="auto"/>
                <w:vertAlign w:val="superscript"/>
              </w:rPr>
              <w:t>(e)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8,945,559</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October 17, 2032</w:t>
            </w:r>
          </w:p>
        </w:tc>
        <w:tc>
          <w:tcPr>
            <w:tcW w:w="0" w:type="dxa"/>
            <w:vAlign w:val="bottom"/>
          </w:tcPr>
          <w:p>
            <w:pPr>
              <w:spacing w:after="0"/>
              <w:rPr>
                <w:sz w:val="1"/>
                <w:szCs w:val="1"/>
                <w:color w:val="auto"/>
              </w:rPr>
            </w:pPr>
          </w:p>
        </w:tc>
      </w:tr>
      <w:tr>
        <w:trPr>
          <w:trHeight w:val="796"/>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2"/>
          </w:tcPr>
          <w:p>
            <w:pPr>
              <w:jc w:val="right"/>
              <w:ind w:right="47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500" w:type="dxa"/>
            <w:vAlign w:val="bottom"/>
          </w:tcPr>
          <w:p>
            <w:pPr>
              <w:ind w:left="44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17"/>
                <w:szCs w:val="17"/>
                <w:color w:val="auto"/>
              </w:rPr>
            </w:pPr>
          </w:p>
        </w:tc>
        <w:tc>
          <w:tcPr>
            <w:tcW w:w="16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Territory</w:t>
            </w:r>
          </w:p>
        </w:tc>
        <w:tc>
          <w:tcPr>
            <w:tcW w:w="120" w:type="dxa"/>
            <w:vAlign w:val="bottom"/>
          </w:tcPr>
          <w:p>
            <w:pPr>
              <w:spacing w:after="0"/>
              <w:rPr>
                <w:sz w:val="17"/>
                <w:szCs w:val="17"/>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Patent No.</w:t>
            </w:r>
          </w:p>
        </w:tc>
        <w:tc>
          <w:tcPr>
            <w:tcW w:w="2280" w:type="dxa"/>
            <w:vAlign w:val="bottom"/>
            <w:gridSpan w:val="2"/>
          </w:tcPr>
          <w:p>
            <w:pPr>
              <w:ind w:left="160"/>
              <w:spacing w:after="0"/>
              <w:rPr>
                <w:sz w:val="20"/>
                <w:szCs w:val="20"/>
                <w:color w:val="auto"/>
              </w:rPr>
            </w:pPr>
            <w:r>
              <w:rPr>
                <w:rFonts w:ascii="Arial" w:cs="Arial" w:eastAsia="Arial" w:hAnsi="Arial"/>
                <w:sz w:val="18"/>
                <w:szCs w:val="18"/>
                <w:b w:val="1"/>
                <w:bCs w:val="1"/>
                <w:color w:val="auto"/>
              </w:rPr>
              <w:t>General Subject Matter</w:t>
            </w:r>
          </w:p>
        </w:tc>
        <w:tc>
          <w:tcPr>
            <w:tcW w:w="2560" w:type="dxa"/>
            <w:vAlign w:val="bottom"/>
            <w:gridSpan w:val="2"/>
            <w:vMerge w:val="restart"/>
          </w:tcPr>
          <w:p>
            <w:pPr>
              <w:ind w:left="66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(continued)</w:t>
            </w:r>
          </w:p>
        </w:tc>
        <w:tc>
          <w:tcPr>
            <w:tcW w:w="1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80" w:type="dxa"/>
            <w:vAlign w:val="bottom"/>
            <w:gridSpan w:val="2"/>
          </w:tcPr>
          <w:p>
            <w:pPr>
              <w:ind w:left="880"/>
              <w:spacing w:after="0"/>
              <w:rPr>
                <w:sz w:val="20"/>
                <w:szCs w:val="20"/>
                <w:color w:val="auto"/>
              </w:rPr>
            </w:pPr>
            <w:r>
              <w:rPr>
                <w:rFonts w:ascii="Arial" w:cs="Arial" w:eastAsia="Arial" w:hAnsi="Arial"/>
                <w:sz w:val="18"/>
                <w:szCs w:val="18"/>
                <w:b w:val="1"/>
                <w:bCs w:val="1"/>
                <w:color w:val="auto"/>
              </w:rPr>
              <w:t>Class</w:t>
            </w:r>
          </w:p>
        </w:tc>
        <w:tc>
          <w:tcPr>
            <w:tcW w:w="2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5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5"/>
                <w:szCs w:val="15"/>
                <w:color w:val="auto"/>
              </w:rPr>
              <w:t>Dupixent</w:t>
            </w:r>
            <w:r>
              <w:rPr>
                <w:rFonts w:ascii="Arial" w:cs="Arial" w:eastAsia="Arial" w:hAnsi="Arial"/>
                <w:sz w:val="19"/>
                <w:szCs w:val="19"/>
                <w:color w:val="auto"/>
                <w:vertAlign w:val="superscript"/>
              </w:rPr>
              <w:t>(a)</w:t>
            </w: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4"/>
                <w:szCs w:val="14"/>
                <w:color w:val="auto"/>
              </w:rPr>
            </w:pPr>
          </w:p>
        </w:tc>
        <w:tc>
          <w:tcPr>
            <w:tcW w:w="12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10,435,473</w:t>
            </w:r>
          </w:p>
        </w:tc>
        <w:tc>
          <w:tcPr>
            <w:tcW w:w="120" w:type="dxa"/>
            <w:vAlign w:val="bottom"/>
          </w:tcPr>
          <w:p>
            <w:pPr>
              <w:spacing w:after="0"/>
              <w:rPr>
                <w:sz w:val="14"/>
                <w:szCs w:val="14"/>
                <w:color w:val="auto"/>
              </w:rPr>
            </w:pPr>
          </w:p>
        </w:tc>
        <w:tc>
          <w:tcPr>
            <w:tcW w:w="21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Formulation</w:t>
            </w:r>
          </w:p>
        </w:tc>
        <w:tc>
          <w:tcPr>
            <w:tcW w:w="120" w:type="dxa"/>
            <w:vAlign w:val="bottom"/>
          </w:tcPr>
          <w:p>
            <w:pPr>
              <w:spacing w:after="0"/>
              <w:rPr>
                <w:sz w:val="14"/>
                <w:szCs w:val="14"/>
                <w:color w:val="auto"/>
              </w:rPr>
            </w:pPr>
          </w:p>
        </w:tc>
        <w:tc>
          <w:tcPr>
            <w:tcW w:w="21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October 5, 2031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500" w:type="dxa"/>
            <w:vAlign w:val="bottom"/>
          </w:tcPr>
          <w:p>
            <w:pPr>
              <w:ind w:left="20"/>
              <w:spacing w:after="0"/>
              <w:rPr>
                <w:sz w:val="20"/>
                <w:szCs w:val="20"/>
                <w:color w:val="auto"/>
              </w:rPr>
            </w:pPr>
            <w:r>
              <w:rPr>
                <w:rFonts w:ascii="Arial" w:cs="Arial" w:eastAsia="Arial" w:hAnsi="Arial"/>
                <w:sz w:val="18"/>
                <w:szCs w:val="18"/>
                <w:i w:val="1"/>
                <w:iCs w:val="1"/>
                <w:color w:val="auto"/>
              </w:rPr>
              <w:t>(continued)</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vMerge w:val="restart"/>
          </w:tcPr>
          <w:p>
            <w:pPr>
              <w:ind w:left="140"/>
              <w:spacing w:after="0"/>
              <w:rPr>
                <w:sz w:val="20"/>
                <w:szCs w:val="20"/>
                <w:color w:val="auto"/>
              </w:rPr>
            </w:pPr>
            <w:r>
              <w:rPr>
                <w:rFonts w:ascii="Arial" w:cs="Arial" w:eastAsia="Arial" w:hAnsi="Arial"/>
                <w:sz w:val="18"/>
                <w:szCs w:val="18"/>
                <w:color w:val="auto"/>
              </w:rPr>
              <w:t>11,059,896</w:t>
            </w:r>
          </w:p>
        </w:tc>
        <w:tc>
          <w:tcPr>
            <w:tcW w:w="120" w:type="dxa"/>
            <w:vAlign w:val="bottom"/>
          </w:tcPr>
          <w:p>
            <w:pPr>
              <w:spacing w:after="0"/>
              <w:rPr>
                <w:sz w:val="20"/>
                <w:szCs w:val="20"/>
                <w:color w:val="auto"/>
              </w:rPr>
            </w:pPr>
          </w:p>
        </w:tc>
        <w:tc>
          <w:tcPr>
            <w:tcW w:w="2280" w:type="dxa"/>
            <w:vAlign w:val="bottom"/>
            <w:gridSpan w:val="2"/>
            <w:vMerge w:val="restart"/>
          </w:tcPr>
          <w:p>
            <w:pPr>
              <w:ind w:left="20"/>
              <w:spacing w:after="0"/>
              <w:rPr>
                <w:sz w:val="20"/>
                <w:szCs w:val="20"/>
                <w:color w:val="auto"/>
              </w:rPr>
            </w:pPr>
            <w:r>
              <w:rPr>
                <w:rFonts w:ascii="Arial" w:cs="Arial" w:eastAsia="Arial" w:hAnsi="Arial"/>
                <w:sz w:val="18"/>
                <w:szCs w:val="18"/>
                <w:color w:val="auto"/>
              </w:rPr>
              <w:t>Formulation</w:t>
            </w:r>
          </w:p>
        </w:tc>
        <w:tc>
          <w:tcPr>
            <w:tcW w:w="2560" w:type="dxa"/>
            <w:vAlign w:val="bottom"/>
            <w:gridSpan w:val="2"/>
            <w:vMerge w:val="restart"/>
          </w:tcPr>
          <w:p>
            <w:pPr>
              <w:ind w:left="2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8,075,887</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April 17, 2028</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8,337,839</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October 2, 2027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9,290,574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July 10, 2034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9,574,004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December 22, 2033</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10,485,844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September 21, 2037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10,059,771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11,167,004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September 21, 2037</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11,034,768</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23, 2039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2356151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October 27, 2029</w:t>
            </w:r>
            <w:r>
              <w:rPr>
                <w:rFonts w:ascii="Arial" w:cs="Arial" w:eastAsia="Arial" w:hAnsi="Arial"/>
                <w:sz w:val="23"/>
                <w:szCs w:val="23"/>
                <w:color w:val="auto"/>
                <w:vertAlign w:val="superscript"/>
              </w:rPr>
              <w:t>(c)</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2" w:lineRule="exact"/>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2356151</w:t>
            </w:r>
          </w:p>
        </w:tc>
        <w:tc>
          <w:tcPr>
            <w:tcW w:w="120" w:type="dxa"/>
            <w:vAlign w:val="bottom"/>
          </w:tcPr>
          <w:p>
            <w:pPr>
              <w:spacing w:after="0"/>
              <w:rPr>
                <w:sz w:val="15"/>
                <w:szCs w:val="15"/>
                <w:color w:val="auto"/>
              </w:rPr>
            </w:pPr>
          </w:p>
        </w:tc>
        <w:tc>
          <w:tcPr>
            <w:tcW w:w="22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(Supplementary Protection</w:t>
            </w:r>
          </w:p>
        </w:tc>
        <w:tc>
          <w:tcPr>
            <w:tcW w:w="2560" w:type="dxa"/>
            <w:vAlign w:val="bottom"/>
            <w:gridSpan w:val="2"/>
          </w:tcPr>
          <w:p>
            <w:pPr>
              <w:ind w:left="20"/>
              <w:spacing w:after="0" w:line="182" w:lineRule="exact"/>
              <w:rPr>
                <w:sz w:val="20"/>
                <w:szCs w:val="20"/>
                <w:color w:val="auto"/>
              </w:rPr>
            </w:pPr>
            <w:r>
              <w:rPr>
                <w:rFonts w:ascii="Arial" w:cs="Arial" w:eastAsia="Arial" w:hAnsi="Arial"/>
                <w:sz w:val="17"/>
                <w:szCs w:val="17"/>
                <w:color w:val="auto"/>
              </w:rPr>
              <w:t>(September 28, 2032)</w:t>
            </w:r>
            <w:r>
              <w:rPr>
                <w:rFonts w:ascii="Arial" w:cs="Arial" w:eastAsia="Arial" w:hAnsi="Arial"/>
                <w:sz w:val="21"/>
                <w:szCs w:val="21"/>
                <w:color w:val="auto"/>
                <w:vertAlign w:val="superscript"/>
              </w:rPr>
              <w:t>(c)</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Certificate)</w:t>
            </w:r>
          </w:p>
        </w:tc>
        <w:tc>
          <w:tcPr>
            <w:tcW w:w="2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3010539</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2888281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August 20, 2033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3064511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October 27, 2029</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3107575</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February 20, 2035</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3470432</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August 20, 2033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2624865</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3354280</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3" w:lineRule="exact"/>
              <w:rPr>
                <w:sz w:val="20"/>
                <w:szCs w:val="20"/>
                <w:color w:val="auto"/>
              </w:rPr>
            </w:pPr>
            <w:r>
              <w:rPr>
                <w:rFonts w:ascii="Arial" w:cs="Arial" w:eastAsia="Arial" w:hAnsi="Arial"/>
                <w:sz w:val="18"/>
                <w:szCs w:val="18"/>
                <w:color w:val="auto"/>
              </w:rPr>
              <w:t>JP</w:t>
            </w:r>
          </w:p>
        </w:tc>
        <w:tc>
          <w:tcPr>
            <w:tcW w:w="1340" w:type="dxa"/>
            <w:vAlign w:val="bottom"/>
            <w:gridSpan w:val="2"/>
          </w:tcPr>
          <w:p>
            <w:pPr>
              <w:ind w:left="140"/>
              <w:spacing w:after="0" w:line="183" w:lineRule="exact"/>
              <w:rPr>
                <w:sz w:val="20"/>
                <w:szCs w:val="20"/>
                <w:color w:val="auto"/>
              </w:rPr>
            </w:pPr>
            <w:r>
              <w:rPr>
                <w:rFonts w:ascii="Arial" w:cs="Arial" w:eastAsia="Arial" w:hAnsi="Arial"/>
                <w:sz w:val="18"/>
                <w:szCs w:val="18"/>
                <w:color w:val="auto"/>
              </w:rPr>
              <w:t>5,291,802</w:t>
            </w:r>
          </w:p>
        </w:tc>
        <w:tc>
          <w:tcPr>
            <w:tcW w:w="120" w:type="dxa"/>
            <w:vAlign w:val="bottom"/>
          </w:tcPr>
          <w:p>
            <w:pPr>
              <w:spacing w:after="0"/>
              <w:rPr>
                <w:sz w:val="15"/>
                <w:szCs w:val="15"/>
                <w:color w:val="auto"/>
              </w:rPr>
            </w:pPr>
          </w:p>
        </w:tc>
        <w:tc>
          <w:tcPr>
            <w:tcW w:w="22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Composition of Matter</w:t>
            </w:r>
          </w:p>
        </w:tc>
        <w:tc>
          <w:tcPr>
            <w:tcW w:w="25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October 27, 2029 – October</w:t>
            </w: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2"/>
          </w:tcPr>
          <w:p>
            <w:pPr>
              <w:ind w:left="20"/>
              <w:spacing w:after="0" w:line="248" w:lineRule="exact"/>
              <w:rPr>
                <w:sz w:val="20"/>
                <w:szCs w:val="20"/>
                <w:color w:val="auto"/>
              </w:rPr>
            </w:pPr>
            <w:r>
              <w:rPr>
                <w:rFonts w:ascii="Arial" w:cs="Arial" w:eastAsia="Arial" w:hAnsi="Arial"/>
                <w:sz w:val="18"/>
                <w:szCs w:val="18"/>
                <w:color w:val="auto"/>
              </w:rPr>
              <w:t>27, 2034</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3" w:lineRule="exact"/>
              <w:rPr>
                <w:sz w:val="20"/>
                <w:szCs w:val="20"/>
                <w:color w:val="auto"/>
              </w:rPr>
            </w:pPr>
            <w:r>
              <w:rPr>
                <w:rFonts w:ascii="Arial" w:cs="Arial" w:eastAsia="Arial" w:hAnsi="Arial"/>
                <w:sz w:val="18"/>
                <w:szCs w:val="18"/>
                <w:color w:val="auto"/>
              </w:rPr>
              <w:t>JP</w:t>
            </w:r>
          </w:p>
        </w:tc>
        <w:tc>
          <w:tcPr>
            <w:tcW w:w="1340" w:type="dxa"/>
            <w:vAlign w:val="bottom"/>
            <w:gridSpan w:val="2"/>
          </w:tcPr>
          <w:p>
            <w:pPr>
              <w:ind w:left="140"/>
              <w:spacing w:after="0" w:line="183" w:lineRule="exact"/>
              <w:rPr>
                <w:sz w:val="20"/>
                <w:szCs w:val="20"/>
                <w:color w:val="auto"/>
              </w:rPr>
            </w:pPr>
            <w:r>
              <w:rPr>
                <w:rFonts w:ascii="Arial" w:cs="Arial" w:eastAsia="Arial" w:hAnsi="Arial"/>
                <w:sz w:val="18"/>
                <w:szCs w:val="18"/>
                <w:color w:val="auto"/>
              </w:rPr>
              <w:t>5,918,246</w:t>
            </w:r>
          </w:p>
        </w:tc>
        <w:tc>
          <w:tcPr>
            <w:tcW w:w="120" w:type="dxa"/>
            <w:vAlign w:val="bottom"/>
          </w:tcPr>
          <w:p>
            <w:pPr>
              <w:spacing w:after="0"/>
              <w:rPr>
                <w:sz w:val="15"/>
                <w:szCs w:val="15"/>
                <w:color w:val="auto"/>
              </w:rPr>
            </w:pPr>
          </w:p>
        </w:tc>
        <w:tc>
          <w:tcPr>
            <w:tcW w:w="22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Formulation</w:t>
            </w:r>
          </w:p>
        </w:tc>
        <w:tc>
          <w:tcPr>
            <w:tcW w:w="25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October 5, 2031 – September</w:t>
            </w: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2"/>
          </w:tcPr>
          <w:p>
            <w:pPr>
              <w:ind w:left="20"/>
              <w:spacing w:after="0" w:line="248" w:lineRule="exact"/>
              <w:rPr>
                <w:sz w:val="20"/>
                <w:szCs w:val="20"/>
                <w:color w:val="auto"/>
              </w:rPr>
            </w:pPr>
            <w:r>
              <w:rPr>
                <w:rFonts w:ascii="Arial" w:cs="Arial" w:eastAsia="Arial" w:hAnsi="Arial"/>
                <w:sz w:val="18"/>
                <w:szCs w:val="18"/>
                <w:color w:val="auto"/>
              </w:rPr>
              <w:t>15, 2034</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3" w:lineRule="exact"/>
              <w:rPr>
                <w:sz w:val="20"/>
                <w:szCs w:val="20"/>
                <w:color w:val="auto"/>
              </w:rPr>
            </w:pPr>
            <w:r>
              <w:rPr>
                <w:rFonts w:ascii="Arial" w:cs="Arial" w:eastAsia="Arial" w:hAnsi="Arial"/>
                <w:sz w:val="18"/>
                <w:szCs w:val="18"/>
                <w:color w:val="auto"/>
              </w:rPr>
              <w:t>JP</w:t>
            </w:r>
          </w:p>
        </w:tc>
        <w:tc>
          <w:tcPr>
            <w:tcW w:w="1340" w:type="dxa"/>
            <w:vAlign w:val="bottom"/>
            <w:gridSpan w:val="2"/>
          </w:tcPr>
          <w:p>
            <w:pPr>
              <w:ind w:left="140"/>
              <w:spacing w:after="0" w:line="183" w:lineRule="exact"/>
              <w:rPr>
                <w:sz w:val="20"/>
                <w:szCs w:val="20"/>
                <w:color w:val="auto"/>
              </w:rPr>
            </w:pPr>
            <w:r>
              <w:rPr>
                <w:rFonts w:ascii="Arial" w:cs="Arial" w:eastAsia="Arial" w:hAnsi="Arial"/>
                <w:sz w:val="18"/>
                <w:szCs w:val="18"/>
                <w:color w:val="auto"/>
              </w:rPr>
              <w:t>6,306,588</w:t>
            </w:r>
          </w:p>
        </w:tc>
        <w:tc>
          <w:tcPr>
            <w:tcW w:w="120" w:type="dxa"/>
            <w:vAlign w:val="bottom"/>
          </w:tcPr>
          <w:p>
            <w:pPr>
              <w:spacing w:after="0"/>
              <w:rPr>
                <w:sz w:val="15"/>
                <w:szCs w:val="15"/>
                <w:color w:val="auto"/>
              </w:rPr>
            </w:pPr>
          </w:p>
        </w:tc>
        <w:tc>
          <w:tcPr>
            <w:tcW w:w="22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August 20, 2033 – August</w:t>
            </w: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2"/>
          </w:tcPr>
          <w:p>
            <w:pPr>
              <w:ind w:left="20"/>
              <w:spacing w:after="0" w:line="248" w:lineRule="exact"/>
              <w:rPr>
                <w:sz w:val="20"/>
                <w:szCs w:val="20"/>
                <w:color w:val="auto"/>
              </w:rPr>
            </w:pPr>
            <w:r>
              <w:rPr>
                <w:rFonts w:ascii="Arial" w:cs="Arial" w:eastAsia="Arial" w:hAnsi="Arial"/>
                <w:sz w:val="18"/>
                <w:szCs w:val="18"/>
                <w:color w:val="auto"/>
              </w:rPr>
              <w:t>29, 2034</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JP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6,353,838</w:t>
            </w:r>
          </w:p>
        </w:tc>
        <w:tc>
          <w:tcPr>
            <w:tcW w:w="12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September 4, 2033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JP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6,673,840</w:t>
            </w:r>
          </w:p>
        </w:tc>
        <w:tc>
          <w:tcPr>
            <w:tcW w:w="120" w:type="dxa"/>
            <w:vAlign w:val="bottom"/>
          </w:tcPr>
          <w:p>
            <w:pPr>
              <w:spacing w:after="0"/>
              <w:rPr>
                <w:sz w:val="21"/>
                <w:szCs w:val="21"/>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February 20, 2035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JP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6,463,351</w:t>
            </w:r>
          </w:p>
        </w:tc>
        <w:tc>
          <w:tcPr>
            <w:tcW w:w="120" w:type="dxa"/>
            <w:vAlign w:val="bottom"/>
          </w:tcPr>
          <w:p>
            <w:pPr>
              <w:spacing w:after="0"/>
              <w:rPr>
                <w:sz w:val="21"/>
                <w:szCs w:val="21"/>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JP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6,861,630</w:t>
            </w:r>
          </w:p>
        </w:tc>
        <w:tc>
          <w:tcPr>
            <w:tcW w:w="120" w:type="dxa"/>
            <w:vAlign w:val="bottom"/>
          </w:tcPr>
          <w:p>
            <w:pPr>
              <w:spacing w:after="0"/>
              <w:rPr>
                <w:sz w:val="21"/>
                <w:szCs w:val="21"/>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13, 2035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cemiplimab</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9,987,500</w:t>
            </w:r>
          </w:p>
        </w:tc>
        <w:tc>
          <w:tcPr>
            <w:tcW w:w="12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18, 2035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10,737,113</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10, 2035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10,457,725</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12, 2037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3097119</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23, 2035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3455258</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12, 2037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6,425,730</w:t>
            </w:r>
          </w:p>
        </w:tc>
        <w:tc>
          <w:tcPr>
            <w:tcW w:w="12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23, 2035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ind w:left="20"/>
              <w:spacing w:after="0" w:line="229"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(a)(f)</w:t>
            </w:r>
          </w:p>
        </w:tc>
        <w:tc>
          <w:tcPr>
            <w:tcW w:w="10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alirocumab</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8,062,640</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160" w:type="dxa"/>
            <w:vAlign w:val="bottom"/>
          </w:tcPr>
          <w:p>
            <w:pPr>
              <w:ind w:left="20"/>
              <w:spacing w:after="0"/>
              <w:rPr>
                <w:sz w:val="20"/>
                <w:szCs w:val="20"/>
                <w:color w:val="auto"/>
              </w:rPr>
            </w:pPr>
            <w:r>
              <w:rPr>
                <w:rFonts w:ascii="Arial" w:cs="Arial" w:eastAsia="Arial" w:hAnsi="Arial"/>
                <w:sz w:val="18"/>
                <w:szCs w:val="18"/>
                <w:color w:val="auto"/>
              </w:rPr>
              <w:t>December 15, 2029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10,023,654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10,472,425</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July 27, 2032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8,357,371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December 21, 2029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9,550,837</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9,724,411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10,428,157</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December 26, 2037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10,544,232</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13, 2035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10,995,150</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June 6, 2034</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11,116,839</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June 14, 2033</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2358756</w:t>
            </w:r>
          </w:p>
        </w:tc>
        <w:tc>
          <w:tcPr>
            <w:tcW w:w="12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December 15, 2029</w:t>
            </w:r>
            <w:r>
              <w:rPr>
                <w:rFonts w:ascii="Arial" w:cs="Arial" w:eastAsia="Arial" w:hAnsi="Arial"/>
                <w:sz w:val="23"/>
                <w:szCs w:val="23"/>
                <w:color w:val="auto"/>
                <w:vertAlign w:val="superscript"/>
              </w:rPr>
              <w:t>(c)</w:t>
            </w:r>
          </w:p>
        </w:tc>
        <w:tc>
          <w:tcPr>
            <w:tcW w:w="0" w:type="dxa"/>
            <w:vAlign w:val="bottom"/>
          </w:tcPr>
          <w:p>
            <w:pPr>
              <w:spacing w:after="0"/>
              <w:rPr>
                <w:sz w:val="1"/>
                <w:szCs w:val="1"/>
                <w:color w:val="auto"/>
              </w:rPr>
            </w:pPr>
          </w:p>
        </w:tc>
      </w:tr>
      <w:tr>
        <w:trPr>
          <w:trHeight w:val="728"/>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2"/>
          </w:tcPr>
          <w:p>
            <w:pPr>
              <w:jc w:val="right"/>
              <w:ind w:right="4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500" w:type="dxa"/>
            <w:vAlign w:val="bottom"/>
          </w:tcPr>
          <w:p>
            <w:pPr>
              <w:ind w:left="44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17"/>
                <w:szCs w:val="17"/>
                <w:color w:val="auto"/>
              </w:rPr>
            </w:pPr>
          </w:p>
        </w:tc>
        <w:tc>
          <w:tcPr>
            <w:tcW w:w="16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Territory</w:t>
            </w:r>
          </w:p>
        </w:tc>
        <w:tc>
          <w:tcPr>
            <w:tcW w:w="120" w:type="dxa"/>
            <w:vAlign w:val="bottom"/>
          </w:tcPr>
          <w:p>
            <w:pPr>
              <w:spacing w:after="0"/>
              <w:rPr>
                <w:sz w:val="17"/>
                <w:szCs w:val="17"/>
                <w:color w:val="auto"/>
              </w:rPr>
            </w:pPr>
          </w:p>
        </w:tc>
        <w:tc>
          <w:tcPr>
            <w:tcW w:w="12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Patent No.</w:t>
            </w:r>
          </w:p>
        </w:tc>
        <w:tc>
          <w:tcPr>
            <w:tcW w:w="120" w:type="dxa"/>
            <w:vAlign w:val="bottom"/>
          </w:tcPr>
          <w:p>
            <w:pPr>
              <w:spacing w:after="0"/>
              <w:rPr>
                <w:sz w:val="17"/>
                <w:szCs w:val="17"/>
                <w:color w:val="auto"/>
              </w:rPr>
            </w:pPr>
          </w:p>
        </w:tc>
        <w:tc>
          <w:tcPr>
            <w:tcW w:w="2160" w:type="dxa"/>
            <w:vAlign w:val="bottom"/>
          </w:tcPr>
          <w:p>
            <w:pPr>
              <w:ind w:left="160"/>
              <w:spacing w:after="0"/>
              <w:rPr>
                <w:sz w:val="20"/>
                <w:szCs w:val="20"/>
                <w:color w:val="auto"/>
              </w:rPr>
            </w:pPr>
            <w:r>
              <w:rPr>
                <w:rFonts w:ascii="Arial" w:cs="Arial" w:eastAsia="Arial" w:hAnsi="Arial"/>
                <w:sz w:val="18"/>
                <w:szCs w:val="18"/>
                <w:b w:val="1"/>
                <w:bCs w:val="1"/>
                <w:color w:val="auto"/>
              </w:rPr>
              <w:t>General Subject Matter</w:t>
            </w:r>
          </w:p>
        </w:tc>
        <w:tc>
          <w:tcPr>
            <w:tcW w:w="120" w:type="dxa"/>
            <w:vAlign w:val="bottom"/>
          </w:tcPr>
          <w:p>
            <w:pPr>
              <w:spacing w:after="0"/>
              <w:rPr>
                <w:sz w:val="17"/>
                <w:szCs w:val="17"/>
                <w:color w:val="auto"/>
              </w:rPr>
            </w:pPr>
          </w:p>
        </w:tc>
        <w:tc>
          <w:tcPr>
            <w:tcW w:w="216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29"/>
        </w:trPr>
        <w:tc>
          <w:tcPr>
            <w:tcW w:w="1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i w:val="1"/>
                <w:iCs w:val="1"/>
                <w:color w:val="auto"/>
              </w:rPr>
              <w:t>(continued)</w:t>
            </w:r>
          </w:p>
        </w:tc>
        <w:tc>
          <w:tcPr>
            <w:tcW w:w="100" w:type="dxa"/>
            <w:vAlign w:val="bottom"/>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Class</w:t>
            </w:r>
          </w:p>
        </w:tc>
        <w:tc>
          <w:tcPr>
            <w:tcW w:w="12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00" w:type="dxa"/>
            <w:vAlign w:val="bottom"/>
          </w:tcPr>
          <w:p>
            <w:pPr>
              <w:ind w:left="20"/>
              <w:spacing w:after="0" w:line="169" w:lineRule="exact"/>
              <w:rPr>
                <w:sz w:val="20"/>
                <w:szCs w:val="20"/>
                <w:color w:val="auto"/>
              </w:rPr>
            </w:pPr>
            <w:r>
              <w:rPr>
                <w:rFonts w:ascii="Arial" w:cs="Arial" w:eastAsia="Arial" w:hAnsi="Arial"/>
                <w:sz w:val="15"/>
                <w:szCs w:val="15"/>
                <w:color w:val="auto"/>
              </w:rPr>
              <w:t>Praluent</w:t>
            </w:r>
            <w:r>
              <w:rPr>
                <w:rFonts w:ascii="Arial" w:cs="Arial" w:eastAsia="Arial" w:hAnsi="Arial"/>
                <w:sz w:val="19"/>
                <w:szCs w:val="19"/>
                <w:color w:val="auto"/>
                <w:vertAlign w:val="superscript"/>
              </w:rPr>
              <w:t>(a)(f)</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ind w:left="20"/>
              <w:spacing w:after="0" w:line="169" w:lineRule="exact"/>
              <w:rPr>
                <w:sz w:val="20"/>
                <w:szCs w:val="20"/>
                <w:color w:val="auto"/>
              </w:rPr>
            </w:pPr>
            <w:r>
              <w:rPr>
                <w:rFonts w:ascii="Arial" w:cs="Arial" w:eastAsia="Arial" w:hAnsi="Arial"/>
                <w:sz w:val="18"/>
                <w:szCs w:val="18"/>
                <w:color w:val="auto"/>
              </w:rPr>
              <w:t>EP</w:t>
            </w:r>
          </w:p>
        </w:tc>
        <w:tc>
          <w:tcPr>
            <w:tcW w:w="120" w:type="dxa"/>
            <w:vAlign w:val="bottom"/>
          </w:tcPr>
          <w:p>
            <w:pPr>
              <w:spacing w:after="0"/>
              <w:rPr>
                <w:sz w:val="14"/>
                <w:szCs w:val="14"/>
                <w:color w:val="auto"/>
              </w:rPr>
            </w:pPr>
          </w:p>
        </w:tc>
        <w:tc>
          <w:tcPr>
            <w:tcW w:w="1220" w:type="dxa"/>
            <w:vAlign w:val="bottom"/>
          </w:tcPr>
          <w:p>
            <w:pPr>
              <w:ind w:left="20"/>
              <w:spacing w:after="0" w:line="169" w:lineRule="exact"/>
              <w:rPr>
                <w:sz w:val="20"/>
                <w:szCs w:val="20"/>
                <w:color w:val="auto"/>
              </w:rPr>
            </w:pPr>
            <w:r>
              <w:rPr>
                <w:rFonts w:ascii="Arial" w:cs="Arial" w:eastAsia="Arial" w:hAnsi="Arial"/>
                <w:sz w:val="18"/>
                <w:szCs w:val="18"/>
                <w:color w:val="auto"/>
              </w:rPr>
              <w:t>2358756</w:t>
            </w:r>
          </w:p>
        </w:tc>
        <w:tc>
          <w:tcPr>
            <w:tcW w:w="120" w:type="dxa"/>
            <w:vAlign w:val="bottom"/>
          </w:tcPr>
          <w:p>
            <w:pPr>
              <w:spacing w:after="0"/>
              <w:rPr>
                <w:sz w:val="14"/>
                <w:szCs w:val="14"/>
                <w:color w:val="auto"/>
              </w:rPr>
            </w:pPr>
          </w:p>
        </w:tc>
        <w:tc>
          <w:tcPr>
            <w:tcW w:w="2160" w:type="dxa"/>
            <w:vAlign w:val="bottom"/>
          </w:tcPr>
          <w:p>
            <w:pPr>
              <w:ind w:left="20"/>
              <w:spacing w:after="0" w:line="169" w:lineRule="exact"/>
              <w:rPr>
                <w:sz w:val="20"/>
                <w:szCs w:val="20"/>
                <w:color w:val="auto"/>
              </w:rPr>
            </w:pPr>
            <w:r>
              <w:rPr>
                <w:rFonts w:ascii="Arial" w:cs="Arial" w:eastAsia="Arial" w:hAnsi="Arial"/>
                <w:sz w:val="18"/>
                <w:szCs w:val="18"/>
                <w:color w:val="auto"/>
                <w:w w:val="99"/>
              </w:rPr>
              <w:t>(Supplementary Protection</w:t>
            </w:r>
          </w:p>
        </w:tc>
        <w:tc>
          <w:tcPr>
            <w:tcW w:w="120" w:type="dxa"/>
            <w:vAlign w:val="bottom"/>
          </w:tcPr>
          <w:p>
            <w:pPr>
              <w:spacing w:after="0"/>
              <w:rPr>
                <w:sz w:val="14"/>
                <w:szCs w:val="14"/>
                <w:color w:val="auto"/>
              </w:rPr>
            </w:pPr>
          </w:p>
        </w:tc>
        <w:tc>
          <w:tcPr>
            <w:tcW w:w="2160" w:type="dxa"/>
            <w:vAlign w:val="bottom"/>
          </w:tcPr>
          <w:p>
            <w:pPr>
              <w:ind w:left="20"/>
              <w:spacing w:after="0" w:line="169" w:lineRule="exact"/>
              <w:rPr>
                <w:sz w:val="20"/>
                <w:szCs w:val="20"/>
                <w:color w:val="auto"/>
              </w:rPr>
            </w:pPr>
            <w:r>
              <w:rPr>
                <w:rFonts w:ascii="Arial" w:cs="Arial" w:eastAsia="Arial" w:hAnsi="Arial"/>
                <w:sz w:val="15"/>
                <w:szCs w:val="15"/>
                <w:color w:val="auto"/>
              </w:rPr>
              <w:t>(September 25, 2030)</w:t>
            </w:r>
            <w:r>
              <w:rPr>
                <w:rFonts w:ascii="Arial" w:cs="Arial" w:eastAsia="Arial" w:hAnsi="Arial"/>
                <w:sz w:val="19"/>
                <w:szCs w:val="19"/>
                <w:color w:val="auto"/>
                <w:vertAlign w:val="superscript"/>
              </w:rPr>
              <w:t>(c)</w:t>
            </w: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Arial" w:cs="Arial" w:eastAsia="Arial" w:hAnsi="Arial"/>
                <w:sz w:val="18"/>
                <w:szCs w:val="18"/>
                <w:i w:val="1"/>
                <w:iCs w:val="1"/>
                <w:color w:val="auto"/>
              </w:rPr>
              <w:t>(continued)</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Certificate)</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3156422</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Composition of Matter</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2756004</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September 12, 2032</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3055333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October 10, 2034</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3169353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16, 2035</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3169362</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16, 2035</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3004171</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June 6, 2034</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3068803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November 12, 2034</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3395836</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Methods of Manufacturing</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January 27, 2032</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sarilumab</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7,582,298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May 22, 2031</w:t>
            </w:r>
            <w:r>
              <w:rPr>
                <w:rFonts w:ascii="Arial" w:cs="Arial" w:eastAsia="Arial" w:hAnsi="Arial"/>
                <w:sz w:val="23"/>
                <w:szCs w:val="23"/>
                <w:color w:val="auto"/>
                <w:vertAlign w:val="superscript"/>
              </w:rPr>
              <w:t>(g)</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10,072,086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19, 2031</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11,098,127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7, 2031</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8,080,248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2027</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8,568,721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2027</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9,943,594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28, 2033</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10,927,435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10, 2032</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2041177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June 1, 2027</w:t>
            </w:r>
            <w:r>
              <w:rPr>
                <w:rFonts w:ascii="Arial" w:cs="Arial" w:eastAsia="Arial" w:hAnsi="Arial"/>
                <w:sz w:val="23"/>
                <w:szCs w:val="23"/>
                <w:color w:val="auto"/>
                <w:vertAlign w:val="superscript"/>
              </w:rPr>
              <w:t>(c)</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2041177</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(Supplementary Protection</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(June 1, 2032)</w:t>
            </w:r>
            <w:r>
              <w:rPr>
                <w:rFonts w:ascii="Arial" w:cs="Arial" w:eastAsia="Arial" w:hAnsi="Arial"/>
                <w:sz w:val="20"/>
                <w:szCs w:val="20"/>
                <w:color w:val="auto"/>
                <w:vertAlign w:val="superscript"/>
              </w:rPr>
              <w:t>(c)</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2766039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10, 2032</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3071230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21, 2034</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3409269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7, 2031</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JP</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5,307,708</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Composition of Matter</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June 1, 2027 – August 22,</w:t>
            </w:r>
          </w:p>
        </w:tc>
        <w:tc>
          <w:tcPr>
            <w:tcW w:w="0" w:type="dxa"/>
            <w:vAlign w:val="bottom"/>
          </w:tcPr>
          <w:p>
            <w:pPr>
              <w:spacing w:after="0"/>
              <w:rPr>
                <w:sz w:val="1"/>
                <w:szCs w:val="1"/>
                <w:color w:val="auto"/>
              </w:rPr>
            </w:pPr>
          </w:p>
        </w:tc>
      </w:tr>
      <w:tr>
        <w:trPr>
          <w:trHeight w:val="248"/>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line="248" w:lineRule="exact"/>
              <w:rPr>
                <w:sz w:val="20"/>
                <w:szCs w:val="20"/>
                <w:color w:val="auto"/>
              </w:rPr>
            </w:pPr>
            <w:r>
              <w:rPr>
                <w:rFonts w:ascii="Arial" w:cs="Arial" w:eastAsia="Arial" w:hAnsi="Arial"/>
                <w:sz w:val="18"/>
                <w:szCs w:val="18"/>
                <w:color w:val="auto"/>
              </w:rPr>
              <w:t>2031</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JP</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5,805,660</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Formulation</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w w:val="99"/>
              </w:rPr>
              <w:t>January 7, 2031 – October</w:t>
            </w:r>
          </w:p>
        </w:tc>
        <w:tc>
          <w:tcPr>
            <w:tcW w:w="0" w:type="dxa"/>
            <w:vAlign w:val="bottom"/>
          </w:tcPr>
          <w:p>
            <w:pPr>
              <w:spacing w:after="0"/>
              <w:rPr>
                <w:sz w:val="1"/>
                <w:szCs w:val="1"/>
                <w:color w:val="auto"/>
              </w:rPr>
            </w:pPr>
          </w:p>
        </w:tc>
      </w:tr>
      <w:tr>
        <w:trPr>
          <w:trHeight w:val="248"/>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line="248" w:lineRule="exact"/>
              <w:rPr>
                <w:sz w:val="20"/>
                <w:szCs w:val="20"/>
                <w:color w:val="auto"/>
              </w:rPr>
            </w:pPr>
            <w:r>
              <w:rPr>
                <w:rFonts w:ascii="Arial" w:cs="Arial" w:eastAsia="Arial" w:hAnsi="Arial"/>
                <w:sz w:val="18"/>
                <w:szCs w:val="18"/>
                <w:color w:val="auto"/>
              </w:rPr>
              <w:t>24, 2031</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JP</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6,122,018</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October 10, 2032 – March</w:t>
            </w:r>
          </w:p>
        </w:tc>
        <w:tc>
          <w:tcPr>
            <w:tcW w:w="0" w:type="dxa"/>
            <w:vAlign w:val="bottom"/>
          </w:tcPr>
          <w:p>
            <w:pPr>
              <w:spacing w:after="0"/>
              <w:rPr>
                <w:sz w:val="1"/>
                <w:szCs w:val="1"/>
                <w:color w:val="auto"/>
              </w:rPr>
            </w:pPr>
          </w:p>
        </w:tc>
      </w:tr>
      <w:tr>
        <w:trPr>
          <w:trHeight w:val="248"/>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line="248" w:lineRule="exact"/>
              <w:rPr>
                <w:sz w:val="20"/>
                <w:szCs w:val="20"/>
                <w:color w:val="auto"/>
              </w:rPr>
            </w:pPr>
            <w:r>
              <w:rPr>
                <w:rFonts w:ascii="Arial" w:cs="Arial" w:eastAsia="Arial" w:hAnsi="Arial"/>
                <w:sz w:val="18"/>
                <w:szCs w:val="18"/>
                <w:color w:val="auto"/>
              </w:rPr>
              <w:t>29, 2033</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244"/>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6,657,089</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21, 2034</w:t>
            </w: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line="176" w:lineRule="exact"/>
              <w:rPr>
                <w:sz w:val="20"/>
                <w:szCs w:val="20"/>
                <w:color w:val="auto"/>
              </w:rPr>
            </w:pPr>
            <w:r>
              <w:rPr>
                <w:rFonts w:ascii="Arial" w:cs="Arial" w:eastAsia="Arial" w:hAnsi="Arial"/>
                <w:sz w:val="16"/>
                <w:szCs w:val="16"/>
                <w:color w:val="auto"/>
              </w:rPr>
              <w:t>REGEN-COV</w:t>
            </w:r>
            <w:r>
              <w:rPr>
                <w:rFonts w:ascii="Arial" w:cs="Arial" w:eastAsia="Arial" w:hAnsi="Arial"/>
                <w:sz w:val="20"/>
                <w:szCs w:val="20"/>
                <w:color w:val="auto"/>
                <w:vertAlign w:val="superscript"/>
              </w:rPr>
              <w:t>(a)</w:t>
            </w:r>
          </w:p>
        </w:tc>
        <w:tc>
          <w:tcPr>
            <w:tcW w:w="100" w:type="dxa"/>
            <w:vAlign w:val="bottom"/>
          </w:tcPr>
          <w:p>
            <w:pPr>
              <w:spacing w:after="0"/>
              <w:rPr>
                <w:sz w:val="15"/>
                <w:szCs w:val="15"/>
                <w:color w:val="auto"/>
              </w:rPr>
            </w:pPr>
          </w:p>
        </w:tc>
        <w:tc>
          <w:tcPr>
            <w:tcW w:w="1600" w:type="dxa"/>
            <w:vAlign w:val="bottom"/>
          </w:tcPr>
          <w:p>
            <w:pPr>
              <w:ind w:left="20"/>
              <w:spacing w:after="0" w:line="176" w:lineRule="exact"/>
              <w:rPr>
                <w:sz w:val="20"/>
                <w:szCs w:val="20"/>
                <w:color w:val="auto"/>
              </w:rPr>
            </w:pPr>
            <w:r>
              <w:rPr>
                <w:rFonts w:ascii="Arial" w:cs="Arial" w:eastAsia="Arial" w:hAnsi="Arial"/>
                <w:sz w:val="18"/>
                <w:szCs w:val="18"/>
                <w:color w:val="auto"/>
              </w:rPr>
              <w:t>casirivimab and</w:t>
            </w:r>
          </w:p>
        </w:tc>
        <w:tc>
          <w:tcPr>
            <w:tcW w:w="100" w:type="dxa"/>
            <w:vAlign w:val="bottom"/>
          </w:tcPr>
          <w:p>
            <w:pPr>
              <w:spacing w:after="0"/>
              <w:rPr>
                <w:sz w:val="15"/>
                <w:szCs w:val="15"/>
                <w:color w:val="auto"/>
              </w:rPr>
            </w:pPr>
          </w:p>
        </w:tc>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5"/>
                <w:szCs w:val="15"/>
                <w:color w:val="auto"/>
              </w:rPr>
            </w:pPr>
          </w:p>
        </w:tc>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10,787,501</w:t>
            </w:r>
          </w:p>
        </w:tc>
        <w:tc>
          <w:tcPr>
            <w:tcW w:w="120" w:type="dxa"/>
            <w:vAlign w:val="bottom"/>
          </w:tcPr>
          <w:p>
            <w:pPr>
              <w:spacing w:after="0"/>
              <w:rPr>
                <w:sz w:val="15"/>
                <w:szCs w:val="15"/>
                <w:color w:val="auto"/>
              </w:rPr>
            </w:pPr>
          </w:p>
        </w:tc>
        <w:tc>
          <w:tcPr>
            <w:tcW w:w="2160" w:type="dxa"/>
            <w:vAlign w:val="bottom"/>
          </w:tcPr>
          <w:p>
            <w:pPr>
              <w:ind w:left="20"/>
              <w:spacing w:after="0" w:line="176" w:lineRule="exact"/>
              <w:rPr>
                <w:sz w:val="20"/>
                <w:szCs w:val="20"/>
                <w:color w:val="auto"/>
              </w:rPr>
            </w:pPr>
            <w:r>
              <w:rPr>
                <w:rFonts w:ascii="Arial" w:cs="Arial" w:eastAsia="Arial" w:hAnsi="Arial"/>
                <w:sz w:val="18"/>
                <w:szCs w:val="18"/>
                <w:color w:val="auto"/>
              </w:rPr>
              <w:t>Composition of Matter</w:t>
            </w:r>
          </w:p>
        </w:tc>
        <w:tc>
          <w:tcPr>
            <w:tcW w:w="120" w:type="dxa"/>
            <w:vAlign w:val="bottom"/>
          </w:tcPr>
          <w:p>
            <w:pPr>
              <w:spacing w:after="0"/>
              <w:rPr>
                <w:sz w:val="15"/>
                <w:szCs w:val="15"/>
                <w:color w:val="auto"/>
              </w:rPr>
            </w:pPr>
          </w:p>
        </w:tc>
        <w:tc>
          <w:tcPr>
            <w:tcW w:w="2160" w:type="dxa"/>
            <w:vAlign w:val="bottom"/>
          </w:tcPr>
          <w:p>
            <w:pPr>
              <w:ind w:left="20"/>
              <w:spacing w:after="0" w:line="176" w:lineRule="exact"/>
              <w:rPr>
                <w:sz w:val="20"/>
                <w:szCs w:val="20"/>
                <w:color w:val="auto"/>
              </w:rPr>
            </w:pPr>
            <w:r>
              <w:rPr>
                <w:rFonts w:ascii="Arial" w:cs="Arial" w:eastAsia="Arial" w:hAnsi="Arial"/>
                <w:sz w:val="18"/>
                <w:szCs w:val="18"/>
                <w:color w:val="auto"/>
              </w:rPr>
              <w:t>June 25, 2040</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imdevimab</w:t>
            </w:r>
          </w:p>
        </w:tc>
        <w:tc>
          <w:tcPr>
            <w:tcW w:w="100" w:type="dxa"/>
            <w:vAlign w:val="bottom"/>
          </w:tcPr>
          <w:p>
            <w:pPr>
              <w:spacing w:after="0"/>
              <w:rPr>
                <w:sz w:val="20"/>
                <w:szCs w:val="20"/>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vMerge w:val="restart"/>
          </w:tcPr>
          <w:p>
            <w:pPr>
              <w:ind w:left="140"/>
              <w:spacing w:after="0"/>
              <w:rPr>
                <w:sz w:val="20"/>
                <w:szCs w:val="20"/>
                <w:color w:val="auto"/>
              </w:rPr>
            </w:pPr>
            <w:r>
              <w:rPr>
                <w:rFonts w:ascii="Arial" w:cs="Arial" w:eastAsia="Arial" w:hAnsi="Arial"/>
                <w:sz w:val="18"/>
                <w:szCs w:val="18"/>
                <w:color w:val="auto"/>
              </w:rPr>
              <w:t>10,975,139</w:t>
            </w:r>
          </w:p>
        </w:tc>
        <w:tc>
          <w:tcPr>
            <w:tcW w:w="120" w:type="dxa"/>
            <w:vAlign w:val="bottom"/>
          </w:tcPr>
          <w:p>
            <w:pPr>
              <w:spacing w:after="0"/>
              <w:rPr>
                <w:sz w:val="20"/>
                <w:szCs w:val="20"/>
                <w:color w:val="auto"/>
              </w:rPr>
            </w:pPr>
          </w:p>
        </w:tc>
        <w:tc>
          <w:tcPr>
            <w:tcW w:w="2160" w:type="dxa"/>
            <w:vAlign w:val="bottom"/>
            <w:vMerge w:val="restart"/>
          </w:tcPr>
          <w:p>
            <w:pPr>
              <w:ind w:left="20"/>
              <w:spacing w:after="0"/>
              <w:rPr>
                <w:sz w:val="20"/>
                <w:szCs w:val="20"/>
                <w:color w:val="auto"/>
              </w:rPr>
            </w:pPr>
            <w:r>
              <w:rPr>
                <w:rFonts w:ascii="Arial" w:cs="Arial" w:eastAsia="Arial" w:hAnsi="Arial"/>
                <w:sz w:val="18"/>
                <w:szCs w:val="18"/>
                <w:color w:val="auto"/>
              </w:rPr>
              <w:t>Composition of Matter</w:t>
            </w:r>
          </w:p>
        </w:tc>
        <w:tc>
          <w:tcPr>
            <w:tcW w:w="120" w:type="dxa"/>
            <w:vAlign w:val="bottom"/>
          </w:tcPr>
          <w:p>
            <w:pPr>
              <w:spacing w:after="0"/>
              <w:rPr>
                <w:sz w:val="20"/>
                <w:szCs w:val="20"/>
                <w:color w:val="auto"/>
              </w:rPr>
            </w:pPr>
          </w:p>
        </w:tc>
        <w:tc>
          <w:tcPr>
            <w:tcW w:w="2160" w:type="dxa"/>
            <w:vAlign w:val="bottom"/>
            <w:vMerge w:val="restart"/>
          </w:tcPr>
          <w:p>
            <w:pPr>
              <w:ind w:left="20"/>
              <w:spacing w:after="0"/>
              <w:rPr>
                <w:sz w:val="20"/>
                <w:szCs w:val="20"/>
                <w:color w:val="auto"/>
              </w:rPr>
            </w:pPr>
            <w:r>
              <w:rPr>
                <w:rFonts w:ascii="Arial" w:cs="Arial" w:eastAsia="Arial" w:hAnsi="Arial"/>
                <w:sz w:val="18"/>
                <w:szCs w:val="18"/>
                <w:color w:val="auto"/>
              </w:rPr>
              <w:t>June 25, 2040</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right="440" w:hanging="7"/>
        <w:spacing w:after="0" w:line="213" w:lineRule="auto"/>
        <w:tabs>
          <w:tab w:leader="none" w:pos="81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 xml:space="preserve">See Note 15 to our Consolidated Financial Statements for information regarding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post-grant review petitions filed in the U.S. Patent and Trademark Office relating to EYLEA and patent infringement proceedings relating to Dupixent, Praluent, and REGEN-COV.</w:t>
      </w:r>
    </w:p>
    <w:p>
      <w:pPr>
        <w:spacing w:after="0" w:line="10" w:lineRule="exact"/>
        <w:rPr>
          <w:rFonts w:ascii="Arial" w:cs="Arial" w:eastAsia="Arial" w:hAnsi="Arial"/>
          <w:sz w:val="21"/>
          <w:szCs w:val="21"/>
          <w:color w:val="auto"/>
          <w:vertAlign w:val="superscript"/>
        </w:rPr>
      </w:pPr>
    </w:p>
    <w:p>
      <w:pPr>
        <w:ind w:left="640" w:right="40" w:hanging="7"/>
        <w:spacing w:after="0" w:line="202" w:lineRule="auto"/>
        <w:tabs>
          <w:tab w:leader="none" w:pos="817"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A patent term extension has been granted by the U.S. Patent and Trademark Office, extending the original patent term (May 23, 2020), insofar as it covers EYLEA, to June 16, 2023.</w:t>
      </w:r>
    </w:p>
    <w:p>
      <w:pPr>
        <w:spacing w:after="0" w:line="10" w:lineRule="exact"/>
        <w:rPr>
          <w:rFonts w:ascii="Arial" w:cs="Arial" w:eastAsia="Arial" w:hAnsi="Arial"/>
          <w:sz w:val="22"/>
          <w:szCs w:val="22"/>
          <w:color w:val="auto"/>
          <w:vertAlign w:val="superscript"/>
        </w:rPr>
      </w:pPr>
    </w:p>
    <w:p>
      <w:pPr>
        <w:ind w:left="640" w:right="180" w:hanging="7"/>
        <w:spacing w:after="0" w:line="202" w:lineRule="auto"/>
        <w:tabs>
          <w:tab w:leader="none" w:pos="81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Supplementary protection certificates ("SPCs") are pending and/or have been granted in various European countries, extending the original patent terms in those countries, where granted, to the applicable dates indicated in parentheses.</w:t>
      </w:r>
    </w:p>
    <w:p>
      <w:pPr>
        <w:spacing w:after="0" w:line="10" w:lineRule="exact"/>
        <w:rPr>
          <w:rFonts w:ascii="Arial" w:cs="Arial" w:eastAsia="Arial" w:hAnsi="Arial"/>
          <w:sz w:val="22"/>
          <w:szCs w:val="22"/>
          <w:color w:val="auto"/>
          <w:vertAlign w:val="superscript"/>
        </w:rPr>
      </w:pPr>
    </w:p>
    <w:p>
      <w:pPr>
        <w:ind w:left="640" w:right="60" w:hanging="7"/>
        <w:spacing w:after="0" w:line="206" w:lineRule="auto"/>
        <w:tabs>
          <w:tab w:leader="none" w:pos="817"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 patent term extension ("PTE") system in Japan allows for a patent to be extended more than once provided the later approval is directed to a different indication from that of the previous approval. This may result in multiple PTE approvals for a given patent, each with its own expiration date. In this table, date ranges are shown for the expiration of Japanese patents for which multiple PTEs have been granted, with the later date indicating the latest expiring PTE for the corresponding patent.</w:t>
      </w:r>
    </w:p>
    <w:p>
      <w:pPr>
        <w:spacing w:after="0" w:line="24" w:lineRule="exact"/>
        <w:rPr>
          <w:rFonts w:ascii="Arial" w:cs="Arial" w:eastAsia="Arial" w:hAnsi="Arial"/>
          <w:sz w:val="22"/>
          <w:szCs w:val="22"/>
          <w:color w:val="auto"/>
          <w:vertAlign w:val="superscript"/>
        </w:rPr>
      </w:pPr>
    </w:p>
    <w:p>
      <w:pPr>
        <w:ind w:left="640" w:right="360" w:hanging="7"/>
        <w:spacing w:after="0" w:line="202" w:lineRule="auto"/>
        <w:tabs>
          <w:tab w:leader="none" w:pos="814"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A patent term extension has been granted by the U.S. Patent and Trademark Office, extending the original patent term (October 2, 2027), insofar as it covers Dupixent, to March 28, 2031.</w:t>
      </w:r>
    </w:p>
    <w:p>
      <w:pPr>
        <w:ind w:left="800" w:hanging="167"/>
        <w:spacing w:after="0" w:line="196" w:lineRule="auto"/>
        <w:tabs>
          <w:tab w:leader="none" w:pos="80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This table excludes Japanese patents related to Praluent because Praluent is not being commercialized in Japan at this time.</w:t>
      </w:r>
    </w:p>
    <w:p>
      <w:pPr>
        <w:spacing w:after="0" w:line="23" w:lineRule="exact"/>
        <w:rPr>
          <w:rFonts w:ascii="Arial" w:cs="Arial" w:eastAsia="Arial" w:hAnsi="Arial"/>
          <w:sz w:val="23"/>
          <w:szCs w:val="23"/>
          <w:color w:val="auto"/>
          <w:vertAlign w:val="superscript"/>
        </w:rPr>
      </w:pPr>
    </w:p>
    <w:p>
      <w:pPr>
        <w:ind w:left="640" w:right="120" w:hanging="7"/>
        <w:spacing w:after="0" w:line="194" w:lineRule="auto"/>
        <w:tabs>
          <w:tab w:leader="none" w:pos="817"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A patent term extension has been granted by the U.S. Patent and Trademark Office, extending the original patent term (June 1, 2027), insofar as it covers Kevzara, to May 22, 2031.</w:t>
      </w:r>
    </w:p>
    <w:p>
      <w:pPr>
        <w:spacing w:after="0" w:line="200" w:lineRule="exact"/>
        <w:rPr>
          <w:sz w:val="20"/>
          <w:szCs w:val="20"/>
          <w:color w:val="auto"/>
        </w:rPr>
      </w:pPr>
    </w:p>
    <w:p>
      <w:pPr>
        <w:spacing w:after="0" w:line="37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73" w:right="7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to our patent portfolio,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Arial" w:cs="Arial" w:eastAsia="Arial" w:hAnsi="Arial"/>
          <w:sz w:val="18"/>
          <w:szCs w:val="18"/>
          <w:i w:val="1"/>
          <w:iCs w:val="1"/>
          <w:color w:val="auto"/>
        </w:rPr>
        <w:t>Loss or limitation of patent rights, and regulatory pathways for biosimilar competition, could reduce the</w:t>
      </w:r>
      <w:r>
        <w:rPr>
          <w:rFonts w:ascii="Arial" w:cs="Arial" w:eastAsia="Arial" w:hAnsi="Arial"/>
          <w:sz w:val="18"/>
          <w:szCs w:val="18"/>
          <w:color w:val="auto"/>
        </w:rPr>
        <w:t xml:space="preserve"> </w:t>
      </w:r>
      <w:r>
        <w:rPr>
          <w:rFonts w:ascii="Arial" w:cs="Arial" w:eastAsia="Arial" w:hAnsi="Arial"/>
          <w:sz w:val="18"/>
          <w:szCs w:val="18"/>
          <w:i w:val="1"/>
          <w:iCs w:val="1"/>
          <w:color w:val="auto"/>
        </w:rPr>
        <w:t>duration of market exclusivity for our products</w:t>
      </w:r>
      <w:r>
        <w:rPr>
          <w:rFonts w:ascii="Arial" w:cs="Arial" w:eastAsia="Arial" w:hAnsi="Arial"/>
          <w:sz w:val="18"/>
          <w:szCs w:val="18"/>
          <w:color w:val="auto"/>
        </w:rPr>
        <w:t>"). The effect of expiration of a patent relating to a particular product also depends upon other factors,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 Libtayo. Under the agreement, we and Sanofi pay royalties of 8.0% on worldwide sales of Libtayo through December 31, 2023, and royalties of 2.5% from January 1, 2024 through December 31, 2026. The royalties are shared equally by us and Sanofi.</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7"/>
          <w:szCs w:val="17"/>
          <w:i w:val="1"/>
          <w:iCs w:val="1"/>
          <w:color w:val="auto"/>
        </w:rPr>
        <w:t>We may be restricted in our development, manufacturing, and/or</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commercialization activities by patents or other proprietary rights of others, and could be subject to awards of damages if we are found to have infringed such patents or rights</w:t>
      </w:r>
      <w:r>
        <w:rPr>
          <w:rFonts w:ascii="Arial" w:cs="Arial" w:eastAsia="Arial" w:hAnsi="Arial"/>
          <w:sz w:val="17"/>
          <w:szCs w:val="17"/>
          <w:color w:val="auto"/>
        </w:rPr>
        <w:t>"; and Note 15 to our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Regulation by government authorities in the United States and foreign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Requirements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foreign countries.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Approval</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and foreign authorities. The structure and substance of the FDA and foreign pharmaceutical regulatory practices may evolve over time. The ultimate outcome and impact of such developments cannot be predicted.</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Clinical trials involve the administration of a drug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conducting, recording data from, and reporting the results of, clinical trials, and are intended to assure that the data and reported results are credible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may be submitted in support of a BLA if the study was conducted in accordance with GCPs and the FDA is able to validate the data. 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Typically, clinical testing involves a three-phase process, which may overlap or be subdivided in some cases.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Although Phase 1 trials are typically conducted in healthy human subjects, in some instances, the trial subjects are patients with the targeted disease or condition.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overall risk-benefit profile. Phase 3 data often form the core basis on which the FDA and comparable foreign regulatory authorities evaluate a product candidate's safety and effectiveness when considering the product application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 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the preclinical and clinical testing of a biologic product candidate are then submitted to the FDA in the form of a BLA for evaluation to determine whether the product candidate may be approved for commercial sale under the Public Health Service Act. Under the Prescription Drug User Fee Act, we typically must pay fees to the FDA for review of any BLA. When a BLA is submitted, the FDA makes an initial determination as to whether the application is sufficiently complete to be accepted for review. If the application is not, the FDA may refuse to accept the BLA for filing and request additional information. A refusal to file, which requires resubmission of the BLA with the requested additional information, delays review of the application. If the application is accepted for review, the FDA reviews the application to determine, among other things, whether a product is safe and effective for its intended use and whether the manufacturing controls are adequate to assure and preserve the product's identity, strength, quality, and purity.</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FDA performance goals generally provide for action on a BLA within 10 months of the 60-day filing date (or within 12 months of the BLA submission). That deadline can be extended by FDA under certain circumstances, including by the FDA's requests for additional information. The targeted action date can be 6 months after the 60-day filing date (or 8 months after BLA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some BLAs,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or biologic product, the FDA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also can audit the sponsor of the BLA to determine if the clinical studies were conducted in compliance with current GCPs. After review of a BLA, the FDA may grant marketing approval, request additional information, or issue a complete response letter ("CRL") outlining the deficiencies in the submission. The CRL may require additional testing or information, including additional preclinical or clinical data, for the FDA to reconsider the application. Even if such additional information and data are submitted, the FDA may decide that the BLA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 Additionally, as a condition of approval, the FDA may impose restrictions that could affect the commercial prospects of a product and increase our costs, such as a Risk Evaluation and Mitigation Strategy ("REMS") to mitigate certain specific safety risks, and/or post-approval commitments or requirements to conduct additional clinical trials or non-clinical studies or to conduct surveillance programs to monitor the product's effects.</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Approval of a product candidate by comparable regulatory authorities in foreign countries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biologics must be obtained through a centralized procedure, which allows a company to submit a single application to the EMA. If a related positive opinion is provided by the EMA, the EC will grant a centralized marketing authorization that is valid in the EEA.</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under the Pediatric Research Equity Act ("PREA"), certain applications for approval must include an assessment, generally based on clinical study data, of the safety and effectiveness of the subject product in relevant pediatric populations, unless a waiver or deferral is granted. However, a pediatric study plan is not required for orphan products and the timing of the submission is subject to negotiation with FDA, but such plan cannot be submitted later than submission of a BLA.</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Emergency Use Authorization</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Secretary of HHS may authorize unapproved medical products to be marketed in the context of an actual or potential emergency that has been designated by the U.S. government. The COVID-19 pandemic has been designated as such a national emergency. After an emergency has been announced, the Secretary of HHS may authorize the issuance of, and the FDA Commissioner may issue, EUAs for the use of specific products based on criteria established by the Food, Drug, and Cosmetic Act, including that the product at issue may be effective in diagnosing, treating, or preventing serious or life-threatening diseases when there are no adequate, approved, and available alternatives. Although the criteria of an EUA differ from the criteria for approval of a BLA, EUAs nevertheless require the development and submission of data to satisfy the relevant FDA standards, as well as a number of ongoing compliance obligations. The FDA expects EUA holders to work toward submission of full</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applications, such as a BLA, as soon as possible. An EUA is also subject to additional conditions and restrictions and is product-specific. An EUA terminates when the emergency determination underlying the EUA terminates. An EUA is not a long-term alternative to obtaining FDA approval, licensure, or clearance for a product. The FDA may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and labeling changes based on new safety information, and may impose and enforce a REMS at the time of approval or after the product is on the market. Post-approval modifications to the drug, such as changes in indications, labeling, or manufacturing processes or facilities, may require a sponsor to develop additional data or conduct additional preclinical studies or clinical trials, to be submitted in a new or supplemental BLA, which would require FDA approval.</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After approval, product promotion can include only those claims relating to safety and effectiveness that are consistent with the labeling approved by the FDA and comparable foreign regulatory authorities. FDA and comparable foreign regulatory authorities' regulations impose restrictions on manufacturers' communications regarding unapproved uses, but under certain conditions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See Part I, Item 1A. "Risk Factors - Other Regulatory and Litigation Risks - </w:t>
      </w:r>
      <w:r>
        <w:rPr>
          <w:rFonts w:ascii="Arial" w:cs="Arial" w:eastAsia="Arial" w:hAnsi="Arial"/>
          <w:sz w:val="16"/>
          <w:szCs w:val="16"/>
          <w:i w:val="1"/>
          <w:iCs w:val="1"/>
          <w:color w:val="auto"/>
        </w:rPr>
        <w:t>Our business activities have been, and may in the future be, challenged</w:t>
      </w:r>
      <w:r>
        <w:rPr>
          <w:rFonts w:ascii="Arial" w:cs="Arial" w:eastAsia="Arial" w:hAnsi="Arial"/>
          <w:sz w:val="16"/>
          <w:szCs w:val="16"/>
          <w:color w:val="auto"/>
        </w:rPr>
        <w:t xml:space="preserve"> </w:t>
      </w:r>
      <w:r>
        <w:rPr>
          <w:rFonts w:ascii="Arial" w:cs="Arial" w:eastAsia="Arial" w:hAnsi="Arial"/>
          <w:sz w:val="16"/>
          <w:szCs w:val="16"/>
          <w:i w:val="1"/>
          <w:iCs w:val="1"/>
          <w:color w:val="auto"/>
        </w:rPr>
        <w:t>under federal or state healthcare laws, which may subject us to civil or criminal proceedings, investigations, or penalties</w:t>
      </w:r>
      <w:r>
        <w:rPr>
          <w:rFonts w:ascii="Arial" w:cs="Arial" w:eastAsia="Arial" w:hAnsi="Arial"/>
          <w:sz w:val="16"/>
          <w:szCs w:val="16"/>
          <w:color w:val="auto"/>
        </w:rPr>
        <w:t>."</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to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 Rules that are equivalent in scope but which vary in application apply in foreign countries in which we conduct clinical trials.</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supports and documents the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 hour basis, and provide competent authorities with any other information that may be relevant to the safety of the medicinal product in accordance with Good Pharmacovigilance Practices.</w:t>
      </w:r>
    </w:p>
    <w:p>
      <w:pPr>
        <w:spacing w:after="0" w:line="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EC can also require marketing authorization holders to conduct post-authorization safety and/or efficacy studies. A post-authorization safety study ("PASS") is a study that is carried out after a medicinal product has been authorized to obtain further information on a medicinal product's safety, or to measure the effectiveness of risk-management measures. Such studies may be clinical trials or non-interventional studies. A post-authorization efficacy study ("PAES") is a study that is carried out for complementing available efficacy data in the light of well-reasoned scientific uncertainties on aspects of the evidence of benefits that is to be or only can be addressed post-authorization. The EC may, in particular, impose a PASS and/or PAES on marketing authorization holders when a marketing authorization is granted upon conditions. The EC may grant conditional marketing</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authorizations in the interest of public health, when there is less comprehensive clinical data available than would be required, if the EC considers that the benefit of immediate availability may outweigh the risk that the absence of the required clinical data poses.</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and our third-party suppliers are required to maintain compliance with cGMP,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to comply with these laws, regulations, and conditions of product approval may lead the FDA and comparable regulatory authorities in other jurisdictions to take regulatory action or seek sanctions, including fines, issuance of warning letters, civil penalties, injunctions, suspension of manufacturing operations, operating restrictions, withdrawal of FDA approval of a product, seizure or recall of products, and criminal prosecution.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Sales of our marketed products are dependent on the</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and extent of reimbursement from third-party payors, and changes to such reimbursement may materially harm our business, prospects, operating results, and financial condition.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as part of our agreement to participate in the Medicaid Drug Rebate program. For calendar quarters beginning January 1, 2022, we will be required to report the average sales price for certain drugs under the Medicare program regardless of whether we participate in the Medicaid Drug Rebate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average manufacturer price increases more than inflation (measured by reference to the Consumer Price Index - Urban). Currently, the rebate is capped at 100 percent of the average manufacturer price, but effective January 1, 2024, this cap on the rebate will be removed, and our rebate liability could increase accordingly.</w:t>
      </w:r>
    </w:p>
    <w:p>
      <w:pPr>
        <w:spacing w:after="0" w:line="8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made significant changes to the Medicaid Drug Rebate program, and CMS issued a final regulation, which became effective on April 1, 2016, to implement the changes to the Medicaid Drug Rebate program under the PPACA. On December 21, 2020, CMS issued a final rule that modified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 definitions for "line extension," "new formulation," and related terms with the practical effect of expanding the scope of drugs considered to be line extensions (beginning in 2022); and revise best price and average manufacturer price exclusions of manufacturer-sponsored patient benefit programs, particularly regarding potential inapplicability of such exclusions in the context of pharmacy benefit manager "accumulator" programs (beginning in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is used by CMS to calculate Medicare payment rates. 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HRSA also implemented a price reporting system under which we are required to report our 340B ceiling prices to HRSA on a quarterly basis, which then publishes those prices to 340B covered entities. In addition, legislation could be passed that would further expand the 340B program to additional covered entities or would require participating manufacturers to agree to provide 340B discounted pricing on drugs used in an inpatient setting.</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for 2021, manufacturers, including us, are required to provide to CMS a 70% discount on brand name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prescription drugs utilized by Medicare Part D beneficiaries when those beneficiaries are in the coverage gap phase of the Part D benefit design.</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subject to health 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See Part I, Item 1A. "Risk Factors - Other Regulatory and Litigation Risks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activities have been, and may in the future be, challenged under federal or state healthcare laws, which may subject us to civil or criminal proceedings, investigations, or penalties</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Arial" w:cs="Arial" w:eastAsia="Arial" w:hAnsi="Arial"/>
          <w:sz w:val="18"/>
          <w:szCs w:val="18"/>
          <w:i w:val="1"/>
          <w:iCs w:val="1"/>
          <w:color w:val="auto"/>
        </w:rPr>
        <w:t>Risks from the improper</w:t>
      </w:r>
      <w:r>
        <w:rPr>
          <w:rFonts w:ascii="Arial" w:cs="Arial" w:eastAsia="Arial" w:hAnsi="Arial"/>
          <w:sz w:val="18"/>
          <w:szCs w:val="18"/>
          <w:color w:val="auto"/>
        </w:rPr>
        <w:t xml:space="preserve"> </w:t>
      </w:r>
      <w:r>
        <w:rPr>
          <w:rFonts w:ascii="Arial" w:cs="Arial" w:eastAsia="Arial" w:hAnsi="Arial"/>
          <w:sz w:val="18"/>
          <w:szCs w:val="18"/>
          <w:i w:val="1"/>
          <w:iCs w:val="1"/>
          <w:color w:val="auto"/>
        </w:rPr>
        <w:t>conduct of employees, agents, contractors, or collaborators could adversely affect our reputation and our business, prospects, operating results, and financial condition</w:t>
      </w:r>
      <w:r>
        <w:rPr>
          <w:rFonts w:ascii="Arial" w:cs="Arial" w:eastAsia="Arial" w:hAnsi="Arial"/>
          <w:sz w:val="18"/>
          <w:szCs w:val="18"/>
          <w:color w:val="auto"/>
        </w:rPr>
        <w:t>."</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there are numerous federal and state laws and regulations governing data privacy of personal data and the collection, use, disclosure, and protection of health data, genetic data, consumer data, and children's data. Such laws and regulations include the Health Insurance Portability and Accountability Act of 1996 and its implementing regulations (collectively, "HIPAA"), as well as state data breach notification laws, state health information and/or genetic privacy laws, and federal and state consumer protection laws (such as Section 5 of the Federal Trade Commission Act and the California Consumer Privacy Act (the "CCPA")). Many of these laws differ from each other in significant ways and have different effects. Many of the state laws enable a state attorney general to bring actions and provide private rights of action to consumers as enforcement mechanisms. There is also heightened sensitivity around certain types of health data, which may be subject to additional protections. The landscape of federal and state laws regulating personal data is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HIPAA imposes privacy and security obligations on covered entity health care providers, health plans, and health care clearinghouses, as well as their "business associates" – certain persons or covered entities that create, receive, maintain, or transmit protected health information ("PHI") in connection with providing a specified service or performing a function on behalf of a covered entity. Most health care providers, including research institutions from which we or our collaborators obtain clinical trial data, are subject to HIPAA. Although we are not directly subject to HIPAA other than with respect to providing certain employee benefits, we could potentially be subject to criminal penalties if we, our affiliates, or our agents knowingly receive, use, or disclose PHI maintained by a HIPAA-covered entity in a manner that is not permitted under HIPAA.</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the extent we collect California resident personal data, we are also subject to the CCPA. The CCPA, which became effective on January 1, 2020, created new transparency requirements and granted California residents several new rights with regard to their personal data.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Failure to comply with the CCPA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Similarly, there are a number of legislative proposals in the United States, at both the federal and state level, that could impose new obligations or limitations in the area of consumer protection. We may be subject to fines, penalties, or private actions in the event of non-compliance with such laws.</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Outside the United States, our clinical trial programs, research collaborations, and other processing activities implicate international data protection laws, including the EU General Data Protection Regulation 2016/679 ("GDPR"). The GDPR has increased our responsibility and liability in relation to the processing of personal data of individuals located in the EU.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may concern the consent of the individuals to whom the personal data relate, the information provided to the individuals, the sharing of personal data with third parties, the transfer of personal data out of the EU, security breach notifications, security and confidentiality of the personal data and imposition of substantial potential fines for violations of the data protection obligations. With respect to the transfer of personal data outside of the EU, while there are legal mechanisms available to lawfully transfer personal data outside of the EU, including to the United States, there are certain unsettled legal issues regarding such data transfers, the resolution of which may adversely affect our ability to transfer personal data or otherwise may cause us to incur significant costs to come into compliance with applicable data transfer impact assessments and implementation of legal data transfer mechanisms. In June 2021, the European Commission published new standard contractual clauses required to be incorporated into new and existing agreements within prescribed timeframes in order to continue to lawfully transfer personal data outside of the EU. Different EU member states, as well as the United Kingdom and Switzerland, have promulgated national privacy laws that impose additional requirements, which add to the complexity of processing and transferring EU personal data. Some countries outside of the EU have reacted to the GDPR by promulgating and enacting new privacy legislation that reflects similar principals and obligations on companies that operate and process their citizens' personal data. Any failure or perceived failure to comply with privacy-related legal obligations, or any compromise of security of personal data, may result in governmental enforcement actions, litigation, contractual indemnity claims, or restraining orders that would impact our ability to process and share data globally. As we expand our presence into new countries, we must continue to assess our privacy controls to enable the processing of personal data. Guidance on implementation and compliance practices are often updated or otherwise revised. See Part I, Item 1A. "Risk Factors - Other Regulatory and Litigation Risks - </w:t>
      </w:r>
      <w:r>
        <w:rPr>
          <w:rFonts w:ascii="Arial" w:cs="Arial" w:eastAsia="Arial" w:hAnsi="Arial"/>
          <w:sz w:val="16"/>
          <w:szCs w:val="16"/>
          <w:i w:val="1"/>
          <w:iCs w:val="1"/>
          <w:color w:val="auto"/>
        </w:rPr>
        <w:t>We face risks related to the personal data we collect, process, and share</w:t>
      </w:r>
      <w:r>
        <w:rPr>
          <w:rFonts w:ascii="Arial" w:cs="Arial" w:eastAsia="Arial" w:hAnsi="Arial"/>
          <w:sz w:val="16"/>
          <w:szCs w:val="16"/>
          <w:color w:val="auto"/>
        </w:rPr>
        <w: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manage our business as one segment which includes all activities related to the discovery, development, and commercialization of medicines for serious diseases. For financial information related to our one segment, see our Consolidated Financial Statements and related notes.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(which we call The Regeneron Way) and our corporate philosophy of "Doing Well by Doing Good"; talent development and career opportunities; and compensation and benefits.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Profile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2021, we had 10,368 full-time employees, consisting of 8,564 employed in the United States, 1,648 employed in Ireland, and 156 employed in other countries (including the United Kingdom, Germany, the Netherlands, and Canada). Of these employees, 1,936 were within our research and preclinical development organization, 1,300 were within our global clinical development organization, and 5,037 were within our industrial operations and product supply organization. Company-wide, nearly 1,200 of our full-time employees hold a Ph.D. and/or M.D. None of our employees are represented by a labor union, and our management considers its relations with our employees to be good.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employees represent a broad range of backgrounds, just like the people who take our medicines, and bring a wide array of perspectives and experiences that have helped us achieve our leadership position in the biotechnology and pharmaceuticals industries and the global marketplace. A key component of our corporate culture is our commitment to the promotion of diversity, equity, and inclusion ("DEI"). We believe this commitment allows us to better drive innovation and achieve our mission to repeatedly bring important new medicines to patients with serious diseases. Our DEI principles are reflected in our efforts in building a better workplace where employees can be themselves and succeed, advance medicine for all with better science, and use their voice and influence to create a better world. We empower employee-led cross-functional resource groups ("ERGs") and interest groups, who connect around a common passion to build a culture of inclusion and collaborate to support under-served science and global communities. In 2021, we launched several new ERGs, all of which align their objectives to our global DEI strategy and provide meaningful professional development opportunities for our workforce, with support from senior leaders as executive sponsors.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are proud of our workforce diversity representation shown in the table below, we seek to continuously improve in this area. In April 2020, we announced our 2025 global responsibility goals, including a commitment to increase diversity in leadership and foster inclusion. Making progress toward this goal, in 2020, we established a DEI steering committee of senior leaders to provide oversight and guidance on our DEI efforts. In 2021, we hired our Chief DEI Officer; launched a DEI strategy focused on creating a better workplace, better science, and better world; and implemented a new governance model that includes both an executive DEI council and a DEI leadership council. These councils are comprised of senior leaders who provide oversight and guidance on our DEI efforts and support the execution of our DEI strategy. In order to better understand our employees' perspectives, we also conducted an employee engagement survey and launched an objective measure for inclusion and belonging. Our board of directors received a detailed update on our DEI efforts in 2021 and continues to monitor our progress.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Workforce Diversity Representation</w:t>
      </w:r>
      <w:r>
        <w:rPr>
          <w:rFonts w:ascii="Arial" w:cs="Arial" w:eastAsia="Arial" w:hAnsi="Arial"/>
          <w:sz w:val="23"/>
          <w:szCs w:val="23"/>
          <w:b w:val="1"/>
          <w:bCs w:val="1"/>
          <w:color w:val="auto"/>
          <w:vertAlign w:val="superscript"/>
        </w:rPr>
        <w:t>*</w:t>
      </w:r>
    </w:p>
    <w:tbl>
      <w:tblPr>
        <w:tblLayout w:type="fixed"/>
        <w:tblInd w:w="2920" w:type="dxa"/>
        <w:tblCellMar>
          <w:top w:w="0" w:type="dxa"/>
          <w:left w:w="0" w:type="dxa"/>
          <w:bottom w:w="0" w:type="dxa"/>
          <w:right w:w="0" w:type="dxa"/>
        </w:tblCellMar>
      </w:tblPr>
      <w:tr>
        <w:trPr>
          <w:trHeight w:val="25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Female Representation (Global)</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49.3 %</w:t>
            </w:r>
          </w:p>
        </w:tc>
      </w:tr>
      <w:tr>
        <w:trPr>
          <w:trHeight w:val="312"/>
        </w:trPr>
        <w:tc>
          <w:tcPr>
            <w:tcW w:w="3840" w:type="dxa"/>
            <w:vAlign w:val="bottom"/>
          </w:tcPr>
          <w:p>
            <w:pPr>
              <w:spacing w:after="0"/>
              <w:rPr>
                <w:sz w:val="20"/>
                <w:szCs w:val="20"/>
                <w:color w:val="auto"/>
              </w:rPr>
            </w:pPr>
            <w:r>
              <w:rPr>
                <w:rFonts w:ascii="Arial" w:cs="Arial" w:eastAsia="Arial" w:hAnsi="Arial"/>
                <w:sz w:val="18"/>
                <w:szCs w:val="18"/>
                <w:color w:val="auto"/>
              </w:rPr>
              <w:t>Minority Representation (U.S. Only)</w:t>
            </w:r>
            <w:r>
              <w:rPr>
                <w:rFonts w:ascii="Arial" w:cs="Arial" w:eastAsia="Arial" w:hAnsi="Arial"/>
                <w:sz w:val="23"/>
                <w:szCs w:val="23"/>
                <w:color w:val="auto"/>
                <w:vertAlign w:val="superscript"/>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23.6 %</w:t>
            </w:r>
          </w:p>
        </w:tc>
      </w:tr>
    </w:tbl>
    <w:p>
      <w:pPr>
        <w:ind w:left="3180" w:hanging="96"/>
        <w:spacing w:after="0" w:line="226" w:lineRule="auto"/>
        <w:tabs>
          <w:tab w:leader="none" w:pos="318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Based on full-time employees as of December 31, 2021</w:t>
      </w:r>
    </w:p>
    <w:p>
      <w:pPr>
        <w:spacing w:after="0" w:line="50" w:lineRule="exact"/>
        <w:rPr>
          <w:sz w:val="20"/>
          <w:szCs w:val="20"/>
          <w:color w:val="auto"/>
        </w:rPr>
      </w:pPr>
    </w:p>
    <w:p>
      <w:pPr>
        <w:ind w:left="3080" w:right="2940" w:firstLine="4"/>
        <w:spacing w:after="0" w:line="234" w:lineRule="auto"/>
        <w:tabs>
          <w:tab w:leader="none" w:pos="3237"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Represents the percentage of our full-time employees in the United States that self-identified as belonging to a racial or ethnic minority group. The denominator used in this calculation includes employees who did not disclose information related to their race or ethnicity. Excluding those that did not disclose such information, the percentage shown in this table would be 31.0%.</w:t>
      </w:r>
    </w:p>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Externally, we support DEI efforts in our community, including by supporting young scientific talent in underrepresented communities. For example, through our partnership with the Society for Science, we contribute a substantial amount annually to science, technology, engineering, and mathematics ("STEM") equity and outreach programs to help increase access to science research education and bridge opportunity gaps among students historically underrepresented in the sciences. We also continue to take steps to further integrate diversity considerations into the design and selection of sites for our clinical studies to make sure they reflect the diversity of patients with the diseases under investigation.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Wellness, Health, and Safety</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and prayer rooms and fitness centers. Throughout the COVID-19 pandemic, we have continued to prioritize mental health initiatives and take further action to reduce or remove barriers to quality mental healthcare for our employees and their family members. We also provide support for work-life balance through flex-time, remote working arrangements, child and elder care, and paid parental leave, among others.</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Occupational health and safety is critical to our success. We are committed to meeting or exceeding all environmental, health, safety ("EHS"), and security regulations and have a range of programs, plans, and procedures to ensure the safety of all people who come to work at Regeneron. In addition, our 2025 global responsibility goals include a commitment to focus on workplace injury prevention in our drive toward zero incidents.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implemented changes in our business beginning in March 2020 to protect our employees and support appropriate health and safety protocols, such as work-from-home policies for a significant portion of our employees, increased physical distancing in workspaces, and regular testing. As the dynamics of the COVID-19 pandemic continue to evolve, we adjust and tailor our approach based on public health guidance and local community case rates. For our essential employees who remain onsite in our laboratories and manufacturing facilities, we provide personal protective equipment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require masks to be worn. For any employee who contracts or is exposed to COVID-19, we provide full pay for their entire recovery and quarantine time. In addition, we have established a workforce reintegration plan to facilitate our large-scale return to office. The reintegration plan includes safety measures and procedures in compliance with local, state, and federal mandates.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Growth and Development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significant resources to develop talent with the right capabilities to deliver the growth and innovation needed to support our continued success. Our Talent department is dedicated to promoting individual, leader, team, and organizational development 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2021, over 25% of job openings were filled by existing employees who were seeking career development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summits, annual engagement surveys, and pulse surveys.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are also committed to fostering employee volunteerism to reach our 2025 global responsibility goal of driving employee volunteer levels above national standards. Employees are encouraged and empowered to support organizations and causes that are important to them including through, among other things, our matching gift program, volunteer-time-off policy, and our annual company-wide service event, </w:t>
      </w:r>
      <w:r>
        <w:rPr>
          <w:rFonts w:ascii="Arial" w:cs="Arial" w:eastAsia="Arial" w:hAnsi="Arial"/>
          <w:sz w:val="18"/>
          <w:szCs w:val="18"/>
          <w:i w:val="1"/>
          <w:iCs w:val="1"/>
          <w:color w:val="auto"/>
        </w:rPr>
        <w:t>Day for Doing Good</w:t>
      </w:r>
      <w:r>
        <w:rPr>
          <w:rFonts w:ascii="Arial" w:cs="Arial" w:eastAsia="Arial" w:hAnsi="Arial"/>
          <w:sz w:val="18"/>
          <w:szCs w:val="18"/>
          <w:color w:val="auto"/>
        </w:rPr>
        <w:t>. In order to make progress on this goal during the COVID-19 pandemic, we transitioned volunteer programs to virtual formats to continue to support our non-profit partners while safeguarding health and safety.</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success of our employee engagement efforts is demonstrated by our employee retention rate of 92.2% in 2021, as well as the fact that nearly 90% of our employees who responded to our annual engagement survey said Regeneron is a great place to work, of which we are especially proud since over 30% of our current workforce was onboarded during the COVID-19 pandemic. Additionally, for the seventh consecutive year, we were recognized on the </w:t>
      </w:r>
      <w:r>
        <w:rPr>
          <w:rFonts w:ascii="Arial" w:cs="Arial" w:eastAsia="Arial" w:hAnsi="Arial"/>
          <w:sz w:val="18"/>
          <w:szCs w:val="18"/>
          <w:i w:val="1"/>
          <w:iCs w:val="1"/>
          <w:color w:val="auto"/>
        </w:rPr>
        <w:t xml:space="preserve">Fortune </w:t>
      </w:r>
      <w:r>
        <w:rPr>
          <w:rFonts w:ascii="Arial" w:cs="Arial" w:eastAsia="Arial" w:hAnsi="Arial"/>
          <w:sz w:val="18"/>
          <w:szCs w:val="18"/>
          <w:color w:val="auto"/>
        </w:rPr>
        <w:t>"100 Best Companies to Work For" list in 2021. We have also placed in the top five for the past 11 years in</w:t>
      </w:r>
      <w:r>
        <w:rPr>
          <w:rFonts w:ascii="Arial" w:cs="Arial" w:eastAsia="Arial" w:hAnsi="Arial"/>
          <w:sz w:val="18"/>
          <w:szCs w:val="18"/>
          <w:i w:val="1"/>
          <w:iCs w:val="1"/>
          <w:color w:val="auto"/>
        </w:rPr>
        <w:t xml:space="preserve"> Science </w:t>
      </w:r>
      <w:r>
        <w:rPr>
          <w:rFonts w:ascii="Arial" w:cs="Arial" w:eastAsia="Arial" w:hAnsi="Arial"/>
          <w:sz w:val="18"/>
          <w:szCs w:val="18"/>
          <w:color w:val="auto"/>
        </w:rPr>
        <w:t>magazine’s annual "Top</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Survey" of the global biotechnology and pharmaceutical industry.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committed to rewarding and supporting our employees in order to continue to attract and retain top talent. We believe this commitment supports our core strategy of creating and advancing a high-quality product pipeline and delivering medicines to people in need. Employee engagement, commitment, and achievements are key drivers of pipeline success and therefore our long-term performance. The primary underpinning of our pay philosophy is to award equity-based pay to all eligible employees to ensure that when we deliver for patients and for shareholders, everyone shares in the upside growth. Our practice, therefore, has been to award initial equity grants to all new hires, in addition to our comprehensive annual equity program. Total employee compensation packages (which varies by country and region) include market-competitive pay (with the opportunity to receive above-market rewards), broad-based grants of equity-based awards, comprehensive healthcare benefits, and retirement savings options and matching contributions. We annually review our workforce demographic and pay equity data to track our performance and inform new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and other interested parties should note that we use our media and investor relations website (</w:t>
      </w:r>
      <w:r>
        <w:rPr>
          <w:rFonts w:ascii="Arial" w:cs="Arial" w:eastAsia="Arial" w:hAnsi="Arial"/>
          <w:sz w:val="18"/>
          <w:szCs w:val="18"/>
          <w:i w:val="1"/>
          <w:iCs w:val="1"/>
          <w:color w:val="auto"/>
        </w:rPr>
        <w:t>http://newsroom.regeneron.com</w:t>
      </w:r>
      <w:r>
        <w:rPr>
          <w:rFonts w:ascii="Arial" w:cs="Arial" w:eastAsia="Arial" w:hAnsi="Arial"/>
          <w:sz w:val="18"/>
          <w:szCs w:val="18"/>
          <w:color w:val="auto"/>
        </w:rPr>
        <w:t>) and our social media channels to publish important information about Regeneron, including information that may be deemed material to investors. We encourage investors and other interested parties to review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we may publish through our media and investor relations website and the social media channels listed on our media and investor relations website, in addition to our SEC filings, press releases, conference calls, and webcasts.</w:t>
      </w:r>
    </w:p>
    <w:p>
      <w:pPr>
        <w:spacing w:after="0" w:line="89" w:lineRule="exact"/>
        <w:rPr>
          <w:sz w:val="20"/>
          <w:szCs w:val="20"/>
          <w:color w:val="auto"/>
        </w:rPr>
      </w:pPr>
    </w:p>
    <w:p>
      <w:pPr>
        <w:ind w:right="940"/>
        <w:spacing w:after="0" w:line="422" w:lineRule="auto"/>
        <w:rPr>
          <w:sz w:val="20"/>
          <w:szCs w:val="20"/>
          <w:color w:val="auto"/>
        </w:rPr>
      </w:pPr>
      <w:r>
        <w:rPr>
          <w:rFonts w:ascii="Arial" w:cs="Arial" w:eastAsia="Arial" w:hAnsi="Arial"/>
          <w:sz w:val="18"/>
          <w:szCs w:val="18"/>
          <w:color w:val="auto"/>
        </w:rPr>
        <w:t xml:space="preserve">The information contained on our websites and social media channels is not included as a part of, or incorporated by reference into, this report. </w:t>
      </w:r>
      <w:r>
        <w:rPr>
          <w:rFonts w:ascii="Arial" w:cs="Arial" w:eastAsia="Arial" w:hAnsi="Arial"/>
          <w:sz w:val="18"/>
          <w:szCs w:val="18"/>
          <w:b w:val="1"/>
          <w:bCs w:val="1"/>
          <w:color w:val="auto"/>
        </w:rPr>
        <w:t>ITEM 1A. RISK FACTORS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Regeneron.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48" w:lineRule="exact"/>
        <w:rPr>
          <w:sz w:val="20"/>
          <w:szCs w:val="20"/>
          <w:color w:val="auto"/>
        </w:rPr>
      </w:pPr>
    </w:p>
    <w:p>
      <w:pPr>
        <w:jc w:val="both"/>
        <w:ind w:left="660" w:hanging="328"/>
        <w:spacing w:after="0" w:line="27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risks related to the development, manufacturing, and commercialization of REGEN-COV and "next generation" monoclonal antibodies targeting SARS-CoV-2.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substantially dependent on the success of EYLEA and Dupixent.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commercial success of our products is subject to significant competition from products or product candidates that may be superior to, or more cost effective than, our products or product candidates.</w:t>
      </w:r>
    </w:p>
    <w:p>
      <w:pPr>
        <w:ind w:left="6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Development Risks</w:t>
      </w:r>
    </w:p>
    <w:p>
      <w:pPr>
        <w:spacing w:after="0" w:line="1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Drug development and obtaining and maintaining regulatory approval for drug products is costly, time-consuming, and highly uncertain.</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of our products are intended to be used in combination with drug-delivery devices, which may result in additional regulatory, commercialization, and other risks.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Market Exclusivity Risks</w:t>
      </w:r>
    </w:p>
    <w:p>
      <w:pPr>
        <w:spacing w:after="0" w:line="148" w:lineRule="exact"/>
        <w:rPr>
          <w:sz w:val="20"/>
          <w:szCs w:val="20"/>
          <w:color w:val="auto"/>
        </w:rPr>
      </w:pPr>
    </w:p>
    <w:p>
      <w:pPr>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protect the confidentiality of our trade secrets, and our patents or other means of defending our intellectual property may be insufficient to protect our proprietary rights.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or limitation of patent rights, and regulatory pathways for biosimilar competition, could reduce the duration of market exclusivity for our products, including EYLEA.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3"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1" w:lineRule="exact"/>
        <w:rPr>
          <w:rFonts w:ascii="Arial" w:cs="Arial" w:eastAsia="Arial" w:hAnsi="Arial"/>
          <w:sz w:val="17"/>
          <w:szCs w:val="17"/>
          <w:color w:val="auto"/>
        </w:rPr>
      </w:pPr>
    </w:p>
    <w:p>
      <w:pPr>
        <w:jc w:val="both"/>
        <w:ind w:left="660" w:hanging="328"/>
        <w:spacing w:after="0" w:line="24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77"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62" w:lineRule="exact"/>
        <w:rPr>
          <w:sz w:val="20"/>
          <w:szCs w:val="20"/>
          <w:color w:val="auto"/>
        </w:rPr>
      </w:pPr>
    </w:p>
    <w:p>
      <w:pPr>
        <w:ind w:left="66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testing or use of our products harms people, or is perceived to harm them even when such harm is unrelated to our products, we could be subject to costly and damaging product liability claims.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activities have been, and may in the future be, challenged under federal or state healthcare laws, which may subject us to civil or criminal proceedings, investigations, or penalties.</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operations are subject to environmental, health, and safety laws and regulations, including those governing the use of hazardous materials.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and regulations affecting the healthcare industry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liabilities and risks associated with our operations outside of the United States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related to the personal data we collect, process, and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48" w:lineRule="exact"/>
        <w:rPr>
          <w:sz w:val="20"/>
          <w:szCs w:val="20"/>
          <w:color w:val="auto"/>
        </w:rPr>
      </w:pPr>
    </w:p>
    <w:p>
      <w:pPr>
        <w:ind w:left="660" w:right="2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collaborations with Sanofi or Bayer are terminated or breached, our ability to develop, manufacture, and commercialize certain of our products and product candidates in the time expected, or at all, would be materially harmed.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Risks Factors – Risks Related to Employees, Information Technology, Financial Results and Liquidity, and Our Common Stock</w:t>
      </w:r>
    </w:p>
    <w:p>
      <w:pPr>
        <w:spacing w:after="0" w:line="160" w:lineRule="exact"/>
        <w:rPr>
          <w:sz w:val="20"/>
          <w:szCs w:val="20"/>
          <w:color w:val="auto"/>
        </w:rPr>
      </w:pPr>
    </w:p>
    <w:p>
      <w:pPr>
        <w:ind w:left="66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dependent on our key personnel and will be harmed if we cannot recruit and retain leaders in our research, development, manufacturing, and commercial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breaches of data security could adversely affect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need additional funding in the future, which may not be available to us, and which may force us to delay, reduce, or eliminate our product development programs or commercialization efforts.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indebtedness could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 price is extremely volatile.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existing shareholders may be able to exert significant influence over matters requiring shareholder approval and over our management.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further adversely affected by the effects of the COVID-19 pandemic.</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a novel strain of coronavirus, SARS-CoV-2, causing a disease referred to as COVID-19, was reported to have surfaced in Wuhan, China. It has since spread around the world and caused a global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has resulted in the imposition of various restrictions and mandates around the world to reduce the spread of the disease, including governmental orders that direct individuals to shelter at their places of residence, direct businesses and governmental agencies to cease non-essential operations at physical locations, prohibit certain non-essential gatherings, maintain social distancing, order cessation of non-essential travel, and require proof of vaccination and/or negative COVID-19 test results. The COVID-19 pandemic has continued to ebb and flow, with different jurisdictions having higher levels of infections than others and new variants of the SARS-CoV-2 virus (such as the Omicron variant) emerging and spreading more easily and quickly than other variants. As the pandemic continues to rapidly evolve, its ultimate impact is highly uncertain and subject to change and we do not yet know the full extent of potential delays or impacts on our business, our clinical trials, healthcare systems, or the global economy as a whole. These effects could have a material impact on our operations.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By way of example, continuation or re-imposition of various government-imposed or private-sector measures relating to the COVID-19 pandemic (including those we previously implemented, such as work-from-home policies for some employees) may further negatively impact productivity, disrupt our business, and delay our clinical programs and development timelines beyond the delays we have already experienced and disclosed.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We and our employees may also be subject to government vaccine mandates, such as President Biden's recent Executive Order entitled "Executive Order on Ensuring Adequate COVID Safety Protocols for Federal Contractors" applicable to certain federal contractors. While enforcement of this mandate is currently enjoined and a similar mandate was recently struck down by the United States Supreme Court, if this mandate or any similar mandate becomes applicable to us, it may have a negative impact on our ability to retain employees or hire new employees and could adversely impact our business.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II, Item 7. "Management's Discussion and Analysis of Financial Condition and Results of Operations - Results of Operations" for a discussion of our net product sales. Demand for some or all of our marketed products may be further reduced if shelter-in-place, social distancing, 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similar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Various government-imposed or private-sector measures relating to the COVID-19 pandemic (or the perception that such restrictions or limitations on the conduct of business operations could occur)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whether resulting from the COVID-19 pandemic or otherwise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infections, hospitalizations, and deaths related to COVID-19 previously disrupted and may in the future disrupt the United States' healthcare and healthcare regulatory systems. Such disruptions could divert healthcare resources away from, or materially delay, FDA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We continue to evaluate the adverse impact of the COVID-19 pandemic on an individual trial basis. Any such disruptions may further negatively impact the progress of our clinical trials, including the readouts of trial results, the timing of regulatory review, and any anticipated program milestones.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related to the development, manufacturing, and commercialization of REGEN-COV and "next generation" monoclonal antibodies targeting SARS-CoV-2.</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the COVID-19 pandemic, we developed REGEN-COV (known as Ronapreve in other countries outside the United States), a novel investigational antibody cocktail treatment designed to prevent and treat infection from the SARS-CoV-2 virus. REGEN-COV received an EUA from the FDA in November 2020 for the treatment of mild to moderate COVID-19 in certain patients. However, based on laboratory data that showed markedly decreased binding to the Omicron spike protein, REGEN-COV is highly unlikely to be active against the Omicron variant. In January 2022, the FDA revised the EUA to exclude its use in geographic regions where, based on available information including variant susceptibility and regional variant frequency, infection or exposure is likely due to a variant such as Omicron that is not susceptible to the treatment. With this EUA revision, REGEN-COV is not currently authorized for use in any U.S. states, territories, or jurisdictions, since Omicron is currently the dominant variant across the United States.</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light of these developments, we cannot predict whether (if at all) or to what extent REGEN-COV may be reauthorized for use by the FDA in any such jurisdictions in the future. In addition, there can be no assurance with respect to how long the EUA will remain in effect or whether the EUA will be further revised or revoked by the FDA based on its determination that the underlying health emergency no longer exists or warrants such authorization or other reasons. Similar limitations on the use of REGEN-COV may also be imposed by foreign regulatory authorities in jurisdictions where REGEN-COV is currently authorized for use. It is also possible that the FDA and certain other regulatory authorities may not grant REGEN-COV full marketing approval for the treatment or prevention of COVID-19, or that any such marketing approvals, if granted, may have similar or other significant limitations on its use. Further, besides currently available therapeutic and prevention options for COVID-19, additional products for treatment or prevention of COVID-19 that are more efficacious, more easily administered, more cost-effective, or otherwise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superior may be successfully developed; and utilization of REGEN-COV previously was, and any future utilization may be, adversely impacted by other factors, such as the rollout of vaccines providing acquired immunity against COVID-19, other products for treatment or prevention of COVID-19, or the distribution model for REGEN-COV. Any of these factors may further negatively impact any potential future uptake or commercialization of REGEN-COV, and such impact may be material. The intense public interest, including speculation by the media, in the development and commercialization of monoclonal antibodies and other products for treatment or prevention of COVID-19 has caused or contributed to significant volatility in our stock price, which may continue as data and other information from any studies evaluating REGEN-COV (whether conducted by us or others), our "next generation" monoclonal antibodies targeting SARS-CoV-2 discussed below, and third-party product candidates for the treatment or prevention of COVID-19 as well as any other regulatory actions become public. We are also subject to similar risks in connection with the development and potential commercialization of any such "next generation" monoclonal antibodies.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REGEN-COV program, we are progressing "next generation" monoclonal antibodies targeting SARS-CoV-2 that are active against Omicron, Delta, and other variants of concern. Although, pending regulatory discussions, new therapeutic candidates could enter clinical development in the coming months, there can be no assurance of the timing of commencement or completion of any such future studies or favorable results from any of them.</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face risks related to our significant investment in the development, supply, allocation, distribution, pricing, and commercialization of REGEN-COV and our "next generation" monoclonal antibodies (together with REGEN-COV referred to below as "our COVID-19 monoclonal antibodies"). Given the severity and urgency of the COVID-19 pandemic, we have committed and expect to continue to commit significant capital and resources to fund and supply clinical trials and to accelerate and scale up the production of our COVID-19 monoclonal antibodies, which involves a complex manufacturing process that is both resource- and time-sensitive. We expect our investment in the development and manufacture of our COVID-19 monoclonal antibodies to continue through 2022 and potentially beyond, although the magnitude of our investment will be subject to clinical data results, the duration of the COVID-19 pandemic, and other factors, including regulatory outcomes. If we are unable to obtain a new EUA for any of our "next generation" monoclonal antibodies, or obtain regulatory approvals for any of the foregoing, or if we make a strategic decision to discontinue development of our COVID-19 monoclonal antibodies or are otherwise not successful in their commercialization, we may be unable to recoup our significant expenses incurred to date and/or in the future related to the development and production of our COVID-19 monoclonal antibodies. While we previously recognized significant revenues in connection with sales of REGEN-COV, the degree to which future sales of our COVID-19 monoclonal antibodies will continue to impact our results of operations is highly uncertain.</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our internal and contracted manufacturing capacity may not be sufficient to cover any potential future demand for our COVID-19 monoclonal antibodies. While we have entered into a collaboration agreement with Roche to develop, manufacture, and distribute outside the United States REGEN-COV, we cannot be certain that our current manufacturing and distribution capacity for REGEN-COV and the increased manufacturing and distribution capacity through our collaboration with Roche will be sufficient if there is significant future demand for REGEN-COV. In addition, we rely entirely on third parties for filling and finishing services for REGEN-COV and, in the future, may rely entirely on such providers for filling and finishing services for our other COVID-19 monoclonal antibodies. Our third-party fill/finish providers may not have sufficient capacity or may otherwise not be able to provide such services on a timely basis in the quantities requested (such as because they devote their capacity to other drugs or vaccines against COVID-19), which we previously experienced. The ability of our third-party providers to deliver such services to us may further be adversely impacted by the imposition of government restrictions or limitations (including those that may be imposed under the Defense Production Act). If we are unable to timely enter into alternative arrangements, or if such alternative arrangements are not available on satisfactory terms or at all, we may experience delays in the development, manufacturing, and distribution of our COVID-19 monoclonal antibodies.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and Roche have faced and may in the future face additional challenges related to the allocation of supply of REGEN-COV and other COVID-19 monoclonal antibodies (as applicable), particularly with respect to geographic distribution. For example, if supplies of REGEN-COV are constrained in response to future demand, it is possible that the U.S. government may limit or restrict our and/or Roche's ability to distribute and commercialize REGEN-COV outside the United States. In addition, as a result of the emergency situations in many countries, there is a heightened risk that products for treatment or prevention of COVID-19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to manufacture and deliver REGEN-COV to the U.S. government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needs. If the U.S. government exercises or asserts any such rights or imposes these or similar measures with respect to our products, product candidates, or related inventions (including our COVID-19 monoclonal antibodies),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development program for our COVID-19 monoclonal antibodies, including any allocation, distribution, or pricing decisions. If we are unable to successfully manage these risks, we could face significant reputational harm, which could, among other adverse consequences, negatively affect our stock price.</w:t>
      </w:r>
    </w:p>
    <w:p>
      <w:pPr>
        <w:spacing w:after="0" w:line="79" w:lineRule="exact"/>
        <w:rPr>
          <w:sz w:val="20"/>
          <w:szCs w:val="20"/>
          <w:color w:val="auto"/>
        </w:rPr>
      </w:pPr>
    </w:p>
    <w:p>
      <w:pPr>
        <w:ind w:right="900"/>
        <w:spacing w:after="0" w:line="424" w:lineRule="auto"/>
        <w:rPr>
          <w:sz w:val="20"/>
          <w:szCs w:val="20"/>
          <w:color w:val="auto"/>
        </w:rPr>
      </w:pPr>
      <w:r>
        <w:rPr>
          <w:rFonts w:ascii="Arial" w:cs="Arial" w:eastAsia="Arial" w:hAnsi="Arial"/>
          <w:sz w:val="18"/>
          <w:szCs w:val="18"/>
          <w:b w:val="1"/>
          <w:bCs w:val="1"/>
          <w:color w:val="auto"/>
        </w:rPr>
        <w:t xml:space="preserve">Risks Related to Commercialization of Our Marketed Products, Product Candidates, and New Indications for Our Marketed Products </w:t>
      </w:r>
      <w:r>
        <w:rPr>
          <w:rFonts w:ascii="Arial" w:cs="Arial" w:eastAsia="Arial" w:hAnsi="Arial"/>
          <w:sz w:val="18"/>
          <w:szCs w:val="18"/>
          <w:b w:val="1"/>
          <w:bCs w:val="1"/>
          <w:i w:val="1"/>
          <w:iCs w:val="1"/>
          <w:color w:val="auto"/>
        </w:rPr>
        <w:t>We are substantially dependent on the success of EYLEA and Dupixent.</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years ended December 31, 2021 and 2020, EYLEA net sales in the United States represented 36% and 58% of our total revenues, respectively, with EYLEA net sales as a percentage of our total revenues for the year ended December 31, 2021 being significantly lower due to the net product sales of REGEN-COV we recorded in that period in connection with deliveries of drug product under our agreements with the U.S. government.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the degree of commercial success of our marketed products will continue to depend on many factors, including the following (as applicable):</w:t>
      </w:r>
    </w:p>
    <w:p>
      <w:pPr>
        <w:spacing w:after="0" w:line="89" w:lineRule="exact"/>
        <w:rPr>
          <w:sz w:val="20"/>
          <w:szCs w:val="20"/>
          <w:color w:val="auto"/>
        </w:rPr>
      </w:pPr>
    </w:p>
    <w:p>
      <w:pPr>
        <w:jc w:val="both"/>
        <w:ind w:left="660" w:hanging="328"/>
        <w:spacing w:after="0" w:line="269"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effectiveness of the commercial strategy in and outside the United States for the marketing of our products, including pricing strategy;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branded and biosimilar competition for EYLEA (discussed further under "</w:t>
      </w:r>
      <w:r>
        <w:rPr>
          <w:rFonts w:ascii="Arial" w:cs="Arial" w:eastAsia="Arial" w:hAnsi="Arial"/>
          <w:sz w:val="17"/>
          <w:szCs w:val="17"/>
          <w:i w:val="1"/>
          <w:iCs w:val="1"/>
          <w:color w:val="auto"/>
        </w:rPr>
        <w:t>The commercial success of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products and product candidates is subject to significant competition - </w:t>
      </w:r>
      <w:r>
        <w:rPr>
          <w:rFonts w:ascii="Arial" w:cs="Arial" w:eastAsia="Arial" w:hAnsi="Arial"/>
          <w:sz w:val="17"/>
          <w:szCs w:val="17"/>
          <w:color w:val="auto"/>
        </w:rPr>
        <w:t>Marketed Products" below) and the willingness of retinal specialists and</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to start or continue treatment with EYLEA or to switch from another product to EYLEA;</w:t>
      </w: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candidates and new indications for our marketed products could cause our regulatory approvals to be revoked or limited or lead to delay or discontinuation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i w:val="1"/>
          <w:iCs w:val="1"/>
          <w:color w:val="auto"/>
        </w:rPr>
        <w:t>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1" w:lineRule="exact"/>
        <w:rPr>
          <w:sz w:val="20"/>
          <w:szCs w:val="20"/>
          <w:color w:val="auto"/>
        </w:rPr>
      </w:pP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the pending proceedings relating to EYLEA, Dupixent, Praluent, and REGEN-COV (described further in Note 15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the pending government proceedings and investigations and other matters described in Note 15 to our Consolidated Financial Statements included in this report (including the civil complaint filed against us on June 24, 2020 in the U.S. District Court for the District of Massachusetts by the U.S. Attorney's Office for the District of Massachusetts); and</w:t>
      </w:r>
    </w:p>
    <w:p>
      <w:pPr>
        <w:spacing w:after="0" w:line="1"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 approval for drug</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is costly, time-consuming, and highly uncertain</w:t>
      </w:r>
      <w:r>
        <w:rPr>
          <w:rFonts w:ascii="Arial" w:cs="Arial" w:eastAsia="Arial" w:hAnsi="Arial"/>
          <w:sz w:val="17"/>
          <w:szCs w:val="17"/>
          <w:color w:val="auto"/>
        </w:rPr>
        <w:t>"), the applicable marketing approval may be withdrawn, which would materially harm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7"/>
          <w:szCs w:val="17"/>
          <w:color w:val="auto"/>
        </w:rPr>
        <w:t>" below.</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pandemic), our currently marketed products and product candidates are likely to be subject to continued pricing pressures, which may have an adverse impact on our business, prospects, operating results, and financial condition.</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there have been several recent U.S. Congressional inquiries and proposed federal and state legislation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President Biden and various members of his administration and the current U.S. Congress have indicated that lowering drug prices continues to be a legislative and political priority, as evidenced, for example, by the "Executive Order on Promoting Competition in the American Economy" issued by President Biden in July 2021. The main proposal aimed at drug pricing introduced at the federal level as part of the "Build Back Better Act" includes measures that would allow the government to negotiate prices of certain prescription drugs under Medicare (including those covered under Medicare Part B, such as EYLEA) and would redesign the Medicare Part D benefit to limit patient out-of-pocket drug costs and shift liabilities among stakeholders, including manufacturers.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PBMs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EYLEA faces significant competition in the marketplace. For example, EYLEA competes in one or more of its approved indications with other VEGF inhibitors, including Novartis and Genentech/Roche's Lucentis, Novartis' Beovu, and Genentech/Roche's Susvimo, as well as Samsung Bioepis and Biogen's biosimilar referencing Lucentis. In addition, Genentech/Roche recently announced the approval of Vabysmo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(faricimab-svoa), a bispecific antibody targeting both VEGF and Ang2, for the treatment of wet AMD and DME in the United States.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Dupixent's current and potential future indications is also increasingly competitive. In atopic dermatitis, there are several topical ointments or agents either approved or in development. There are also topical and systemic JAK inhibitors and an antibody against IL-13 approved for atopic dermatitis and others are in development. In addition, a number of companies are developing antibodies against IL-13Ra1, OX40, IL-31R, and/or IL-1alpha.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There are several other potentially competitive products in development that may compete with Dupixent in asthma, as well as potential future indications, including antibodies against the IL-33 ligand or receptor. Dupixent also faces competition from inhaled products in asthma and potential future indications.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Libtayo also faces significant competition. There are several competitors that are marketing and/or developing antibodies against PD-1 and/or PDL-1 (some of which were approved in the relevant indications and commercialized before Libtayo), including Merck's Keytruda, Bristol-Myers Squibb's Opdivo, Roche's Tecentriq, and AstraZeneca's Imfinzi.</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While we exercised our option under the Antibody Collaboration to co-commercialize Dupixent in certain jurisdictions outside the United States and have commenced this co-commercialization, we will continue to rely in part on Sanofi's sales and marketing organization in such jurisdictions and there can be no assurance that we will be able to successfully conduct such co-commercialization in the expected time frame or at all.</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 Bayer for EYLEA is terminated, or Bayer materially breaches its</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Third Parties - </w:t>
      </w:r>
      <w:r>
        <w:rPr>
          <w:rFonts w:ascii="Arial" w:cs="Arial" w:eastAsia="Arial" w:hAnsi="Arial"/>
          <w:sz w:val="17"/>
          <w:szCs w:val="17"/>
          <w:i w:val="1"/>
          <w:iCs w:val="1"/>
          <w:color w:val="auto"/>
        </w:rPr>
        <w:t>If our Antibody Collaboration or our IO Collaboration with Sanofi is terminated, or Sanofi materially breaches its obligations thereunder,</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prospects, operating results, and financial condition, and our ability to develop, manufacture, and commercialize certain of our products and product candidates in the time expected, or at all, would be materially harmed</w:t>
      </w:r>
      <w:r>
        <w:rPr>
          <w:rFonts w:ascii="Arial" w:cs="Arial" w:eastAsia="Arial" w:hAnsi="Arial"/>
          <w:sz w:val="17"/>
          <w:szCs w:val="17"/>
          <w:color w:val="auto"/>
        </w:rPr>
        <w:t>" below.</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years ended December 31, 2021 and 2020, our gross product sales of such products to two customers accounted on a combined basis for 48% and 83% of our total gross product revenue, respectively, and gross product sales of REGEN-COV to the U.S. government accounted for an additional 43% of our gross product revenue for the year ended December 31, 2021. We expect significant customer concentration to continue for the foreseeable future, although the degree to which future sales of REGEN-COV will continue to impact our results of operations is highly uncertain.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0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limited commercial capabilities outside the United States and do not currently have a fully established organization for the sales, marketing, and distribution of marketed products outside the United States. We will need to establish commercial capabilities outside the United States for any new product we decide to commercialize or co-commercialize outside the United States. For example, following the exercise of our option under the Antibody Collaboration to co-commercialize Dupixent in certain jurisdictions outside the United States, we have begun establishing commercial capabilities for Dupixent in such jurisdictions.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any of which will likely be expensive and time consuming and could delay product launch or the co-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commercialization of a product in one or more markets outside the United States. We cannot be certain that we will be able to successfully develop commercial capabilities outside the United States (including as it relates to Dupixent)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1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6"/>
          <w:szCs w:val="16"/>
          <w:i w:val="1"/>
          <w:iCs w:val="1"/>
          <w:color w:val="auto"/>
        </w:rPr>
        <w:t>Our or our collaborators' failure to meet the stringent</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6"/>
          <w:szCs w:val="16"/>
          <w:color w:val="auto"/>
        </w:rPr>
        <w:t>" Our business, prospects, operating results, and financial condition may be materially harmed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noncompliance with the requirements and regulations described in this paragraph.</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standard drug approval process, the Secretary of HHS may authorize the issuance of, and the FDA Commissioner may issue, an EUA to allow an unapproved medical product to be used in an emergency based on criteria established by the Food, Drug, and Cosmetic Act, including that the product at issue may be effective in diagnosing, treating, or preventing serious or life-threatening diseases when there are no adequate, approved, and available alternatives. For example, REGEN-COV has been authorized for use in certain individuals in the United States based on an EUA from the FDA. An EUA terminates when the emergency determination underlying the EUA terminates. The FDA may also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 For example, in January 2022, the FDA revised the EUA for REGEN-COV to exclude its use in geographic regions where, based on available information including variant susceptibility and regional variant frequency, infection or exposure is likely due to a variant such as Omicron that is not susceptible to the treatment. With this EUA revision, REGEN-COV is not currently authorized for use in any U.S. states, territories, or jurisdictions, since Omicron is currently the dominant variant across the United States. Any such termination, revocation, or revision of an EUA could adversely impact our business in a variety of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ways, including by having to absorb related manufacturing and overhead costs as well as potential inventory write-offs if regulatory approval is not obtained timely or at all. For example, during the fourth quarter of 2021, we recorded a charge of $231.7 million to write down REGEN-COV inventory, as described in Part II, Item 7. "Management's Discussion and Analysis of Financial Condition and Results of Operations - Results of Operations."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MAA in the EU. In addition such authorities often have the authority to require post-approval studies, such as a PASS and/or PAES, which involve various risks similar to those described above.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in the EEA, if we do not manage to retain a QPPV, to maintain a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GLPs or GCPs. A clinical trial may also fail because the dose(s) of the investigational drug included in the trial were either too low or too high to determine the optimal effect of the investigational drug in the disease setting.</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 clinical trials evaluating our product candidates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EYLEA and aflibercept 8 mg, there are many potential safety concerns associated with significant blockade of VEGF that may limit our ability to further successfully commercialize EYLEA and to obtain regulatory approval for aflibercept 8 mg.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aflibercept include conjunctival hemorrhage, macular degeneration, eye pain, retinal hemorrhage, and vitreous floaters. There is no guarantee that we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will be able to successfully obtain regulatory approval for aflibercept 8 mg. In addition, commercialization of EYLEA or our other products and potential future commercialization of aflibercept 8 mg or our other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as well as further development and potential future commercialization of aflibercept 8 mg.</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Dupixent and Libtayo are being studied in additional indications, as shown in the table under Part I, Item 1. "Business - Programs in Clinical Development." There is no guarantee that regulatory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eosinophilia, insomnia, toothache, gastritis, joint pain (arthralgia), and facial rash or redness;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15 to</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as described in Note 15 to our Consolidated Financial Statements included in this report. Post-grant proceedings are increasingly common in the United States and are costly to defend. In addition,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In addition, on October 26 and October 27, 2021, anonymous parties initiated opposition proceedings in the EPO against our European Patent No. 2,944,306 (which concerns pre-filled syringes comprising ophthalmic formulations containing VEGF antagonists such as aflibercept for intravitreal administration), as described in Note 15 to our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 proposal formulated in connection with the COVID-19 pandemic for a waiver of certain intellectual property rights under the WTO Agreement on Trade-Related Aspects of Intellectual Property Rights; the ultimate timing and scope of this waiver is unknown and we cannot be certain that our intellectual property rights related to REGEN-COV or any other current or future product or product candidate or technology would not be eliminated, narrowed, or weakened by any such waiver.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other intellectual property proceedings relating to Dupixent, as described in Note 15 to our Consolidated Financial Statements. In addition, we are currently party to patent infringement and other proceedings relating to EYLEA and REGEN-COV, as described in Note 15 to our Consolidated Financial Statements.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regulatory pathways for biosimilar competition, could reduce the duration of market exclusivity for our products.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 products and product candidates is subject to significant competition -</w:t>
      </w:r>
      <w:r>
        <w:rPr>
          <w:rFonts w:ascii="Arial" w:cs="Arial" w:eastAsia="Arial" w:hAnsi="Arial"/>
          <w:sz w:val="18"/>
          <w:szCs w:val="18"/>
          <w:color w:val="auto"/>
        </w:rPr>
        <w:t xml:space="preserve"> Marketed Products" above. In the United States, the regulatory exclusivity period for EYLEA (i.e., the period during which no biosimilar product can be approved by the FDA) expires on November 18, 2023, with the possibility of an additional six months of regulatory exclusivity (i.e., until May 18, 2024) if the FDA grants pediatric exclusivity based on our completion of certain studies evaluating EYLEA in pediatric patients with ROP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1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and contracted manufacturing capacity may not be sufficient to cover the demand for REGEN-COV and our other COVID-19 monoclonal antibodies (if successfully developed and authorized for use). In addition to expanding our internal capacity, we intend to continue to rely on our collaborators, and may also rely on contract manufacturers, to produce commercial quantities of drug material needed for commercialization of our products. For example, as described in Part I, Item</w:t>
      </w:r>
    </w:p>
    <w:p>
      <w:pPr>
        <w:spacing w:after="0" w:line="4" w:lineRule="exact"/>
        <w:rPr>
          <w:sz w:val="20"/>
          <w:szCs w:val="20"/>
          <w:color w:val="auto"/>
        </w:rPr>
      </w:pPr>
    </w:p>
    <w:p>
      <w:pPr>
        <w:jc w:val="both"/>
        <w:ind w:firstLine="8"/>
        <w:spacing w:after="0" w:line="255" w:lineRule="auto"/>
        <w:tabs>
          <w:tab w:leader="none" w:pos="2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 August 2020, we announced a collaboration agreement with Roche to develop, manufacture, and distribute REGEN-COV (known as Ronapreve in other countries outside the United States). We cannot be certain that our current manufacturing and distribution capacity for REGEN-COV or the increased manufacturing and distribution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capacity through our collaboration with Roche will be sufficient if there is significant future demand for REGEN-COV.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also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II, Item 7.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1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15 to our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the fourth quarter of 2021, we recorded a charge of $231.7 million to write down REGEN-COV inventory, as described in Part II, Item 7. "Management's Discussion and Analysis of Financial Condition and Results of Operations - Results of Operations."</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climate change, natural disasters, acts of war or terrorism, or other problems.</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which has exacerbated many of these issues).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publicity and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2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15 to our Consolidated Financial Statements included in this report, we are party to a civil complaint filed in June 2020 by the U.S. Attorney's Office for the District of Massachusetts concerning our support of a 501(c)(3) organization that provides financial assistance to patients; and we are cooperating with pending government investigations concerning certain other business activities. Any adverse decision, finding, allegation, or exercise of enforcement or regulatory discretion in any such proceedings or investigations could harm our business, prospects, operating results,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licensed physicians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will be required to report information (starting with information collected during 2021) regarding payments and transfers of value provided to physician assistants, nurse practitioners, clinical nurse specialists, certified nurse anesthetists, anesthesiologist assistants, and certified nurse-midwives.</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continue to dedicate significant resources to comply with these requirements and need to be prepared to comply with additional reporting obligations outside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participate in the Medicaid Drug Rebate program, the Public Health Service's 340B drug pricing program (the "340B program"), the U.S. Department of Veterans Affairs ("VA") Federal Supply Schedule ("FSS") pricing program, and the Tricare Retail Pharmacy Program. See Part I, Item 1, "Business - Government Regulation - Pricing and Reimbursement" for a description of these programs.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PPACA.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newly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1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obligations to report the average sales price for certain of our drugs to the Medicare program as a part of our agreement to participate in the Medicaid Drug Rebate program. For calendar quarters beginning January 1, 2022, we will need to report the average sales price for certain drugs under the Medicare program regardless of whether we participate in the Medicaid Drug Rebate program. Statutory or regulatory changes or CMS guidance could affect the average sales price calculations for our products and the resulting Medicare payment rate, and could negatively impact our results of operations.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10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Arial" w:cs="Arial" w:eastAsia="Arial" w:hAnsi="Arial"/>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particular, our business activities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there are significant corporate governance and executive compensation-related provisions in the Dodd-Frank Wall Street Reform and Protection Act that expressly authorized or required the SEC to adopt additional rules in these areas, a number of which have yet to be fully implemented. Our efforts to comply with these requirements and regulations (as well as corporate governance and disclosure expectations of investors and other stakeholders)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16" w:lineRule="exact"/>
        <w:rPr>
          <w:sz w:val="20"/>
          <w:szCs w:val="20"/>
          <w:color w:val="auto"/>
        </w:rPr>
      </w:pPr>
    </w:p>
    <w:p>
      <w:pPr>
        <w:ind w:left="660" w:right="2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w:t>
      </w:r>
      <w:r>
        <w:rPr>
          <w:rFonts w:ascii="Arial" w:cs="Arial" w:eastAsia="Arial" w:hAnsi="Arial"/>
          <w:sz w:val="16"/>
          <w:szCs w:val="16"/>
          <w:color w:val="auto"/>
        </w:rPr>
        <w:t xml:space="preserve"> </w:t>
      </w:r>
      <w:r>
        <w:rPr>
          <w:rFonts w:ascii="Arial" w:cs="Arial" w:eastAsia="Arial" w:hAnsi="Arial"/>
          <w:sz w:val="16"/>
          <w:szCs w:val="16"/>
          <w:i w:val="1"/>
          <w:iCs w:val="1"/>
          <w:color w:val="auto"/>
        </w:rPr>
        <w:t>extent of reimbursement from third-party payors, and changes to such reimbursement may materially harm our business, prospects, operating results, and financial condition</w:t>
      </w:r>
      <w:r>
        <w:rPr>
          <w:rFonts w:ascii="Arial" w:cs="Arial" w:eastAsia="Arial" w:hAnsi="Arial"/>
          <w:sz w:val="16"/>
          <w:szCs w:val="16"/>
          <w:color w:val="auto"/>
        </w:rPr>
        <w:t>"). While it is not possible to predict whether and when any such changes will occur, changes in the laws, regulations, and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the United States could adversely affect our business.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For example, we recently commenced co-commercialization activities under the Antibody Collaboration related to Dupixent in certain jurisdictions outside the United States. Consequently, we are, and will continue to be, subject to risks related to operating in foreign countries, which include:</w:t>
      </w:r>
    </w:p>
    <w:p>
      <w:pPr>
        <w:spacing w:after="0" w:line="103" w:lineRule="exact"/>
        <w:rPr>
          <w:sz w:val="20"/>
          <w:szCs w:val="20"/>
          <w:color w:val="auto"/>
        </w:rPr>
      </w:pPr>
    </w:p>
    <w:p>
      <w:pPr>
        <w:ind w:left="66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process for obtaining and maintaining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14 to our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to U.S. tax laws and/or recommendations from the Organization for Economic Co-operation and Development (the "OECD") regarding a global minimum tax and other changes being considered and/or implemented in countries where we operate could materially impact our tax provision, cash tax liability, and effective tax rate. In addition, recommendations by the OECD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personal data we collect, process, and share.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conduct our business is significantly dependent on the data that we collect, process, and share in discovering and developing drug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data are often considered personal data and are therefore regulated by data privacy laws in applicable jurisdictions.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clinical trial programs and research collaborations outside the U.S. (such as our consortium with a group of companies to fund the generation of genetic exome sequence data from the UK Biobank health resource) implicate non-U.S. data protection laws, including the GDPR. The GDPR has a range of compliance obligations, including increased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June 2021, the European Commission introduced new standard contractual clauses required to be incorporated into new and existing agreements within prescribed timeframes in order to continue to lawfully transfer personal data outside the EU. Compliance with these requirements has been and is expected to continue to be costly and time consuming.</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 clinical trials in many countries around the world, which have new or evolving data privacy laws that have resulted in increased liability in the management of clinical trial data, and additional contractual and due-diligence obligations that could lead to a delay in clinical trial site start-up.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the EU into the U.S. may result in the imposition of criminal and administrative sanctions on such collaborators or impact the flow of personal data outside the EU, which could adversely affect our business and could create liability for us.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research institutions, including the Geisinger Health System, which are subject to HIPAA. Regeneron is not a covered entity or business associate under HIPAA and thus is not subject to its requirements. However, we could be subject to criminal penalties if we, our affiliates, or our agents knowingly receive, use, or disclose PHI in a manner that is not permitted under HIPAA. Consequently, depending on the facts and circumstances, we could face substantial criminal penalties if we knowingly receive PHI from a health care provider or research</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comprehensive consumer privacy law in California, the CCPA. The CCPA, which became effective on January 1, 2020, is a consumer protection law that establishes requirements for data use and sharing transparency and provides California residents with</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personal data privacy rights regarding the use, disclosure, and retention of their personal data. Amendments to the CCPA have, among other things, imposed new obligations to provide notice where personal data will be de-identified. These laws and regulations are constantly evolving and may impose limitations on our business activities. Several other U.S. states have introduced similar consumer protection laws that may go into effect in the near future. At the federal level, Section 5 of the Federal Trade Commission Act is a consumer protection law that bars unfair and deceptive acts and practices and requires, among other things, companies to notify individuals that they will safeguard their personal data and that they will fulfil the commitments made in their privacy notices. The Federal Trade Commission has brought legal actions against organizations that have violated consumers' privacy rights or have misled them by failing to maintain appropriate security.</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health privacy laws, data breach notification laws, consumer protection laws, data localization laws, and genetic privacy laws may apply directly to our operations and/or those of our collaborators and may impose restrictions on our collection, use, and dissemination of individuals' health and other personal data. New state level genetic privacy and consumer protection laws in the United States may require additional transparency and permissions in our informed consent forms. Moreover, individuals about whom we or our collaborators obtain health or other personal data,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4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our IO Collaboration, Sanofi also funds half of the development expenses incurred in connection with the clinical development of Libtayo, subject to an agreed-upon development budget. We also rely on Sanofi to lead commercialization efforts outside the United States for Libtayo and to assist us to comply with the necessary requirements related to Libtayo's regulatory approvals in the EU.</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development and commercialization of the products subject to such collaborations, particularly outside the United States.</w:t>
      </w:r>
    </w:p>
    <w:p>
      <w:pPr>
        <w:spacing w:after="0" w:line="104"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commercialization of EYLEA outside the United States.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the Chair of our board of directors. If we are not able to retain (or for any other reason lose the services of) any of these persons, our business may suffer. In particular, we depend on the services of P. Roy Vagelos, M.D., the Chair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related developments.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or our suppliers and/or service providers fail to maintain or protect our information technology systems and data security effectively, or fail to anticipate, plan for, or manage significant disruptions to these systems, we or our suppliers and/or service providers could have difficulty preventing, detecting, or controlling such disruptions or security breaches, which could result in legal proceedings, liability under laws that protect the privacy of personal information, disruptions to our operations, government investigations, breach of contract claims, and damage to our reputation, which could have a material adverse effect on our business, prospects, operating results, and financial condition.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our senior unsecured notes at maturity or redeem, repurchase, or refinance the notes prior to maturity on acceptable terms or at all. In addition, in March 2017, we completed a $720.0 million lease financing for our existing corporate headquarters and other rentable area consisting of approximately 150 acres of predominately office buildings and laboratory space located in Tarrytown, New York. In September 2021, we delivered a request to the lease financing participants to potentially exercise the option for a five-year extension of the term of the lease and the maturity date under the related participation agreement; and in November 2021, the lease financing participants consented to such extension, subject to the satisfaction of certain conditions prior to the expiration of the existing term in March 2022. There can be no assurance that such extension will become effective on favorable terms or at all. If such extension does not become effective, we would be obligated to purchase the facility by the end of the existing term in March 2022 by paying a purchase price of $720.0 million, together with all accrued and unpaid interest and yield and all other outstanding amounts under the relevant documents. Refer to Part II, Item 7. "Management's Discussion and Analysis of Financial Condition and Results of Operations - Liquidity and Capital Resources - </w:t>
      </w:r>
      <w:r>
        <w:rPr>
          <w:rFonts w:ascii="Arial" w:cs="Arial" w:eastAsia="Arial" w:hAnsi="Arial"/>
          <w:sz w:val="16"/>
          <w:szCs w:val="16"/>
          <w:i w:val="1"/>
          <w:iCs w:val="1"/>
          <w:color w:val="auto"/>
        </w:rPr>
        <w:t>Tarrytown, New York Leases</w:t>
      </w:r>
      <w:r>
        <w:rPr>
          <w:rFonts w:ascii="Arial" w:cs="Arial" w:eastAsia="Arial" w:hAnsi="Arial"/>
          <w:sz w:val="16"/>
          <w:szCs w:val="16"/>
          <w:color w:val="auto"/>
        </w:rPr>
        <w:t>" for further details.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impact our business.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certain indebtedness and contingent liabilities, including milestone and royalty payment obligations. As of December 31, 2021, we had an aggregate of $2.700 billion of outstanding indebtedness under our senior unsecured notes and the lease financing facility. We may also incur additional debt in the future. Any such indebtedness could:</w:t>
      </w:r>
    </w:p>
    <w:p>
      <w:pPr>
        <w:spacing w:after="0" w:line="11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2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 w:lineRule="exact"/>
        <w:rPr>
          <w:rFonts w:ascii="Arial" w:cs="Arial" w:eastAsia="Arial" w:hAnsi="Arial"/>
          <w:sz w:val="16"/>
          <w:szCs w:val="16"/>
          <w:color w:val="auto"/>
        </w:rPr>
      </w:pPr>
    </w:p>
    <w:p>
      <w:pPr>
        <w:ind w:left="66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2021, we had $2.886 billion in cash and cash equivalents and $9.647 billion in marketable securities (including $1.250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alternative reference rate, may adversely affect our business, operating results, and financial condition.</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risks related to uncertainty regarding the London Interbank Offered Rate ("LIBOR"), which is in the process of being phased out. The U.K. Financial Conduct Authority, which regulates LIBOR, has announced that it intends to phase out LIBOR. The publication of U.S. dollar LIBOR for certain tenors and all non-U.S. dollar LIBOR tenors ceased after December 31, 2021 (other than certain sterling and Japanese yen settings being published on a synthetic temporary basis). Banks reporting information used to set U.S. dollar LIBOR for all other tenors are currently expected to stop doing so after June 30, 2023, although the LIBOR administrator may discontinue or modify LIBOR prior to that date. In 2021, the U.S. Federal Reserve Board and certain other regulatory bodies issued guidance encouraging banks and other financial market participants to cease entering into new contracts that use U.S. dollar LIBOR as a reference rate as soon as practicable and in any event no later than December 31, 2021. Although regulators in various jurisdictions have been working to replace LIBOR and have encouraged the development and adoption of alternative reference rates, such as the Secured Overnight Financing Rate ("SOFR"), there continues to be uncertainty regarding the nature of potential changes to and future utilization of specific LIBOR tenors, the development and acceptance of alternative reference rates, and other reforms. We cannot predict the consequences and timing of these developments or other market or regulatory changes related to the phase-out of LIBOR. A transition away from LIBOR as a benchmark for establishing the applicable interest rate may adversely affect our outstanding variable-rate indebtedness (if any) and our variable-rate finance lease, as well as floating-rate debt securities in our investment portfolio. For example, if a published U.S. dollar LIBOR is unavailable or no longer representative, interest for borrowings (if any) with an interest rate based on LIBOR under our revolving credit facility will be determined using various alternative methods, any of which may result in interest obligations which are more than, or do not otherwise correlate over time with, the payments that would have been made on such debt prior to any LIBOR phase-out.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3" w:lineRule="exact"/>
        <w:rPr>
          <w:sz w:val="20"/>
          <w:szCs w:val="20"/>
          <w:color w:val="auto"/>
        </w:rPr>
      </w:pPr>
    </w:p>
    <w:p>
      <w:pPr>
        <w:ind w:left="66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of the COVID-19 pandemic on our business, including future sales of REGEN-COV;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or product candidates or new indications for our marketed products;</w:t>
      </w:r>
    </w:p>
    <w:p>
      <w:pPr>
        <w:ind w:left="660" w:hanging="328"/>
        <w:spacing w:after="0" w:line="28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by our significant shareholders or us may depress our stock price and impair our ability to raise funds in new share offerings</w:t>
      </w:r>
      <w:r>
        <w:rPr>
          <w:rFonts w:ascii="Arial" w:cs="Arial" w:eastAsia="Arial" w:hAnsi="Arial"/>
          <w:sz w:val="17"/>
          <w:szCs w:val="17"/>
          <w:color w:val="auto"/>
        </w:rPr>
        <w:t>" below, a large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require us to make substantial payments to satisfy judgments or to settle litigation, which may harm our business, prospects, operating results, and financial condition.</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small number of our shareholders beneficially own a substantial amount of our Common Stock. As of December 31, 2021, our five largest shareholders plus Dr. Schleifer, our Chief Executive Officer, beneficially owned approximately 38.1% of our outstanding shares of Common Stock, assuming, in the case of our Chief Executive Officer, the conversion of his Class A Stock into Common Stock and the exercise of all options held by him which are exercisable within 60 days of December 31, 2021.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repurchase shares of our Common Stock or that we will repurchase shares at favorable prices.</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2021, our board of directors authorized a share repurchase program to repurchase up to $3.0 billion of our Common Stock (of which $2.845 billion remained available as of December 31, 2021).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substantial influence over matters requiring shareholder approval and over our management.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2021, holders of Class A Stock held 14.6%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2021:</w:t>
      </w:r>
    </w:p>
    <w:p>
      <w:pPr>
        <w:spacing w:after="0" w:line="97" w:lineRule="exact"/>
        <w:rPr>
          <w:sz w:val="20"/>
          <w:szCs w:val="20"/>
          <w:color w:val="auto"/>
        </w:rPr>
      </w:pPr>
    </w:p>
    <w:p>
      <w:pPr>
        <w:jc w:val="both"/>
        <w:ind w:left="660" w:hanging="328"/>
        <w:spacing w:after="0" w:line="269"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current executive officers and directors beneficially owned 7.4% of our outstanding shares of Common Stock, assuming conversion of their Class A Stock into Common Stock and the exercise of all options held by such persons which are exercisable within 60 days of December 31, 2021, and 18.8% of the combined voting power of our outstanding shares of Common Stock and Class A Stock, assuming the exercise of all options held by such persons which are exercisable within 60 days of December 31, 2021; and</w:t>
      </w:r>
    </w:p>
    <w:p>
      <w:pPr>
        <w:spacing w:after="0" w:line="1" w:lineRule="exact"/>
        <w:rPr>
          <w:rFonts w:ascii="Arial" w:cs="Arial" w:eastAsia="Arial" w:hAnsi="Arial"/>
          <w:sz w:val="17"/>
          <w:szCs w:val="17"/>
          <w:color w:val="auto"/>
        </w:rPr>
      </w:pPr>
    </w:p>
    <w:p>
      <w:pPr>
        <w:jc w:val="both"/>
        <w:ind w:left="660" w:hanging="328"/>
        <w:spacing w:after="0" w:line="29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five largest shareholders plus Dr. Schleifer, our Chief Executive Officer, beneficially owned approximately 38.1% of our outstanding shares of Common Stock, assuming, in the case of our Chief Executive Officer, the conversion of his Class A Stock into Common Stock and the exercise of all options held by him which are exercisable within 60 days of December 31, 2021. In addition, these five shareholders plus our Chief Executive Officer held approximately 45.4% of the combined voting power of our outstanding shares of Common Stock and Class A Stock, assuming the exercise of all options held by our Chief Executive Officer which are exercisable within 60 days of December 31, 2021.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influence over matters requiring shareholder approval and over our management.</w:t>
      </w:r>
      <w:r>
        <w:rPr>
          <w:rFonts w:ascii="Arial" w:cs="Arial" w:eastAsia="Arial" w:hAnsi="Arial"/>
          <w:sz w:val="18"/>
          <w:szCs w:val="18"/>
          <w:color w:val="auto"/>
        </w:rPr>
        <w:t>"</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Sanofi, Bayer, and Teva are currently bound by certain "standstill" provisions under the January 2014 amended and restated investor agreement between us and Sanofi, as amended; our 2016 ANG2 license and collaboration agreement and our 2014 PDGFR-beta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A summary of our significant owned and leased properties is provided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At our Tarrytown, New York location, we lease approximately 1,467,000 square feet of laboratory and office space, of which approximately 1,354,000 square feet is occupied by Regeneron. Refer to Part II, Item 7.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for further details. We also own an approximate 100-acre parcel of undeveloped land adjacent to our Tarrytown, New York location, which we plan to start developing in 2022, primarily in connection with expanding our research and support facilities to accommodate our growth.</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Rensselaer, New York</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facilities in Rensselaer, New York totaling approximately 950,000 square feet of manufacturing, research, office, and warehouse space. This includes approximately 212,000 square feet of warehouse space which we constructed on a 130-acre parcel of land near our Rensselaer facility. We are in the process of further developing this property, primarily in connection with constructing a fill/finish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Limerick, Ireland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facility in Limerick, Ireland totaling approximately 555,000 square feet of manufacturing, warehouse, laboratory, and office space. We are in the process of further developing this property to support our growth and expand our manufacturing capacity.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15 to our Consolidated Financial Statements included 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both"/>
        <w:ind w:left="820" w:right="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2022, there were 166 shareholders of record of our Common Stock and 15 shareholders of record of our Class A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15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STOCK PERFORMANCE GRAPH</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2016 through December 31, 2021. The comparison assumes that $100 was invested on December 31, 2016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343535</wp:posOffset>
            </wp:positionV>
            <wp:extent cx="5846445" cy="3429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12/31/2016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12/31/2019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12/31/2021</w:t>
            </w: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Regeneron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S&amp;P 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212.89</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NQ US Pharma TR Index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202.43</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December 31, 2021. Refer to Part II, Item 7. "Management's Discussion and Analysis of Financial Condition and Results of Operations - Liquidity and Capital Resources" for further details of our share repurchase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2"/>
          </w:tcPr>
          <w:p>
            <w:pPr>
              <w:jc w:val="center"/>
              <w:ind w:right="62"/>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2"/>
          </w:tcPr>
          <w:p>
            <w:pPr>
              <w:jc w:val="center"/>
              <w:ind w:right="62"/>
              <w:spacing w:after="0" w:line="176" w:lineRule="exact"/>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Total Number of Shares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0"/>
              </w:rPr>
              <w:t>Average Price Paid</w:t>
            </w: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left="190"/>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restart"/>
          </w:tcPr>
          <w:p>
            <w:pPr>
              <w:ind w:left="780"/>
              <w:spacing w:after="0"/>
              <w:rPr>
                <w:sz w:val="20"/>
                <w:szCs w:val="20"/>
                <w:color w:val="auto"/>
              </w:rPr>
            </w:pPr>
            <w:r>
              <w:rPr>
                <w:rFonts w:ascii="Arial" w:cs="Arial" w:eastAsia="Arial" w:hAnsi="Arial"/>
                <w:sz w:val="18"/>
                <w:szCs w:val="18"/>
                <w:b w:val="1"/>
                <w:bCs w:val="1"/>
                <w:color w:val="auto"/>
              </w:rPr>
              <w:t>Period</w:t>
            </w:r>
          </w:p>
        </w:tc>
        <w:tc>
          <w:tcPr>
            <w:tcW w:w="1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left="150"/>
              <w:spacing w:after="0" w:line="176" w:lineRule="exact"/>
              <w:rPr>
                <w:sz w:val="20"/>
                <w:szCs w:val="20"/>
                <w:color w:val="auto"/>
              </w:rPr>
            </w:pPr>
            <w:r>
              <w:rPr>
                <w:rFonts w:ascii="Arial" w:cs="Arial" w:eastAsia="Arial" w:hAnsi="Arial"/>
                <w:sz w:val="18"/>
                <w:szCs w:val="18"/>
                <w:b w:val="1"/>
                <w:bCs w:val="1"/>
                <w:color w:val="auto"/>
                <w:w w:val="88"/>
              </w:rPr>
              <w:t>Programs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gridSpan w:val="2"/>
            <w:vMerge w:val="continue"/>
          </w:tcPr>
          <w:p>
            <w:pPr>
              <w:spacing w:after="0"/>
              <w:rPr>
                <w:sz w:val="19"/>
                <w:szCs w:val="19"/>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rPr>
              <w:t>Purchased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center"/>
              <w:ind w:left="150"/>
              <w:spacing w:after="0"/>
              <w:rPr>
                <w:sz w:val="20"/>
                <w:szCs w:val="20"/>
                <w:color w:val="auto"/>
              </w:rPr>
            </w:pPr>
            <w:r>
              <w:rPr>
                <w:rFonts w:ascii="Arial" w:cs="Arial" w:eastAsia="Arial" w:hAnsi="Arial"/>
                <w:sz w:val="18"/>
                <w:szCs w:val="18"/>
                <w:i w:val="1"/>
                <w:iCs w:val="1"/>
                <w:color w:val="auto"/>
                <w:w w:val="98"/>
              </w:rPr>
              <w:t>(in millions)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10/1/2021–10/31/2021</w:t>
            </w:r>
          </w:p>
        </w:tc>
        <w:tc>
          <w:tcPr>
            <w:tcW w:w="3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1,195,053</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560.51</w:t>
            </w:r>
          </w:p>
        </w:tc>
        <w:tc>
          <w:tcPr>
            <w:tcW w:w="2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1,195,053</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11/1/2021–11/30/2021</w:t>
            </w:r>
          </w:p>
        </w:tc>
        <w:tc>
          <w:tcPr>
            <w:tcW w:w="1900" w:type="dxa"/>
            <w:vAlign w:val="bottom"/>
          </w:tcPr>
          <w:p>
            <w:pPr>
              <w:jc w:val="right"/>
              <w:spacing w:after="0"/>
              <w:rPr>
                <w:sz w:val="20"/>
                <w:szCs w:val="20"/>
                <w:color w:val="auto"/>
              </w:rPr>
            </w:pPr>
            <w:r>
              <w:rPr>
                <w:rFonts w:ascii="Arial" w:cs="Arial" w:eastAsia="Arial" w:hAnsi="Arial"/>
                <w:sz w:val="18"/>
                <w:szCs w:val="18"/>
                <w:color w:val="auto"/>
              </w:rPr>
              <w:t>110,500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645.90</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110,500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2,956.1</w:t>
            </w:r>
          </w:p>
        </w:tc>
        <w:tc>
          <w:tcPr>
            <w:tcW w:w="360" w:type="dxa"/>
            <w:vAlign w:val="bottom"/>
          </w:tcPr>
          <w:p>
            <w:pPr>
              <w:ind w:left="4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12/1/2021–12/31/2021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643.03</w:t>
            </w:r>
          </w:p>
        </w:tc>
        <w:tc>
          <w:tcPr>
            <w:tcW w:w="28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1,576,842</w:t>
            </w:r>
          </w:p>
        </w:tc>
        <w:tc>
          <w:tcPr>
            <w:tcW w:w="400" w:type="dxa"/>
            <w:vAlign w:val="bottom"/>
            <w:gridSpan w:val="2"/>
          </w:tcPr>
          <w:p>
            <w:pPr>
              <w:jc w:val="right"/>
              <w:ind w:right="170"/>
              <w:spacing w:after="0"/>
              <w:rPr>
                <w:sz w:val="20"/>
                <w:szCs w:val="20"/>
                <w:color w:val="auto"/>
              </w:rPr>
            </w:pPr>
            <w:r>
              <w:rPr>
                <w:rFonts w:ascii="Arial" w:cs="Arial" w:eastAsia="Arial" w:hAnsi="Arial"/>
                <w:sz w:val="12"/>
                <w:szCs w:val="12"/>
                <w:color w:val="auto"/>
                <w:w w:val="81"/>
              </w:rPr>
              <w:t>(a)</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1,481,553</w:t>
            </w:r>
          </w:p>
        </w:tc>
        <w:tc>
          <w:tcPr>
            <w:tcW w:w="420" w:type="dxa"/>
            <w:vAlign w:val="bottom"/>
            <w:gridSpan w:val="2"/>
          </w:tcPr>
          <w:p>
            <w:pPr>
              <w:jc w:val="right"/>
              <w:ind w:right="170"/>
              <w:spacing w:after="0"/>
              <w:rPr>
                <w:sz w:val="20"/>
                <w:szCs w:val="20"/>
                <w:color w:val="auto"/>
              </w:rPr>
            </w:pPr>
            <w:r>
              <w:rPr>
                <w:rFonts w:ascii="Arial" w:cs="Arial" w:eastAsia="Arial" w:hAnsi="Arial"/>
                <w:sz w:val="12"/>
                <w:szCs w:val="12"/>
                <w:color w:val="auto"/>
                <w:w w:val="95"/>
              </w:rPr>
              <w:t>(a)</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00" w:hanging="172"/>
        <w:spacing w:after="0"/>
        <w:tabs>
          <w:tab w:leader="none" w:pos="40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The difference between the total number of shares purchased and the total number of shares purchased as part of publicly announced programs relates to Common</w:t>
      </w:r>
    </w:p>
    <w:p>
      <w:pPr>
        <w:ind w:left="220" w:right="140"/>
        <w:spacing w:after="0" w:line="231" w:lineRule="auto"/>
        <w:rPr>
          <w:rFonts w:ascii="Arial" w:cs="Arial" w:eastAsia="Arial" w:hAnsi="Arial"/>
          <w:sz w:val="20"/>
          <w:szCs w:val="20"/>
          <w:color w:val="auto"/>
          <w:vertAlign w:val="superscript"/>
        </w:rPr>
      </w:pPr>
      <w:r>
        <w:rPr>
          <w:rFonts w:ascii="Arial" w:cs="Arial" w:eastAsia="Arial" w:hAnsi="Arial"/>
          <w:sz w:val="16"/>
          <w:szCs w:val="16"/>
          <w:color w:val="auto"/>
        </w:rPr>
        <w:t>Stock withheld by us for employees to satisfy their tax withholding obligations arising upon the vesting of restricted stock granted under one of our long-term incentive plans.</w:t>
      </w:r>
    </w:p>
    <w:p>
      <w:pPr>
        <w:spacing w:after="0" w:line="28" w:lineRule="exact"/>
        <w:rPr>
          <w:rFonts w:ascii="Arial" w:cs="Arial" w:eastAsia="Arial" w:hAnsi="Arial"/>
          <w:sz w:val="20"/>
          <w:szCs w:val="20"/>
          <w:color w:val="auto"/>
          <w:vertAlign w:val="superscript"/>
        </w:rPr>
      </w:pPr>
    </w:p>
    <w:p>
      <w:pPr>
        <w:ind w:left="400" w:hanging="172"/>
        <w:spacing w:after="0"/>
        <w:tabs>
          <w:tab w:leader="none" w:pos="400"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color w:val="auto"/>
        </w:rPr>
        <w:t>In November 2021, our board of directors authorized an additional share repurchase program to repurchase up to $3.0 billion of our Common Stock.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2020 (filed with the SEC on February 8, 2021) for additional discussion of our financial condition and results of operations for the year ended December 31, 2019, as well as our financial condition and results of operations for the year ended December 31, 2020 compared to the year ended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nine FDA-approved products that have received marketing approval and over 30 product candidates in clinical development, almost all of which were homegrown in our laboratories. In addition, REGEN-COV has not been approved by the FDA, but has been authorized under an EUA for COVID-19 (see Part I, Item 1. "Business - REGEN-COV - Emergency and Temporary Use Authorizations" for a description of recent revisions to the EUA to exclude its use in geographic regions where infection or exposure is likely due to a variant that is not susceptible to the treatment). Also refer to Part I, Item 1. "Business - Products" and "Business - Programs in Clinical Development" for additional information related to marketed products and product candidates.</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or losses from sales of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19" w:lineRule="exact"/>
        <w:rPr>
          <w:sz w:val="20"/>
          <w:szCs w:val="20"/>
          <w:color w:val="auto"/>
        </w:rPr>
      </w:pPr>
    </w:p>
    <w:p>
      <w:pPr>
        <w:ind w:left="700" w:hanging="32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700" w:hanging="328"/>
        <w:spacing w:after="0" w:line="260"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Product Revenue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from product sales at a point in time when our customer is deemed to have obtained control of the product, which generally occurs upon receipt or acceptance by our customer.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w:t>
      </w:r>
      <w:r>
        <w:rPr>
          <w:rFonts w:ascii="Arial" w:cs="Arial" w:eastAsia="Arial" w:hAnsi="Arial"/>
          <w:sz w:val="16"/>
          <w:szCs w:val="16"/>
          <w:i w:val="1"/>
          <w:iCs w:val="1"/>
          <w:color w:val="auto"/>
        </w:rPr>
        <w:t xml:space="preserve">Revenues </w:t>
      </w:r>
      <w:r>
        <w:rPr>
          <w:rFonts w:ascii="Arial" w:cs="Arial" w:eastAsia="Arial" w:hAnsi="Arial"/>
          <w:sz w:val="16"/>
          <w:szCs w:val="16"/>
          <w:color w:val="auto"/>
        </w:rPr>
        <w:t>-</w:t>
      </w:r>
      <w:r>
        <w:rPr>
          <w:rFonts w:ascii="Arial" w:cs="Arial" w:eastAsia="Arial" w:hAnsi="Arial"/>
          <w:sz w:val="16"/>
          <w:szCs w:val="16"/>
          <w:i w:val="1"/>
          <w:iCs w:val="1"/>
          <w:color w:val="auto"/>
        </w:rPr>
        <w:t xml:space="preserve"> Net Product Sales</w:t>
      </w:r>
      <w:r>
        <w:rPr>
          <w:rFonts w:ascii="Arial" w:cs="Arial" w:eastAsia="Arial" w:hAnsi="Arial"/>
          <w:sz w:val="16"/>
          <w:szCs w:val="16"/>
          <w:color w:val="auto"/>
        </w:rPr>
        <w:t>" section below for further details regarding our provisions, and credits/payments, for sales-related deductions.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various collaborative arrangements to research, develop, manufacture, and commercialize products and/or product candidates.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our collaborator, we must assess, at the inception of the contract, whether each promise represents a separate obligation (i.e.,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(i.e.,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potentially resulting in material changes to amounts recognized.</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are entitled to reimbursement of all or a portion of the expenses (e.g., research and development expenses) that we incur under a collaboration, we record those reimbursable amounts in the period in which such costs are incurred.</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collaborator performs research and development work or commercialization-related activities and share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103" w:lineRule="exact"/>
        <w:rPr>
          <w:sz w:val="20"/>
          <w:szCs w:val="20"/>
          <w:color w:val="auto"/>
        </w:rPr>
      </w:pPr>
    </w:p>
    <w:p>
      <w:pPr>
        <w:jc w:val="both"/>
        <w:ind w:left="660" w:right="20" w:hanging="328"/>
        <w:spacing w:after="0" w:line="25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each quarter. The estimates are revised, if necessary, in subsequent periods if our share of actual profits or losses differ from those estimates.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stock-based compensation expense for equity grants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 option grants. The expected dividend yield is zero as we have never paid dividends and do not currently anticipate paying any in the foreseeable future.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also includes an estimate, which is made at the time of grant, of the number of awards that are expected to be forfeited.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estimate is revised, if necessary, in subsequent periods if actual forfeitures differ from those estimates.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a Monte Carlo simulation to compute the estimated fair value of performance-based restricted stock units, which are subject to vesting based on the Company's attainment of pre-established market performance goals.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assumptions used in computing the fair value of equity awards reflect our best estimates but involve uncertainties related to market and other conditions, many of which are outside of our control. Changes in any of these assumptions may materially affect the fair value of awards granted and the amount of stock-based compensation recognized in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Uncertain tax positions, for which management's assessment is that there is more than a 50% probability that the position will be sustained upon examination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amount of the liability to reflect any subsequent changes in the relevant facts and circumstances surrounding the uncertain positions.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periodically analyze our inventory levels to identify inventory that may expire prior to expected sale or has a cost basis in excess of its estimated realizable value, and write 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inventory to its estimated realizable value.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See Note 6 to our Consolidated Financial Statements for information related to our inventory write-offs and reserves.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89"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6,557.6</w:t>
            </w:r>
          </w:p>
        </w:tc>
      </w:tr>
      <w:tr>
        <w:trPr>
          <w:trHeight w:val="22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4,347.8</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05"/>
        </w:trPr>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 vs. 2020</w:t>
            </w: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2020 vs. 2019</w:t>
            </w:r>
          </w:p>
        </w:tc>
      </w:tr>
      <w:tr>
        <w:trPr>
          <w:trHeight w:val="210"/>
        </w:trPr>
        <w:tc>
          <w:tcPr>
            <w:tcW w:w="14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EYLEA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5,792.3</w:t>
            </w:r>
          </w:p>
        </w:tc>
        <w:tc>
          <w:tcPr>
            <w:tcW w:w="6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4,947.2</w:t>
            </w: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4,644.2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303.0</w:t>
            </w:r>
          </w:p>
        </w:tc>
      </w:tr>
      <w:tr>
        <w:trPr>
          <w:trHeight w:val="229"/>
        </w:trPr>
        <w:tc>
          <w:tcPr>
            <w:tcW w:w="140" w:type="dxa"/>
            <w:vAlign w:val="bottom"/>
          </w:tcPr>
          <w:p>
            <w:pPr>
              <w:spacing w:after="0"/>
              <w:rPr>
                <w:sz w:val="19"/>
                <w:szCs w:val="19"/>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Libtayo</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14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Praluent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140" w:type="dxa"/>
            <w:vAlign w:val="bottom"/>
          </w:tcPr>
          <w:p>
            <w:pPr>
              <w:spacing w:after="0"/>
              <w:rPr>
                <w:sz w:val="19"/>
                <w:szCs w:val="19"/>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REGEN-COV</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185.7</w:t>
            </w:r>
          </w:p>
        </w:tc>
      </w:tr>
      <w:tr>
        <w:trPr>
          <w:trHeight w:val="230"/>
        </w:trPr>
        <w:tc>
          <w:tcPr>
            <w:tcW w:w="14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Evkeeza</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tcPr>
          <w:p>
            <w:pPr>
              <w:spacing w:after="0"/>
              <w:rPr>
                <w:sz w:val="19"/>
                <w:szCs w:val="19"/>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ARCALYST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Sanofi</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r>
      <w:tr>
        <w:trPr>
          <w:trHeight w:val="230"/>
        </w:trPr>
        <w:tc>
          <w:tcPr>
            <w:tcW w:w="14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Bayer</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140" w:type="dxa"/>
            <w:vAlign w:val="bottom"/>
          </w:tcPr>
          <w:p>
            <w:pPr>
              <w:spacing w:after="0"/>
              <w:rPr>
                <w:sz w:val="19"/>
                <w:szCs w:val="19"/>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Roche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r>
      <w:tr>
        <w:trPr>
          <w:trHeight w:val="248"/>
        </w:trPr>
        <w:tc>
          <w:tcPr>
            <w:tcW w:w="1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16,071.7</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1,939.5</w:t>
            </w:r>
          </w:p>
        </w:tc>
      </w:tr>
      <w:tr>
        <w:trPr>
          <w:trHeight w:val="20"/>
        </w:trPr>
        <w:tc>
          <w:tcPr>
            <w:tcW w:w="14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60" w:right="4480" w:firstLine="3"/>
        <w:spacing w:after="0" w:line="395" w:lineRule="auto"/>
        <w:tabs>
          <w:tab w:leader="none" w:pos="459"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 xml:space="preserve">Net product sales of Praluent in the United States were recorded by Sanofi prior to April 1, 2020. </w:t>
      </w:r>
      <w:r>
        <w:rPr>
          <w:rFonts w:ascii="Arial" w:cs="Arial" w:eastAsia="Arial" w:hAnsi="Arial"/>
          <w:sz w:val="20"/>
          <w:szCs w:val="20"/>
          <w:color w:val="auto"/>
          <w:vertAlign w:val="superscript"/>
        </w:rPr>
        <w:t>**</w:t>
      </w:r>
      <w:r>
        <w:rPr>
          <w:rFonts w:ascii="Arial" w:cs="Arial" w:eastAsia="Arial" w:hAnsi="Arial"/>
          <w:sz w:val="14"/>
          <w:szCs w:val="14"/>
          <w:color w:val="auto"/>
        </w:rPr>
        <w:t xml:space="preserve"> Effective April 1, 2021, Kiniksa records net product sales of ARCALYST in the United States.</w:t>
      </w:r>
    </w:p>
    <w:p>
      <w:pPr>
        <w:spacing w:after="0"/>
        <w:rPr>
          <w:sz w:val="20"/>
          <w:szCs w:val="20"/>
          <w:color w:val="auto"/>
        </w:rPr>
      </w:pPr>
      <w:r>
        <w:rPr>
          <w:rFonts w:ascii="Arial" w:cs="Arial" w:eastAsia="Arial" w:hAnsi="Arial"/>
          <w:sz w:val="18"/>
          <w:szCs w:val="18"/>
          <w:i w:val="1"/>
          <w:iCs w:val="1"/>
          <w:color w:val="auto"/>
        </w:rPr>
        <w:t>Net Product Sales</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product sales of EYLEA in the United States increased in 2021, compared to 2020, due to higher sales volume (including the adverse impact of the COVID-19 pandemic on U.S. EYLEA demand during the three months ended June 30, 2020), partly offset by an increase in sales-related deductions.</w:t>
      </w:r>
    </w:p>
    <w:p>
      <w:pPr>
        <w:spacing w:after="0" w:line="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During the years ended December 31, 2021 and 2020, net product sales of REGEN-COV were recorded in connection with our agreements with the U.S. government. As of December 31, 2021, the Company had completed its final deliveries of drug product under its agreements with the U.S. government. Refer to Part I, Item 1. "Business - Agreements Related to COVID-19 - </w:t>
      </w:r>
      <w:r>
        <w:rPr>
          <w:rFonts w:ascii="Arial" w:cs="Arial" w:eastAsia="Arial" w:hAnsi="Arial"/>
          <w:sz w:val="18"/>
          <w:szCs w:val="18"/>
          <w:i w:val="1"/>
          <w:iCs w:val="1"/>
          <w:color w:val="auto"/>
        </w:rPr>
        <w:t>U.S. Government</w:t>
      </w:r>
      <w:r>
        <w:rPr>
          <w:rFonts w:ascii="Arial" w:cs="Arial" w:eastAsia="Arial" w:hAnsi="Arial"/>
          <w:sz w:val="18"/>
          <w:szCs w:val="18"/>
          <w:color w:val="auto"/>
        </w:rPr>
        <w:t>" for further details. The degree to which future sales of our COVID-19 monoclonal antibodies will continue is highly uncertain and will depend on, among other factors, the number of new COVID-19 cases and effectiveness of our product against variants of concern. Refer to Part I, Item 1. "Business - Products - REGEN-COV - Emergency and Temporary Use Authorizations" for additional information.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w w:val="97"/>
              </w:rPr>
              <w:t>Distribution-</w:t>
            </w:r>
          </w:p>
        </w:tc>
        <w:tc>
          <w:tcPr>
            <w:tcW w:w="12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Other Sales-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Chargebacks,</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center"/>
              <w:spacing w:after="0" w:line="176"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7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and Discounts</w:t>
            </w:r>
          </w:p>
        </w:tc>
        <w:tc>
          <w:tcPr>
            <w:tcW w:w="180" w:type="dxa"/>
            <w:vAlign w:val="bottom"/>
          </w:tcPr>
          <w:p>
            <w:pPr>
              <w:spacing w:after="0"/>
              <w:rPr>
                <w:sz w:val="19"/>
                <w:szCs w:val="19"/>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3"/>
              </w:rPr>
              <w:t>Related Fees</w:t>
            </w:r>
          </w:p>
        </w:tc>
        <w:tc>
          <w:tcPr>
            <w:tcW w:w="120" w:type="dxa"/>
            <w:vAlign w:val="bottom"/>
          </w:tcPr>
          <w:p>
            <w:pPr>
              <w:spacing w:after="0"/>
              <w:rPr>
                <w:sz w:val="19"/>
                <w:szCs w:val="19"/>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Deductions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(127.6)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Sanofi Collaboration Revenue</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1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jc w:val="center"/>
              <w:ind w:right="58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6420" w:type="dxa"/>
            <w:vAlign w:val="bottom"/>
            <w:gridSpan w:val="9"/>
          </w:tcPr>
          <w:p>
            <w:pPr>
              <w:ind w:left="22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5"/>
                <w:szCs w:val="15"/>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w w:val="88"/>
              </w:rPr>
              <w:t>785.2</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antibodies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Sales-based milestones earned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940" w:type="dxa"/>
            <w:vAlign w:val="bottom"/>
            <w:tcBorders>
              <w:bottom w:val="single" w:sz="8" w:color="CCEEFF"/>
            </w:tcBorders>
            <w:gridSpan w:val="6"/>
          </w:tcPr>
          <w:p>
            <w:pPr>
              <w:ind w:left="220"/>
              <w:spacing w:after="0" w:line="230" w:lineRule="exact"/>
              <w:rPr>
                <w:sz w:val="20"/>
                <w:szCs w:val="20"/>
                <w:color w:val="auto"/>
              </w:rPr>
            </w:pPr>
            <w:r>
              <w:rPr>
                <w:rFonts w:ascii="Arial" w:cs="Arial" w:eastAsia="Arial" w:hAnsi="Arial"/>
                <w:sz w:val="18"/>
                <w:szCs w:val="18"/>
                <w:color w:val="auto"/>
                <w:w w:val="98"/>
              </w:rPr>
              <w:t>Reimbursement for manufacturing of commercial supplies</w:t>
            </w:r>
            <w:r>
              <w:rPr>
                <w:rFonts w:ascii="Arial" w:cs="Arial" w:eastAsia="Arial" w:hAnsi="Arial"/>
                <w:sz w:val="23"/>
                <w:szCs w:val="23"/>
                <w:color w:val="auto"/>
                <w:w w:val="98"/>
                <w:vertAlign w:val="superscript"/>
              </w:rPr>
              <w:t>(1)</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368.0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Antibody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360" w:type="dxa"/>
            <w:vAlign w:val="bottom"/>
            <w:gridSpan w:val="3"/>
          </w:tcPr>
          <w:p>
            <w:pPr>
              <w:ind w:left="20"/>
              <w:spacing w:after="0"/>
              <w:rPr>
                <w:sz w:val="20"/>
                <w:szCs w:val="20"/>
                <w:color w:val="auto"/>
              </w:rPr>
            </w:pPr>
            <w:r>
              <w:rPr>
                <w:rFonts w:ascii="Arial" w:cs="Arial" w:eastAsia="Arial" w:hAnsi="Arial"/>
                <w:sz w:val="18"/>
                <w:szCs w:val="18"/>
                <w:color w:val="auto"/>
              </w:rPr>
              <w:t>Immuno-oncology: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6420" w:type="dxa"/>
            <w:vAlign w:val="bottom"/>
            <w:gridSpan w:val="9"/>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share of losses in connection with commercialization of Libtayo</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outside the United States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940" w:type="dxa"/>
            <w:vAlign w:val="bottom"/>
            <w:tcBorders>
              <w:bottom w:val="single" w:sz="8" w:color="CCEEFF"/>
            </w:tcBorders>
            <w:gridSpan w:val="6"/>
          </w:tcPr>
          <w:p>
            <w:pPr>
              <w:ind w:left="220"/>
              <w:spacing w:after="0" w:line="230" w:lineRule="exact"/>
              <w:rPr>
                <w:sz w:val="20"/>
                <w:szCs w:val="20"/>
                <w:color w:val="auto"/>
              </w:rPr>
            </w:pPr>
            <w:r>
              <w:rPr>
                <w:rFonts w:ascii="Arial" w:cs="Arial" w:eastAsia="Arial" w:hAnsi="Arial"/>
                <w:sz w:val="18"/>
                <w:szCs w:val="18"/>
                <w:color w:val="auto"/>
                <w:w w:val="98"/>
              </w:rPr>
              <w:t>Reimbursement for manufacturing of commercial supplies</w:t>
            </w:r>
            <w:r>
              <w:rPr>
                <w:rFonts w:ascii="Arial" w:cs="Arial" w:eastAsia="Arial" w:hAnsi="Arial"/>
                <w:sz w:val="23"/>
                <w:szCs w:val="23"/>
                <w:color w:val="auto"/>
                <w:w w:val="98"/>
                <w:vertAlign w:val="superscript"/>
              </w:rPr>
              <w:t>(1)</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Immuno-oncology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(16.8)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280" w:hanging="174"/>
        <w:spacing w:after="0"/>
        <w:tabs>
          <w:tab w:leader="none" w:pos="12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Corresponding costs incurred by us in connection with such production is recorded within Cost of collaboration and contract manufacturing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our share of profits in connection with commercialization of antibodies in 2021, compared to 2020, was driven by higher Dupixent profits.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each of the years ended December 31, 2021 and 2020, the Company earned $50.0 million sales -based milestones from Sanofi, upon aggregate annual sales of antibodies outside the United States (including Praluent) exceeding $1.5 billion and $1.0 billion, respectively, on a rolling twelve-month basis. We are entitled to receive up to an aggregate of $150.0 million in additional milestone payments from Sanofi, which includes the next sales milestone payment of $50.0 million that would be earned when such sales outside the United States exceed $2.0 billion on a rolling twelve-month basis.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reimbursements for manufacturing of commercial supplies in 2021, compared to 2020, was primarily due to higher Dupixent sales, as revenue for such cost reimbursements is recognized when the product is sold by Sanofi to third-party customers.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Regeneron's share of profits in connection with the commercialization of Dupixent, Praluent (through March 31, 2020), and Kevzara is summarized below:</w:t>
      </w:r>
    </w:p>
    <w:p>
      <w:pPr>
        <w:spacing w:after="0" w:line="298"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Regeneron's share of collaboration profits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1,511.5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871.5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 incurred by Sanofi in</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320" w:type="dxa"/>
            <w:vAlign w:val="bottom"/>
          </w:tcPr>
          <w:p>
            <w:pPr>
              <w:ind w:left="20"/>
              <w:spacing w:after="0" w:line="156" w:lineRule="exact"/>
              <w:rPr>
                <w:sz w:val="20"/>
                <w:szCs w:val="20"/>
                <w:color w:val="auto"/>
              </w:rPr>
            </w:pPr>
            <w:r>
              <w:rPr>
                <w:rFonts w:ascii="Arial" w:cs="Arial" w:eastAsia="Arial" w:hAnsi="Arial"/>
                <w:sz w:val="18"/>
                <w:szCs w:val="18"/>
                <w:color w:val="auto"/>
                <w:w w:val="97"/>
              </w:rPr>
              <w:t>Regeneron's share of profits in connection with commercialization of</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08"/>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antibodies</w:t>
            </w: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Regeneron's share of collaboration profits as a percentage of Dupixent,</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Praluent, and Kevzara net product sales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700" w:hanging="182"/>
        <w:spacing w:after="0"/>
        <w:tabs>
          <w:tab w:leader="none" w:pos="170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Global net product sales of Dupixent and Kevzara are recorded by Sanofi. The quarter ended March 31, 2020 was the last</w:t>
      </w:r>
    </w:p>
    <w:p>
      <w:pPr>
        <w:ind w:left="1520" w:right="1480"/>
        <w:spacing w:after="0" w:line="224" w:lineRule="auto"/>
        <w:rPr>
          <w:rFonts w:ascii="Arial" w:cs="Arial" w:eastAsia="Arial" w:hAnsi="Arial"/>
          <w:sz w:val="22"/>
          <w:szCs w:val="22"/>
          <w:color w:val="auto"/>
          <w:vertAlign w:val="superscript"/>
        </w:rPr>
      </w:pPr>
      <w:r>
        <w:rPr>
          <w:rFonts w:ascii="Arial" w:cs="Arial" w:eastAsia="Arial" w:hAnsi="Arial"/>
          <w:sz w:val="16"/>
          <w:szCs w:val="16"/>
          <w:color w:val="auto"/>
        </w:rPr>
        <w:t>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Part I, Item 1. "Business - Collaboration, License, and Other Agreements - Sanofi - Antibody", effective April 1, 2020, the Company became solely responsible for the development and commercialization of Praluent in the United States. Under the new agreement, Sanofi is solely responsible for the development and commercialization of Praluent outside of the United States, and pays the Company a 5% royalty on Sanofi’s net product sales of Praluent outside the United States.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3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Regeneron's net profit in connection with commercialization of EYLEA</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380" w:right="1620" w:hanging="4"/>
        <w:spacing w:after="0" w:line="202" w:lineRule="auto"/>
        <w:tabs>
          <w:tab w:leader="none" w:pos="1556"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Corresponding costs incurred by us in connection with such production is recorded within Cost of collaboration and contract manufacturing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Bayer records net product sales of EYLEA outside the United States. Regeneron's net profit in connection with commercialization of EYLEA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is summarized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2,897.4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Regeneron's share of collaboration profit from sales outside the United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1,165.8</w:t>
            </w:r>
          </w:p>
        </w:tc>
        <w:tc>
          <w:tcPr>
            <w:tcW w:w="12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1,148.0</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States</w:t>
            </w: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 incurred by Bayer in</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(56.6)</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360" w:type="dxa"/>
            <w:vAlign w:val="bottom"/>
          </w:tcPr>
          <w:p>
            <w:pPr>
              <w:ind w:left="20"/>
              <w:spacing w:after="0" w:line="156" w:lineRule="exact"/>
              <w:rPr>
                <w:sz w:val="20"/>
                <w:szCs w:val="20"/>
                <w:color w:val="auto"/>
              </w:rPr>
            </w:pPr>
            <w:r>
              <w:rPr>
                <w:rFonts w:ascii="Arial" w:cs="Arial" w:eastAsia="Arial" w:hAnsi="Arial"/>
                <w:sz w:val="18"/>
                <w:szCs w:val="18"/>
                <w:color w:val="auto"/>
                <w:w w:val="95"/>
              </w:rPr>
              <w:t>Regeneron's net profit in connection with commercialization of EYLEA</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1,349.2</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1,091.4</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7"/>
                <w:szCs w:val="17"/>
                <w:color w:val="auto"/>
              </w:rPr>
            </w:pPr>
          </w:p>
        </w:tc>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outside the United States</w:t>
            </w: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Regeneron's net profit as a percentage of EYLEA net product sales</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6400" w:type="dxa"/>
            <w:vAlign w:val="bottom"/>
            <w:gridSpan w:val="2"/>
          </w:tcPr>
          <w:p>
            <w:pPr>
              <w:jc w:val="right"/>
              <w:ind w:right="59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Roche Collaboration Revenue</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Part I, Item 1. "Business - Agreements Related to COVID-19 - Roche", Roche distributes and records net product sales of the casirivimab and imdevimab antibody cocktail outside the United States, and the parties share gross profits from worldwide sales,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Other collaboration revenue. If Regeneron is to make a true-up payment to Roche, such amount will be recorded to Cost of goods sold.</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recorded $361.8 million of true-up payments, within Other collaboration revenue, from Roche in connection with this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decreased in 2021, compared to 2020, primarily due to lower amounts recognized in connection with our agreement with BARDA related to funding of certain development activities for COVID-19 antibodies, and, to a lesser extent, Inmazeb.</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headcount data)</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2021 vs. 2020</w:t>
            </w:r>
          </w:p>
        </w:tc>
        <w:tc>
          <w:tcPr>
            <w:tcW w:w="1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2020 vs. 2019</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66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660" w:type="dxa"/>
            <w:vAlign w:val="bottom"/>
          </w:tcPr>
          <w:p>
            <w:pPr>
              <w:ind w:left="20"/>
              <w:spacing w:after="0" w:line="176" w:lineRule="exact"/>
              <w:rPr>
                <w:sz w:val="20"/>
                <w:szCs w:val="20"/>
                <w:color w:val="auto"/>
              </w:rPr>
            </w:pPr>
            <w:r>
              <w:rPr>
                <w:rFonts w:ascii="Arial" w:cs="Arial" w:eastAsia="Arial" w:hAnsi="Arial"/>
                <w:sz w:val="18"/>
                <w:szCs w:val="18"/>
                <w:color w:val="auto"/>
              </w:rPr>
              <w:t>Cost of collaboration and contract</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628.0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402.8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660" w:type="dxa"/>
            <w:vAlign w:val="bottom"/>
          </w:tcPr>
          <w:p>
            <w:pPr>
              <w:ind w:left="180"/>
              <w:spacing w:after="0" w:line="230" w:lineRule="exact"/>
              <w:rPr>
                <w:sz w:val="20"/>
                <w:szCs w:val="20"/>
                <w:color w:val="auto"/>
              </w:rPr>
            </w:pPr>
            <w:r>
              <w:rPr>
                <w:rFonts w:ascii="Arial" w:cs="Arial" w:eastAsia="Arial" w:hAnsi="Arial"/>
                <w:sz w:val="18"/>
                <w:szCs w:val="18"/>
                <w:color w:val="auto"/>
              </w:rPr>
              <w:t>manufacturing</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 w:type="dxa"/>
            <w:vAlign w:val="bottom"/>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Average headcount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900" w:hanging="179"/>
        <w:spacing w:after="0"/>
        <w:tabs>
          <w:tab w:leader="none" w:pos="900"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Includes costs incurred as well as cost reimbursements from collaborators who are not deemed to be our customers</w:t>
      </w:r>
    </w:p>
    <w:p>
      <w:pPr>
        <w:spacing w:after="0" w:line="23" w:lineRule="exact"/>
        <w:rPr>
          <w:rFonts w:ascii="Arial" w:cs="Arial" w:eastAsia="Arial" w:hAnsi="Arial"/>
          <w:sz w:val="21"/>
          <w:szCs w:val="21"/>
          <w:color w:val="auto"/>
          <w:vertAlign w:val="superscript"/>
        </w:rPr>
      </w:pPr>
    </w:p>
    <w:p>
      <w:pPr>
        <w:ind w:left="720" w:right="740" w:firstLine="1"/>
        <w:spacing w:after="0" w:line="211" w:lineRule="auto"/>
        <w:tabs>
          <w:tab w:leader="none" w:pos="897"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Cost of goods sold primarily includes costs in connection with producing commercial supplies for products that are sold by Regeneron in the United States (i.e., for which we record net product sales), any royalties we are obligated to pay on such sales, and amounts we are obligated to pay to collaborators for their share of gross profits.</w:t>
      </w:r>
    </w:p>
    <w:p>
      <w:pPr>
        <w:spacing w:after="0" w:line="10" w:lineRule="exact"/>
        <w:rPr>
          <w:rFonts w:ascii="Arial" w:cs="Arial" w:eastAsia="Arial" w:hAnsi="Arial"/>
          <w:sz w:val="21"/>
          <w:szCs w:val="21"/>
          <w:color w:val="auto"/>
          <w:vertAlign w:val="superscript"/>
        </w:rPr>
      </w:pPr>
    </w:p>
    <w:p>
      <w:pPr>
        <w:ind w:left="720" w:right="560" w:firstLine="1"/>
        <w:spacing w:after="0" w:line="213" w:lineRule="auto"/>
        <w:tabs>
          <w:tab w:leader="none" w:pos="897"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Cost of collaboration and contract manufacturing includes costs we incur in connection with producing commercial drug supplies for collaborators and others.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 2021, 2020, and 2019 included a total of $601.7 million, $432.0 million, and $464.3 million, respectively, of non-cash compensation expense related to equity awards granted under our long-term incentive plans. As of December 31, 2021, unrecognized non-cash compensation expense related to unvested stock options and unvested restricted stock (including performance-based restricted stock units) was $515.9 million and $857.1 million, respectively. We expect to recognize this non-cash compensation expense related to stock options and restricted stock over weighted-average periods of 1.8 years and 3.0 years,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(see "Critical Accounting Policies and Use of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3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8"/>
          </w:tcPr>
          <w:p>
            <w:pPr>
              <w:ind w:left="52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26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Arial" w:cs="Arial" w:eastAsia="Arial" w:hAnsi="Arial"/>
                <w:sz w:val="18"/>
                <w:szCs w:val="18"/>
                <w:b w:val="1"/>
                <w:bCs w:val="1"/>
                <w:color w:val="auto"/>
              </w:rPr>
              <w:t>2020</w:t>
            </w:r>
            <w:r>
              <w:rPr>
                <w:rFonts w:ascii="Arial" w:cs="Arial" w:eastAsia="Arial" w:hAnsi="Arial"/>
                <w:sz w:val="23"/>
                <w:szCs w:val="23"/>
                <w:b w:val="1"/>
                <w:bCs w:val="1"/>
                <w:color w:val="auto"/>
                <w:vertAlign w:val="superscript"/>
              </w:rPr>
              <w: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2021 vs. 2020</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2020 vs. 2019</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REGEN-COV (casirivimab and imdevimab)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Dupixent (dupilumab)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Libtayo (cemiplimab)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EYLEA and aflibercept 8 mg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Fasinumab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Up-front payments related to license and collaboration</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220"/>
              <w:spacing w:after="0" w:line="176" w:lineRule="exact"/>
              <w:rPr>
                <w:sz w:val="20"/>
                <w:szCs w:val="20"/>
                <w:color w:val="auto"/>
              </w:rPr>
            </w:pPr>
            <w:r>
              <w:rPr>
                <w:rFonts w:ascii="Arial" w:cs="Arial" w:eastAsia="Arial" w:hAnsi="Arial"/>
                <w:sz w:val="18"/>
                <w:szCs w:val="18"/>
                <w:color w:val="auto"/>
                <w:w w:val="95"/>
              </w:rPr>
              <w:t>Other product candidates in clinical development and</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research programs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Payroll and benefits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Lab supplies and other research and development</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Reimbursement of research and development expenses</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collaborators</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3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0" w:hanging="102"/>
        <w:spacing w:after="0"/>
        <w:tabs>
          <w:tab w:leader="none" w:pos="6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Certain prior year amounts have been reclassified to conform to the current year's presentation</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 2021 included $34.0 million in aggregate up-front payments in connection with our collaboration agreement with Nykode Therapeutics, in 2020 included $85.0 million in aggregate up-front payments in connection with our collaboration agreement with Intellia, and in 2019 included a $400.0 million up-front payment to Alnylam. Research and development expenses included non-cash compensation expense of $316.6 million and $238.6 million in 2021 and 2020, respectively.</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Reimbursement of research and development expenses by collaborators included reimbursements from Roche related to REGEN-COV of $128.1 million and $78.5 million for the years ended December 31, 2021 and 2020, respectively.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requirements, changes in the competitive landscape affecting a product candidate, and other risks and uncertainties described in Part 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in 2021, compared to 2020, primarily due to an increase in commercialization-related expenses for</w:t>
      </w:r>
    </w:p>
    <w:p>
      <w:pPr>
        <w:spacing w:after="0" w:line="46"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EYLEA, including direct-to-consumer advertising, (ii) REGEN-COV, including costs associated with educational campaigns related to COVID-19, and</w:t>
      </w:r>
    </w:p>
    <w:p>
      <w:pPr>
        <w:spacing w:after="0" w:line="32" w:lineRule="exact"/>
        <w:rPr>
          <w:rFonts w:ascii="Arial" w:cs="Arial" w:eastAsia="Arial" w:hAnsi="Arial"/>
          <w:sz w:val="16"/>
          <w:szCs w:val="16"/>
          <w:color w:val="auto"/>
        </w:rPr>
      </w:pPr>
    </w:p>
    <w:p>
      <w:pPr>
        <w:jc w:val="both"/>
        <w:ind w:firstLine="8"/>
        <w:spacing w:after="0" w:line="273" w:lineRule="auto"/>
        <w:tabs>
          <w:tab w:leader="none" w:pos="3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Libtayo; and higher headcount-related costs. In addition, in 2020, we recorded a reversal of accruals for litigation-related loss contingencies as a result of the October 2020 ruling by the Technical Board of Appeal of the EPO and its impact on certain patent infringement actions in Europe relating to Praluent (see Note 15 to our Consolidated Financial Statements for additional details). Selling, general, and administrative expenses also included $213.3 million and $153.0 million of non-cash compensation expense in 2021 and 2020,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goods sold increased in 2021, compared to 2020, primarily due to the recognition of manufacturing costs in connection with the product sales of REGEN-COV. During 2021, the Company also recorded a $259.6 million true-up payment owed in connection with global gross profits under our Roche collaboration agreement described above. Additionally, during the fourth quarter of 2021, the Company recorded a $231.7 million charge to write down its REGEN-COV inventory as a result of data that showed REGEN-COV was highly unlikely to be active against the Omicron variant and the FDA revision of the EUA for REGEN-COV, pursuant to which REGEN-COV was no longer authorized for use in any U.S. states, territories, or jurisdictions. Refer to Part I, Item 1. "Business - Products - REGEN-COV - Emergency and Temporary Use Authorizations"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collaboration and contract manufacturing increased in 2021, compared to 2020, primarily due to the recognition of manufacturing costs associated with higher sales of Dupixent, partly offset by lower costs in connection with manufacturing ex-U.S. commercial supplies of Praluent for Sanofi and the recognition of process validation costs during 2020 in connection with manufacturing Inmazeb under our BARDA agreement as such costs did not recur during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operating (income) expense, net, includes recognition of a portion of amounts previously deferred in connection with up-front and development milestone payments, as applicable, received in connection with Sanofi IO, Teva, and MTPC collaborative arrangements. In these arrangements, we satisfy our obligation(s) during the development phase over time, and, as a result, recognize amounts initially deferred over time using an input method on the basis of our research and development costs incurred relative to the total expected cost which determines the extent of our progress toward completion. See the Critical Accounting Policies and Use of Estimates section above for further details.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2021, we updated our estimate of the total research and development costs expected to be incurred (which resulted in a change to the estimate of the stage of completion) in connection with the Sanofi IO Collaboration, and, as a result, recorded a cumulative catch-up adjustment of $66.9 million as a reduction to other operating income. During 2020, we updated our estimate of the total research and development costs expected to be incurred (which resulted in changes to the estimate of the stage of completion) in connection with the Sanofi IO, Teva, and MTPC collaboration agreements, and therefore recorded cumulative catch-up adjustments of $99.8 million, net, as an increase to other operating income.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was $379.0 million in 2021, compared to $233.8 million in 2020. This change was primarily driven by an increase in unrealized gains on equity securities of $190.1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1"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effective tax rate)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313.3</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12.9%</w:t>
            </w:r>
          </w:p>
        </w:tc>
      </w:tr>
    </w:tbl>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2021 was positively impacted, compared to the U.S. federal statutory rate, primarily by income earned in foreign jurisdictions with tax rates lower than the U.S. federal statutory rate and stock-based compensation. Our effective tax rate for 2020 was positively impacted, compared to the U.S. federal statutory rate, primarily by stock-based compensation, and, to a lesser extent, federal tax credits for research activities and income earned in foreign jurisdictions with tax rates lower than the U.S. federal statutory rate.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275"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2,885.6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691.9</w:t>
            </w: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 - current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w:t>
            </w:r>
          </w:p>
        </w:tc>
      </w:tr>
      <w:tr>
        <w:trPr>
          <w:trHeight w:val="229"/>
        </w:trPr>
        <w:tc>
          <w:tcPr>
            <w:tcW w:w="3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3,702.4</w:t>
            </w: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6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62"/>
        </w:trPr>
        <w:tc>
          <w:tcPr>
            <w:tcW w:w="3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4,235.8</w:t>
            </w:r>
          </w:p>
        </w:tc>
      </w:tr>
      <w:tr>
        <w:trPr>
          <w:trHeight w:val="229"/>
        </w:trPr>
        <w:tc>
          <w:tcPr>
            <w:tcW w:w="3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we also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2021, 2020, and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As of December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ind w:left="94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2021 vs. 2020</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2020 vs. 2019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(5,384.7)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(5,314.1)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1,957.2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(1,718.4)</w:t>
            </w:r>
          </w:p>
        </w:tc>
        <w:tc>
          <w:tcPr>
            <w:tcW w:w="20" w:type="dxa"/>
            <w:vAlign w:val="bottom"/>
          </w:tcPr>
          <w:p>
            <w:pPr>
              <w:spacing w:after="0"/>
              <w:rPr>
                <w:sz w:val="19"/>
                <w:szCs w:val="19"/>
                <w:color w:val="auto"/>
              </w:rPr>
            </w:pPr>
          </w:p>
        </w:tc>
      </w:tr>
      <w:tr>
        <w:trPr>
          <w:trHeight w:val="79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Accounts receivable had increased by $1.927 billion, compared to December 31, 2020, primarily due to REGEN-COV sales in connection with our September 2021 agreement to supply drug product to the U.S. government. Other non-cash items, net, in 2021 included inventory write-offs and reserves totaling $457.1 million, primarily related to REGEN-COV. Accounts payable, accrued expenses, and other liabilities as of December 31, 2021 included a $259.6 million fourth quarter 2021 true-up payment owed in connection with global gross profits under our Roche collaboration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Accounts receivable had increased by $1.356 billion, compared to December 31, 2019, partly as a result of extending payment terms to EYLEA customers due to the COVID-19 pandemic. Inventories increased as of December 31, 2020, compared to December 31, 2019, partially as a result of purchasing additional raw materials in anticipation of potential disruptions to our supply chain due to the COVID-19 pandemic.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taxes as of December 31, 2019 increased by $130.6 million, compared to December 31, 2018, primarily due to the tax treatment of the up-front payment made to Alnylam and non-cash compensation expense. Accounts payable, accrued expenses, and other liabilities as of December 31, 2019 increased compared to December 31, 2018 partially due to the impact of the receipt of a $461.9 million payment from Sanofi in connection with the termination of the 2015 IO Discovery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of marketable securities in 2020 included proceeds in connection with funding our stock repurchase from Sanofi (as described below). In 2019, we purchased $400.0 million of Alnylam common stock in connection with entering into the collaboration agreement. Capital expenditures in 2021 included costs associated with the expansion of our manufacturing facilities in Rensselaer, New York (including the ongoing construction of a fill/finish facility and related equipment) and Limerick, Ireland, as well as initial costs incurred in connection with our planned expansion of the Tarrytown, New York campus. We expect to incur capital expenditures of $650 million to $730 million in 2022 primarily in connection with the continued expansion of our manufacturing facilities (including the fill/finish facility) and the expansion of our research, preclinical manufacturing, and support facilities at our Tarrytown, New York campus. We also expect continued significant capital expenditures over the next several years in connection with the planned expansion of our Tarrytown, New York campus.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issuances of Common Stock, in connection with exercises of employee stock options, were $1.672 billion during 2021, compared to $2.575 billion during 2020 and $211.8 million during 2019. For additional information related to cash flows from financing activities, see "Share Repurchase Program", "Sanofi Funding of Certain Development Costs", "Secondary Offering and Purchase of Regeneron Common Stock Held by Sanofi", and "Issuance of Senior Notes" sections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2018,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2021.</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2021.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of its Common Stock that it was authorized to repurchase under the program.</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2021, our board of directors authorized a share repurchase program to repurchase up to $1.5 billion of our Common Stock. The share repurchase program was approved under terms substantially similar to the November 2019 share repurchase program. As of December 31, 2021, the Company had repurchased the entire $1.5 billion of its Common Stock that it was authorized to repurchase under the program.</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2021, our board of directors authorized an additional share repurchase program to repurchase up to $3.0 billion of our Common Stock. The share repurchase program was approved under terms substantially similar to the share repurchase programs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 As of December 31, 2021, $2.845 billion remained available for share repurchases under the November 2021 program.</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shares of our Common Stock we repurchased under the programs described above and the cost of the shares received, which were recorded as Treasury Stock.</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Total cost of shares received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1,655.0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746.0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a 2018 agreement, we agreed to allow Sanofi to satisfy in whole or in part its funding obligations with respect to Libtayo development and/or certain activities relating to dupilumab and itepekimab incurred in periods through September 30, 2020 by selling shares of our Common Stock owned by Sanofi. During 2020, Sanofi elected to sell, and we elected to purchase, shares of our Common Stock to satisfy Sanofi's funding obligation related to such activities. Consequently, we recorded the cost of the shares received, or $135.0 million, as Treasury Stock during 2020. In addition, during 2019, Sanofi elected to sell, and we elected to purchase, shares of our Common Stock to satisfy Sanofi's funding obligation. Consequently, we recorded the cost of the shares received, or $102.7 million, as Treasury Stock during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 and Purchase of Regeneron Common Stock Held by Sanofi</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of our Common Stock directly from Sanofi for an aggregate purchase amount of $5.0 billion (the "Stock Purchase").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funded the Stock Purchase with a combination of cash on hand, proceeds from the sale of marketable securities, and proceeds from loans under a $1.5 billion senior unsecured bridge loan facility (the "Bridge Facility") which was entered into in May 2020. The Bridge Facility was repaid in August 2020 following the issuance and sale of the Company's senior unsecured notes.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Senior Notes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 offering expenses) were used in part to repay in full the Bridge Facility described above, including accrued interest and related fees and expenses in connection therewith.</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2030 Notes accrue interest at the rate of 1.750% per year and will mature on September 15, 2030. The 2050 Notes accrue interest at the rate of 2.800% per year and will mature on September 15, 2050. Interest on each series of Notes is payable semi-annually in arrears on March 15 and September 15 of each year until their respective maturity dates.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also contain certain limitations on the Company’s ability to incur liens and enter into sale and leaseback transactions, as well as customary events of default.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 Leasing BSC, LCC, and affiliate of Banc of America Leasing &amp; Capital, LLC ("BAL"), as lessor, and a syndicate of lenders (collectively with BAL, the "Lease Participants"), which provided for lease financing in connection with the acquisition by BAL of the Facility and our lease of the Facility from BAL. In March 2017, we assigned our right to take title to the Facility under the Purchase Agreement to BAL, and the Lease Participants advanced $720.0 million, which was used by BAL to finance the purchase price for the Facility.</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ending in March 2022.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2021, we delivered a request to the Lease Participants to potentially exercise the option for a five-year extension of the term of the Lease and the maturity date under the Participation Agreement. In November 2021, the Lease Participants consented to such extension, subject to the satisfaction of certain conditions prior to the expiration of the existing term in March 2022, including the negotiation and execution of satisfactory definitive documentation setting forth the terms and conditions that would apply during such potential extended term. We are negotiating such documentation with the Lease Participants, but there can be no assurance that such extension will become effective.</w:t>
      </w:r>
    </w:p>
    <w:p>
      <w:pPr>
        <w:spacing w:after="0" w:line="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agreements governing the Lease financing contain financial and operating covenants. Such financial covenants and certain of the operating covenants are substantially similar to the covenants set forth in our Credit Facility. We were in compliance with all such covenants as of December 31,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Funding Requirements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Credit Facility, funds generated by anticipated product sales, and, as described above under Part I, Item 1. "Business - Collaboration, License, and Other Agreements," funding for reimbursement of research and development costs that we are entitled to receive under our collaboration agreements, will enable us to meet our anticipated operating needs for the foreseeable future.</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including the size of trials, fees charged for services provided by clinical trial investigators and other third parties, the costs for manufacturing the product candidate for use in the trials, and other expenses. Under certain collaboration agreements, the amount of funding for reimbursement of research and development costs that we are entitled to receive is capped at a specified amount; therefore, we may elect to independently fund certain research and development costs in excess of such capped amounts.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expect to continue to incur development and manufacturing costs for our COVID-19 monoclonal antibodies in 2022, though the amount of funding that will be required will be subject to clinical data results, quantity of drug supply manufactured, the duration of the COVID-19 pandemic, and other factors, including regulatory outcomes, as described in Part I.</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continuing to incur substantial commercialization costs for EYLEA, Dupixent, and Libtayo.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Liabilities for unrecognized tax benefits totaled $410.9 million at December 31, 2021. Due to their nature, there is a high degree of uncertainty regarding the period and amounts of potential future cash settlement with tax authorities. See Note 14 to our Consolidated Financial Statements. In addition, the Tax Cuts and Jobs Act of 2017 requires the capitalization and amortization of research and development expenses effective for years beginning after December 31, 2021, which we expect will have a material impact on our cash flows beginning in 2022.</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collaboration and licensing agreements that may require us to pay (i) amounts contingent upon the occurrence of various future events (e.g.,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See Note 3 and Note 10 to our Consolidated Financial Statements.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our collaboration with Bayer for EYLEA outside the United States and our Antibody and IO Collaborations with Sanofi, we and our collaborator share profits and losses in connection with commercialization of drug products. If the applicable collaboration is profitable, we have contingent contractual obligations to reimburse Bayer and Sanofi for a defined percentage (generally 50%) of agreed-upon development expenses funded by Bayer and Sanofi (i.e., "development balance"). These reimbursements are deducted each quarter, in accordance with a formula, from our share of the collaboration profits (and, for our EYLEA collaboration with Bayer, inclusive of our percentage on product sales in Japan) otherwise payable to us, unless, in the case of EYLEA, we elect to reimburse these expenses at a faster rate. As of December 31, 2021, our contingent reimbursement obligation to Bayer for EYLEA was approximately $282 million and our contingent reimbursement obligation to Sanofi in connection with the companies' Antibody Collaboration and IO Collaboration was approximately $3.152 billion and $103 million, respectively. Therefore, we expect that, for the foreseeable future, a portion of our share of profits from sales under our collaborations with Bayer and Sanofi will be used to reimburse our collaborators for these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are currently material or reasonably likely to be material to our consolidated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future adoption of recently issued accounting standards is not expected to have a material impact on the Company's financial position or results of operations.</w:t>
      </w:r>
    </w:p>
    <w:p>
      <w:pPr>
        <w:spacing w:after="0" w:line="85" w:lineRule="exact"/>
        <w:rPr>
          <w:sz w:val="20"/>
          <w:szCs w:val="20"/>
          <w:color w:val="auto"/>
        </w:rPr>
      </w:pPr>
    </w:p>
    <w:p>
      <w:pPr>
        <w:ind w:right="3940"/>
        <w:spacing w:after="0" w:line="424"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Risk</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$120.0 million and $48.1 million decrease in the fair value of our investment portfolio as of December 31, 2021 and 2020, respectively.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exposure to market risk for changes in interest rates, including the interest rate risk relating to our variable rate Tarrytown, New York lease (as described in Part II, Item 7. "Management's Discussion and Analysis of Financial Condition and Results of Operations - Liquidity and Capital Resources - </w:t>
      </w:r>
      <w:r>
        <w:rPr>
          <w:rFonts w:ascii="Arial" w:cs="Arial" w:eastAsia="Arial" w:hAnsi="Arial"/>
          <w:sz w:val="17"/>
          <w:szCs w:val="17"/>
          <w:i w:val="1"/>
          <w:iCs w:val="1"/>
          <w:color w:val="auto"/>
        </w:rPr>
        <w:t>Tarrytown, New York Leases</w:t>
      </w:r>
      <w:r>
        <w:rPr>
          <w:rFonts w:ascii="Arial" w:cs="Arial" w:eastAsia="Arial" w:hAnsi="Arial"/>
          <w:sz w:val="17"/>
          <w:szCs w:val="17"/>
          <w:color w:val="auto"/>
        </w:rPr>
        <w:t>"). Our interest rate exposure is primarily offset by our investments in marketable securities. In addition, we further manage</w:t>
      </w:r>
      <w:r>
        <w:rPr>
          <w:rFonts w:ascii="Arial" w:cs="Arial" w:eastAsia="Arial" w:hAnsi="Arial"/>
          <w:sz w:val="17"/>
          <w:szCs w:val="17"/>
          <w:i w:val="1"/>
          <w:iCs w:val="1"/>
          <w:color w:val="auto"/>
        </w:rPr>
        <w:t xml:space="preserve"> </w:t>
      </w:r>
      <w:r>
        <w:rPr>
          <w:rFonts w:ascii="Arial" w:cs="Arial" w:eastAsia="Arial" w:hAnsi="Arial"/>
          <w:sz w:val="17"/>
          <w:szCs w:val="17"/>
          <w:color w:val="auto"/>
        </w:rPr>
        <w:t>our interest rate exposure related to our variable rate lease through the use of derivative instruments. All of our derivative instruments are utilized for risk management purposes and are not used for trading or speculative purposes. We continue to monitor our interest rate risk and may utilize additional derivative instruments and/or other strategies in the future to further mitigate our interest rate exposure.</w:t>
      </w:r>
    </w:p>
    <w:p>
      <w:pPr>
        <w:spacing w:after="0" w:line="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hedged a portion of our floating interest rate exposure using interest rate swap and interest rate cap contracts. We estimate that a 100 basis point, or 1%, unfavorable change in interest rates would not have a material impact on the fair value of our interest rate swap or interest rate cap contracts.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Risk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2021, 2020, and 2019, we did not record any charges for credit-related impairments of our available-for-sale debt securities.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credit risk associated with the receivables due from our collaborators, including Bayer and Sanofi. We are also subject to credit risk in connection with trade accounts receivable due from our customers from our product sales. We have contractual payment terms with each of our collaborators and customers, and we monitor their financial performance and credit worthiness so that we can properly assess and respond to any changes in their credit profile. In 2021, 2020 and 2019, we did not recognize any charges for write-offs and allowances of accounts receivable related to credit risk for our collaborators or customers. As of December 31, 2021, three customers accounted on a combined basis for 91% (including 29% related to the U.S. government) of our net trade accounts receivables.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further above, our collaborators market certain products outside the United States, and we share in profits and losses with these collaborators from commercialization of products. In addition, pursuant to the applicable terms of the agreements with our collaborators, we also share in certain worldwide development expenses incurred by our collaborators. We also incur worldwide development expenses for clinical products we are developing independently, in addition to incurring expenses outside of the United States in connection with our international operations. Therefore, significant changes in foreign exchange rates of the countries outside the United States where our products are sold, where development expenses are incurred by us or our collaborators, or where we incur operating expenses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Risk</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exposed to price risk on equity securities included in our investment portfolio. Our marketable securities include equity investments in publicly traded stock of companies, including common stock of companies with which we have entered into collaboration arrangements. Changes in the fair value of our equity investments are included in Other income (expense), net on the Consolidated Statements of Income. We recorded $386.1 million and $196.0 million of net unrealized gains on equity securities in Other income (expense), net for the years ended December 31, 2021 and 2020,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on pages F-1 through F-42 of this report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2021 using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that evaluation, our management has concluded that our internal control over financial reporting was effective as of December 31, 2021. The effectiveness of the Company's internal control over financial reporting as of December 31, 2021 has been audited by PricewaterhouseCoopers LLP, an independent registered public accounting firm, as stated in their report which appears under Part IV, Item 15.</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2021 that has materially affected, or is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2022 Annual Meeting of Shareholders to be filed with the SEC, and is incorporated herein by reference.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"Corporate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tab/>
        <w:t>1.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1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6"/>
          </w:tcPr>
          <w:p>
            <w:pPr>
              <w:ind w:left="660"/>
              <w:spacing w:after="0"/>
              <w:rPr>
                <w:sz w:val="20"/>
                <w:szCs w:val="20"/>
                <w:color w:val="auto"/>
              </w:rPr>
            </w:pPr>
            <w:r>
              <w:rPr>
                <w:rFonts w:ascii="Arial" w:cs="Arial" w:eastAsia="Arial" w:hAnsi="Arial"/>
                <w:sz w:val="18"/>
                <w:szCs w:val="18"/>
                <w:i w:val="1"/>
                <w:iCs w:val="1"/>
                <w:color w:val="auto"/>
              </w:rPr>
              <w:t>3. Exhibits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Exhibit</w:t>
            </w:r>
          </w:p>
        </w:tc>
        <w:tc>
          <w:tcPr>
            <w:tcW w:w="9140" w:type="dxa"/>
            <w:vAlign w:val="bottom"/>
            <w:gridSpan w:val="29"/>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82"/>
              </w:rPr>
              <w:t>Number</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140" w:type="dxa"/>
            <w:vAlign w:val="bottom"/>
            <w:gridSpan w:val="2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3.1</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Restated Certificate of Incorporation, as amended. (Incorporated by reference from the Form 10-Q for</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0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Regeneron Pharmaceuticals, Inc. (the "Registrant"), for the quarter ended June 30, 2015, filed August 4, 2015.)</w:t>
              </w:r>
            </w:hyperlink>
          </w:p>
        </w:tc>
        <w:tc>
          <w:tcPr>
            <w:tcW w:w="14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79"/>
              </w:rPr>
              <w:t>3.2</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80" w:type="dxa"/>
            <w:vAlign w:val="bottom"/>
            <w:gridSpan w:val="28"/>
          </w:tcPr>
          <w:p>
            <w:pPr>
              <w:spacing w:after="0" w:line="189" w:lineRule="exact"/>
              <w:rPr>
                <w:rFonts w:ascii="Arial" w:cs="Arial" w:eastAsia="Arial" w:hAnsi="Arial"/>
                <w:sz w:val="18"/>
                <w:szCs w:val="18"/>
                <w:color w:val="0000FF"/>
              </w:rPr>
            </w:pPr>
            <w:hyperlink r:id="rId123">
              <w:r>
                <w:rPr>
                  <w:rFonts w:ascii="Arial" w:cs="Arial" w:eastAsia="Arial" w:hAnsi="Arial"/>
                  <w:sz w:val="18"/>
                  <w:szCs w:val="18"/>
                  <w:color w:val="0000FF"/>
                </w:rPr>
                <w:t>Amended and Restated By-Laws. (Incorporated by reference from the Form 8-K for the Registrant filed</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December 21, 2016.)</w:t>
              </w:r>
            </w:hyperlink>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4.1</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rPr>
            </w:pPr>
            <w:hyperlink r:id="rId124">
              <w:r>
                <w:rPr>
                  <w:rFonts w:ascii="Arial" w:cs="Arial" w:eastAsia="Arial" w:hAnsi="Arial"/>
                  <w:sz w:val="18"/>
                  <w:szCs w:val="18"/>
                  <w:color w:val="0000FF"/>
                </w:rPr>
                <w:t>Description of Securities Registered Pursuant to Section 12 of the Securities Exchange Act of 1934.</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280" w:type="dxa"/>
            <w:vAlign w:val="bottom"/>
            <w:tcBorders>
              <w:top w:val="single" w:sz="8" w:color="0000FF"/>
              <w:bottom w:val="single" w:sz="8" w:color="0000FF"/>
            </w:tcBorders>
            <w:gridSpan w:val="19"/>
            <w:shd w:val="clear" w:color="auto" w:fill="CCEEFF"/>
          </w:tcPr>
          <w:p>
            <w:pPr>
              <w:spacing w:after="0" w:line="156"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(Incorporated by reference from the Form 10-K for the Registrant, for the year ended December 31, 2019, filed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0000FF"/>
            </w:tcBorders>
            <w:gridSpan w:val="2"/>
            <w:shd w:val="clear" w:color="auto" w:fill="CCEEFF"/>
          </w:tcPr>
          <w:p>
            <w:pPr>
              <w:spacing w:after="0" w:line="156"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February 7, 2020.)</w:t>
              </w:r>
            </w:hyperlink>
          </w:p>
        </w:tc>
        <w:tc>
          <w:tcPr>
            <w:tcW w:w="6960" w:type="dxa"/>
            <w:vAlign w:val="bottom"/>
            <w:tcBorders>
              <w:bottom w:val="single" w:sz="8" w:color="CCEEFF"/>
            </w:tcBorders>
            <w:gridSpan w:val="18"/>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79"/>
              </w:rPr>
              <w:t>4.2</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80" w:type="dxa"/>
            <w:vAlign w:val="bottom"/>
            <w:gridSpan w:val="28"/>
          </w:tcPr>
          <w:p>
            <w:pPr>
              <w:spacing w:after="0" w:line="189"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Indenture, dated August 12, 2020, between the Registrant and U.S. Bank National Association. (Incorporated by</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reference from the Form 8-K for the Registrant, filed August 12,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4.3</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rPr>
            </w:pPr>
            <w:hyperlink r:id="rId126">
              <w:r>
                <w:rPr>
                  <w:rFonts w:ascii="Arial" w:cs="Arial" w:eastAsia="Arial" w:hAnsi="Arial"/>
                  <w:sz w:val="18"/>
                  <w:szCs w:val="18"/>
                  <w:color w:val="0000FF"/>
                </w:rPr>
                <w:t>First Supplemental Indenture, dated August 12, 2020, between the Registrant and U.S. Bank National</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734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Association. (Incorporated by reference from the Form 8-K for the Registrant, filed August 12, 2020.)</w:t>
              </w:r>
            </w:hyperlink>
          </w:p>
        </w:tc>
        <w:tc>
          <w:tcPr>
            <w:tcW w:w="1040" w:type="dxa"/>
            <w:vAlign w:val="bottom"/>
            <w:tcBorders>
              <w:top w:val="single" w:sz="8" w:color="0000FF"/>
              <w:bottom w:val="single" w:sz="8" w:color="CCEEFF"/>
            </w:tcBorders>
            <w:gridSpan w:val="1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79"/>
              </w:rPr>
              <w:t>4.4</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80" w:type="dxa"/>
            <w:vAlign w:val="bottom"/>
            <w:gridSpan w:val="28"/>
          </w:tcPr>
          <w:p>
            <w:pPr>
              <w:spacing w:after="0" w:line="189" w:lineRule="exact"/>
              <w:rPr>
                <w:rFonts w:ascii="Arial" w:cs="Arial" w:eastAsia="Arial" w:hAnsi="Arial"/>
                <w:sz w:val="18"/>
                <w:szCs w:val="18"/>
                <w:color w:val="0000FF"/>
              </w:rPr>
            </w:pPr>
            <w:hyperlink r:id="rId126">
              <w:r>
                <w:rPr>
                  <w:rFonts w:ascii="Arial" w:cs="Arial" w:eastAsia="Arial" w:hAnsi="Arial"/>
                  <w:sz w:val="18"/>
                  <w:szCs w:val="18"/>
                  <w:color w:val="0000FF"/>
                </w:rPr>
                <w:t>Form of 1.750% Senior Note due 2030 (included in Exhibit 4.3).</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2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4.5</w:t>
            </w: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60" w:type="dxa"/>
            <w:vAlign w:val="bottom"/>
            <w:tcBorders>
              <w:bottom w:val="single" w:sz="8" w:color="0000FF"/>
            </w:tcBorders>
            <w:gridSpan w:val="4"/>
            <w:shd w:val="clear" w:color="auto" w:fill="CCEEFF"/>
          </w:tcPr>
          <w:p>
            <w:pPr>
              <w:spacing w:after="0" w:line="189"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Form of 2.800% Senior Note due 2050 (included in Exhibit 4.3).</w:t>
              </w:r>
            </w:hyperlink>
          </w:p>
        </w:tc>
        <w:tc>
          <w:tcPr>
            <w:tcW w:w="3820" w:type="dxa"/>
            <w:vAlign w:val="bottom"/>
            <w:tcBorders>
              <w:bottom w:val="single" w:sz="8" w:color="CCEEFF"/>
              <w:right w:val="single" w:sz="8" w:color="CCEEFF"/>
            </w:tcBorders>
            <w:gridSpan w:val="24"/>
            <w:shd w:val="clear" w:color="auto" w:fill="CCEEFF"/>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10.1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80" w:type="dxa"/>
            <w:vAlign w:val="bottom"/>
            <w:gridSpan w:val="28"/>
          </w:tcPr>
          <w:p>
            <w:pPr>
              <w:spacing w:after="0" w:line="189"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Regeneron Pharmaceuticals, Inc. Second Amended and Restated 2000 Long-Term Incentive Plan. (Incorporated</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3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by reference from the Registration Statement on Form S-8 for the Registrant, filed June 13, 2011.)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10.1.1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Form of option agreement and related notice of grant for use in connection with the grant of time based vesting</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2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stock  options  to  the  Registrant's  non-employee  directors  and  executive  officers  under  the  Regeneron</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16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Pharmaceuticals, Inc. Second Amended and Restated 2000 Long-Term Incentive Plan. (Incorporated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0" w:type="dxa"/>
            <w:vAlign w:val="bottom"/>
            <w:gridSpan w:val="15"/>
            <w:shd w:val="clear" w:color="auto" w:fill="CCEEFF"/>
          </w:tcPr>
          <w:p>
            <w:pPr>
              <w:spacing w:after="0" w:line="156"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reference from the Form 10-Q for the Registrant, for the quarter ended March 31, 2009, filed April 30, 2009.)</w:t>
              </w:r>
            </w:hyperlink>
          </w:p>
        </w:tc>
        <w:tc>
          <w:tcPr>
            <w:tcW w:w="40" w:type="dxa"/>
            <w:vAlign w:val="bottom"/>
            <w:gridSpan w:val="2"/>
            <w:shd w:val="clear" w:color="auto" w:fill="CCEEFF"/>
          </w:tcPr>
          <w:p>
            <w:pPr>
              <w:spacing w:after="0"/>
              <w:rPr>
                <w:sz w:val="13"/>
                <w:szCs w:val="13"/>
                <w:color w:val="auto"/>
              </w:rPr>
            </w:pPr>
          </w:p>
        </w:tc>
        <w:tc>
          <w:tcPr>
            <w:tcW w:w="80" w:type="dxa"/>
            <w:vAlign w:val="bottom"/>
            <w:gridSpan w:val="4"/>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10.1.2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80" w:type="dxa"/>
            <w:vAlign w:val="bottom"/>
            <w:gridSpan w:val="28"/>
          </w:tcPr>
          <w:p>
            <w:pPr>
              <w:spacing w:after="0" w:line="189" w:lineRule="exact"/>
              <w:rPr>
                <w:rFonts w:ascii="Arial" w:cs="Arial" w:eastAsia="Arial" w:hAnsi="Arial"/>
                <w:sz w:val="18"/>
                <w:szCs w:val="18"/>
                <w:color w:val="0000FF"/>
                <w:w w:val="95"/>
              </w:rPr>
            </w:pPr>
            <w:hyperlink r:id="rId129">
              <w:r>
                <w:rPr>
                  <w:rFonts w:ascii="Arial" w:cs="Arial" w:eastAsia="Arial" w:hAnsi="Arial"/>
                  <w:sz w:val="18"/>
                  <w:szCs w:val="18"/>
                  <w:color w:val="0000FF"/>
                  <w:w w:val="95"/>
                </w:rPr>
                <w:t>Form of option agreement and related notice of grant for use in connection with the grant of performance based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vesting stock options to the Registrant's executive officers under the Regeneron Pharmaceuticals, Inc. Second</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gridSpan w:val="28"/>
          </w:tcPr>
          <w:p>
            <w:pPr>
              <w:spacing w:after="0" w:line="156" w:lineRule="exact"/>
              <w:rPr>
                <w:rFonts w:ascii="Arial" w:cs="Arial" w:eastAsia="Arial" w:hAnsi="Arial"/>
                <w:sz w:val="18"/>
                <w:szCs w:val="18"/>
                <w:color w:val="0000FF"/>
                <w:w w:val="95"/>
              </w:rPr>
            </w:pPr>
            <w:hyperlink r:id="rId129">
              <w:r>
                <w:rPr>
                  <w:rFonts w:ascii="Arial" w:cs="Arial" w:eastAsia="Arial" w:hAnsi="Arial"/>
                  <w:sz w:val="18"/>
                  <w:szCs w:val="18"/>
                  <w:color w:val="0000FF"/>
                  <w:w w:val="95"/>
                </w:rPr>
                <w:t>Amended and Restated 2000 Long-Term Incentive Plan. (Incorporated by reference from the Form 10-Q for the</w:t>
              </w:r>
            </w:hyperlink>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Registrant, for the quarter ended March 31, 2009, filed April 30, 2009.)</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10.1.3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Form of restricted stock award agreement and related notice of grant for use in connection with the grant of</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360" w:type="dxa"/>
            <w:vAlign w:val="bottom"/>
            <w:tcBorders>
              <w:top w:val="single" w:sz="8" w:color="0000FF"/>
              <w:bottom w:val="single" w:sz="8" w:color="0000FF"/>
            </w:tcBorders>
            <w:gridSpan w:val="23"/>
            <w:shd w:val="clear" w:color="auto" w:fill="CCEEFF"/>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restricted stock awards to the Registrant's executive officers under the Regeneron Pharmaceuticals, Inc. Second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400" w:type="dxa"/>
            <w:vAlign w:val="bottom"/>
            <w:tcBorders>
              <w:bottom w:val="single" w:sz="8" w:color="0000FF"/>
            </w:tcBorders>
            <w:gridSpan w:val="25"/>
            <w:shd w:val="clear" w:color="auto" w:fill="CCEEFF"/>
          </w:tcPr>
          <w:p>
            <w:pPr>
              <w:spacing w:after="0" w:line="15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Amended and Restated 2000 Long-Term Incentive Plan (revised). (Incorporated by reference from the Form 10-</w:t>
              </w:r>
            </w:hyperlink>
          </w:p>
        </w:tc>
        <w:tc>
          <w:tcPr>
            <w:tcW w:w="20" w:type="dxa"/>
            <w:vAlign w:val="bottom"/>
            <w:tcBorders>
              <w:bottom w:val="single" w:sz="8" w:color="0000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20" w:type="dxa"/>
            <w:vAlign w:val="bottom"/>
            <w:gridSpan w:val="26"/>
            <w:shd w:val="clear" w:color="auto" w:fill="CCEEFF"/>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K for the Registrant, for the year ended December 31, 2010, filed February 17, 2011.)</w:t>
              </w:r>
            </w:hyperlink>
          </w:p>
        </w:tc>
        <w:tc>
          <w:tcPr>
            <w:tcW w:w="60" w:type="dxa"/>
            <w:vAlign w:val="bottom"/>
            <w:tcBorders>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10.1.4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80" w:type="dxa"/>
            <w:vAlign w:val="bottom"/>
            <w:gridSpan w:val="28"/>
          </w:tcPr>
          <w:p>
            <w:pPr>
              <w:spacing w:after="0" w:line="189" w:lineRule="exact"/>
              <w:rPr>
                <w:rFonts w:ascii="Arial" w:cs="Arial" w:eastAsia="Arial" w:hAnsi="Arial"/>
                <w:sz w:val="18"/>
                <w:szCs w:val="18"/>
                <w:color w:val="0000FF"/>
                <w:w w:val="95"/>
              </w:rPr>
            </w:pPr>
            <w:hyperlink r:id="rId131">
              <w:r>
                <w:rPr>
                  <w:rFonts w:ascii="Arial" w:cs="Arial" w:eastAsia="Arial" w:hAnsi="Arial"/>
                  <w:sz w:val="18"/>
                  <w:szCs w:val="18"/>
                  <w:color w:val="0000FF"/>
                  <w:w w:val="95"/>
                </w:rPr>
                <w:t>Form of option agreement and related notice of grant for use in connection with the grant of performance based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2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vesting stock options to the Registrant's executive officers under the Regeneron Pharmaceuticals, Inc. Second</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Amended and Restated 2000 Long-Term Incentive Plan (revised). (Incorporated by reference from the Form 10-</w:t>
              </w:r>
            </w:hyperlink>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K for the Registrant, for the year ended December 31, 2010, filed February 17, 2011.)</w:t>
              </w:r>
            </w:hyperlink>
          </w:p>
        </w:tc>
        <w:tc>
          <w:tcPr>
            <w:tcW w:w="7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10.1.5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w w:val="95"/>
              </w:rPr>
            </w:pPr>
            <w:hyperlink r:id="rId132">
              <w:r>
                <w:rPr>
                  <w:rFonts w:ascii="Arial" w:cs="Arial" w:eastAsia="Arial" w:hAnsi="Arial"/>
                  <w:sz w:val="18"/>
                  <w:szCs w:val="18"/>
                  <w:color w:val="0000FF"/>
                  <w:w w:val="95"/>
                </w:rPr>
                <w:t>Form of option agreement and related notice of grant for use in connection with the grant of time based vesting</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24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stock options to the Registrant's non-employee directors under the Regeneron Pharmaceuticals, Inc. Second</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gridSpan w:val="7"/>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320" w:type="dxa"/>
            <w:vAlign w:val="bottom"/>
            <w:gridSpan w:val="21"/>
            <w:shd w:val="clear" w:color="auto" w:fill="CCEEFF"/>
          </w:tcPr>
          <w:p>
            <w:pPr>
              <w:spacing w:after="0" w:line="15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Amended and Restated 2000 Long-Term Incentive Plan (revised). (Incorporated by reference from the Form 10-</w:t>
              </w:r>
            </w:hyperlink>
          </w:p>
        </w:tc>
        <w:tc>
          <w:tcPr>
            <w:tcW w:w="160" w:type="dxa"/>
            <w:vAlign w:val="bottom"/>
            <w:tcBorders>
              <w:right w:val="single" w:sz="8" w:color="CCEEFF"/>
            </w:tcBorders>
            <w:gridSpan w:val="7"/>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2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K for the Registrant, for the year ended December 31, 2011, filed February 21, 2012.)</w:t>
              </w:r>
            </w:hyperlink>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1"/>
        </w:trPr>
        <w:tc>
          <w:tcPr>
            <w:tcW w:w="1000" w:type="dxa"/>
            <w:vAlign w:val="bottom"/>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660" w:type="dxa"/>
            <w:vAlign w:val="bottom"/>
            <w:tcBorders>
              <w:top w:val="single" w:sz="8" w:color="0000FF"/>
            </w:tcBorders>
            <w:gridSpan w:val="4"/>
          </w:tcPr>
          <w:p>
            <w:pPr>
              <w:ind w:left="3440"/>
              <w:spacing w:after="0"/>
              <w:rPr>
                <w:sz w:val="20"/>
                <w:szCs w:val="20"/>
                <w:color w:val="auto"/>
              </w:rPr>
            </w:pPr>
            <w:r>
              <w:rPr>
                <w:rFonts w:ascii="Arial" w:cs="Arial" w:eastAsia="Arial" w:hAnsi="Arial"/>
                <w:sz w:val="18"/>
                <w:szCs w:val="18"/>
                <w:color w:val="auto"/>
              </w:rPr>
              <w:t>95</w:t>
            </w:r>
          </w:p>
        </w:tc>
        <w:tc>
          <w:tcPr>
            <w:tcW w:w="48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10.1.6 +</w:t>
      </w:r>
      <w:r>
        <w:rPr>
          <w:sz w:val="20"/>
          <w:szCs w:val="20"/>
          <w:color w:val="auto"/>
        </w:rPr>
        <w:tab/>
      </w:r>
      <w:hyperlink r:id="rId135">
        <w:r>
          <w:rPr>
            <w:rFonts w:ascii="Arial" w:cs="Arial" w:eastAsia="Arial" w:hAnsi="Arial"/>
            <w:sz w:val="18"/>
            <w:szCs w:val="18"/>
            <w:u w:val="single" w:color="auto"/>
            <w:color w:val="0000FF"/>
          </w:rPr>
          <w:t>Amendment No. 1 to the Regeneron Pharmaceuticals, Inc. Second Amended and Restated 2000 Long-Term</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Incentive Plan. (Incorporated by reference from the Form 10-K for the Registrant, for the year ended December</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31, 2013, filed February 13, 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1270</wp:posOffset>
            </wp:positionV>
            <wp:extent cx="5880735"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880735" cy="257175"/>
                    </a:xfrm>
                    <a:prstGeom prst="rect">
                      <a:avLst/>
                    </a:prstGeom>
                    <a:noFill/>
                  </pic:spPr>
                </pic:pic>
              </a:graphicData>
            </a:graphic>
          </wp:anchor>
        </w:drawing>
      </w:r>
    </w:p>
    <w:p>
      <w:pPr>
        <w:jc w:val="both"/>
        <w:ind w:left="2100" w:hanging="1079"/>
        <w:spacing w:after="0" w:line="248"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 +</w:t>
      </w:r>
      <w:r>
        <w:rPr>
          <w:sz w:val="20"/>
          <w:szCs w:val="20"/>
          <w:color w:val="auto"/>
        </w:rPr>
        <w:tab/>
      </w:r>
      <w:hyperlink r:id="rId137">
        <w:r>
          <w:rPr>
            <w:rFonts w:ascii="Arial" w:cs="Arial" w:eastAsia="Arial" w:hAnsi="Arial"/>
            <w:sz w:val="17"/>
            <w:szCs w:val="17"/>
            <w:u w:val="single" w:color="auto"/>
            <w:color w:val="0000FF"/>
          </w:rPr>
          <w:t>Amended and Restated Regeneron Pharmaceuticals, Inc. 2014 Long-Term Incentive Plan. (Incorporated by</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reference from the Registration Statement on Form S-8 for the Registrant, filed June 12, 2017.)</w:t>
        </w:r>
      </w:hyperlink>
    </w:p>
    <w:p>
      <w:pPr>
        <w:spacing w:after="0" w:line="1" w:lineRule="exact"/>
        <w:rPr>
          <w:sz w:val="20"/>
          <w:szCs w:val="20"/>
          <w:color w:val="auto"/>
        </w:rPr>
      </w:pPr>
    </w:p>
    <w:p>
      <w:pPr>
        <w:jc w:val="both"/>
        <w:ind w:left="2100" w:right="20" w:hanging="1079"/>
        <w:spacing w:after="0" w:line="252" w:lineRule="auto"/>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10.2.1 +</w:t>
      </w:r>
      <w:r>
        <w:rPr>
          <w:sz w:val="20"/>
          <w:szCs w:val="20"/>
          <w:color w:val="auto"/>
        </w:rPr>
        <w:tab/>
      </w:r>
      <w:hyperlink r:id="rId138">
        <w:r>
          <w:rPr>
            <w:rFonts w:ascii="Arial" w:cs="Arial" w:eastAsia="Arial" w:hAnsi="Arial"/>
            <w:sz w:val="16"/>
            <w:szCs w:val="16"/>
            <w:u w:val="single" w:color="auto"/>
            <w:color w:val="0000FF"/>
          </w:rPr>
          <w:t>Form of stock option agreement and related notice of grant for use in connection with the grant of non-qualified</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stock options to the Registrant's executive officers under the Regeneron Pharmaceuticals, Inc. 2014 Long-Term</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Incentive Plan. (Incorporated by reference from the Form 8-K for the Registrant, filed June 18, 2014.)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10.2.2 +</w:t>
      </w:r>
      <w:r>
        <w:rPr>
          <w:sz w:val="20"/>
          <w:szCs w:val="20"/>
          <w:color w:val="auto"/>
        </w:rPr>
        <w:tab/>
      </w:r>
      <w:hyperlink r:id="rId140">
        <w:r>
          <w:rPr>
            <w:rFonts w:ascii="Arial" w:cs="Arial" w:eastAsia="Arial" w:hAnsi="Arial"/>
            <w:sz w:val="18"/>
            <w:szCs w:val="18"/>
            <w:u w:val="single" w:color="auto"/>
            <w:color w:val="0000FF"/>
          </w:rPr>
          <w:t>Form of restricted stock award agreement and related notice of grant for use in connection with the grant of</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restricted stock awards to the Registrant's executive officers under the Regeneron Pharmaceuticals, Inc. 2014</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Long-Term Incentive Plan. (Incorporated by reference from the Form 8-K for the Registrant, filed June 18,</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2014.)</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52" w:lineRule="auto"/>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10.2.3 +</w:t>
      </w:r>
      <w:r>
        <w:rPr>
          <w:sz w:val="20"/>
          <w:szCs w:val="20"/>
          <w:color w:val="auto"/>
        </w:rPr>
        <w:tab/>
      </w:r>
      <w:hyperlink r:id="rId141">
        <w:r>
          <w:rPr>
            <w:rFonts w:ascii="Arial" w:cs="Arial" w:eastAsia="Arial" w:hAnsi="Arial"/>
            <w:sz w:val="16"/>
            <w:szCs w:val="16"/>
            <w:u w:val="single" w:color="auto"/>
            <w:color w:val="0000FF"/>
          </w:rPr>
          <w:t>Form of stock option agreement and related notice of grant for use in connection with the grant of non-qualified</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stock options to the Registrant's non-employee directors under the Regeneron Pharmaceuticals, Inc. 2014 Long-</w:t>
        </w:r>
      </w:hyperlink>
      <w:hyperlink r:id="rId141">
        <w:r>
          <w:rPr>
            <w:rFonts w:ascii="Arial" w:cs="Arial" w:eastAsia="Arial" w:hAnsi="Arial"/>
            <w:sz w:val="16"/>
            <w:szCs w:val="16"/>
            <w:u w:val="single" w:color="auto"/>
            <w:color w:val="0000FF"/>
          </w:rPr>
          <w:t>Term Incentive Plan. (Incorporated by reference from the Form 8-K for the Registrant, filed June 18, 2014.)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right="2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10.2.4 +</w:t>
      </w:r>
      <w:r>
        <w:rPr>
          <w:sz w:val="20"/>
          <w:szCs w:val="20"/>
          <w:color w:val="auto"/>
        </w:rPr>
        <w:tab/>
      </w:r>
      <w:hyperlink r:id="rId143">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stock options to P. Roy Vagelos, M.D. under the Regeneron Pharmaceuticals, Inc. 2014 Long-Term Incentive</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Plan. (Incorporated by reference from the Form 10-K for the Registrant, for the year ended December 31, 2015,</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filed February 11, 2016.)</w:t>
        </w:r>
      </w:hyperlink>
    </w:p>
    <w:p>
      <w:pPr>
        <w:spacing w:after="0" w:line="1" w:lineRule="exact"/>
        <w:rPr>
          <w:rFonts w:ascii="Arial" w:cs="Arial" w:eastAsia="Arial" w:hAnsi="Arial"/>
          <w:sz w:val="18"/>
          <w:szCs w:val="18"/>
          <w:u w:val="single" w:color="auto"/>
          <w:color w:val="0000FF"/>
        </w:rPr>
      </w:pPr>
    </w:p>
    <w:p>
      <w:pPr>
        <w:jc w:val="both"/>
        <w:ind w:left="2100" w:right="2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10.2.5 +</w:t>
      </w:r>
      <w:r>
        <w:rPr>
          <w:sz w:val="20"/>
          <w:szCs w:val="20"/>
          <w:color w:val="auto"/>
        </w:rPr>
        <w:tab/>
      </w:r>
      <w:hyperlink r:id="rId144">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stock options to the Registrant's executive officers under the Regeneron Pharmaceuticals, Inc. 2014 Long-Term</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Incentive Plan (revised). (Incorporated by reference from the Form 8-K for the Registrant, filed November 19,</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146">
        <w:r>
          <w:rPr>
            <w:rFonts w:ascii="Arial" w:cs="Arial" w:eastAsia="Arial" w:hAnsi="Arial"/>
            <w:sz w:val="18"/>
            <w:szCs w:val="18"/>
            <w:u w:val="single" w:color="auto"/>
            <w:color w:val="0000FF"/>
          </w:rPr>
          <w:t>Form of restricted stock award agreement and related notice of grant for use in connection with the grant of</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restricted stock awards to the Registrant's executive officers under the Regeneron Pharmaceuticals, Inc. 2014</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Long-Term Incentive Plan (revised). (Incorporated by reference from the Form 8-K for the Registrant, filed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November 19, 2015.)</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147">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stock options to the Registrant's non-employee directors under the Regeneron Pharmaceuticals, Inc. 2014 Long-</w:t>
        </w:r>
      </w:hyperlink>
      <w:hyperlink r:id="rId147">
        <w:r>
          <w:rPr>
            <w:rFonts w:ascii="Arial" w:cs="Arial" w:eastAsia="Arial" w:hAnsi="Arial"/>
            <w:sz w:val="18"/>
            <w:szCs w:val="18"/>
            <w:u w:val="single" w:color="auto"/>
            <w:color w:val="0000FF"/>
          </w:rPr>
          <w:t>Term Incentive Plan (revised). (Incorporated by reference from the Form 10-K for the Registrant, for the year</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ended December 31, 2015, filed February 11,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149">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stock options to the Registrant's executive officers under the Amended and Restated Regeneron Pharmaceuticals,</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Inc. 2014 Long-Term Incentive Plan. (Incorporated by reference from the Form 10-K for the Registrant, for the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year ended December 31, 2017, filed February 8, 2018.)</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150">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stock options to P. Roy Vagelos, M.D. under the Amended and Restated Regeneron Pharmaceuticals, Inc. 2014</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Long-Term Incentive Plan. (Incorporated by reference from the Form 10-K for the Registrant, for the year ended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10.2.10 +</w:t>
      </w:r>
      <w:r>
        <w:rPr>
          <w:sz w:val="20"/>
          <w:szCs w:val="20"/>
          <w:color w:val="auto"/>
        </w:rPr>
        <w:tab/>
      </w:r>
      <w:hyperlink r:id="rId152">
        <w:r>
          <w:rPr>
            <w:rFonts w:ascii="Arial" w:cs="Arial" w:eastAsia="Arial" w:hAnsi="Arial"/>
            <w:sz w:val="17"/>
            <w:szCs w:val="17"/>
            <w:u w:val="single" w:color="auto"/>
            <w:color w:val="0000FF"/>
          </w:rPr>
          <w:t>Form of restricted stock award agreement and related notice of grant for use in connection with the grant of</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restricted stock awards to the Registrant's executive officers under the Amended and Restated Regeneron</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Pharmaceuticals, Inc. 2014 Long-Term Incentive Plan. (Incorporated by reference from the Form 10-K for the</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Registrant, for the year ended December 31, 2017, filed February 8, 2018.)</w:t>
        </w:r>
      </w:hyperlink>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10.2.11 +</w:t>
      </w:r>
      <w:r>
        <w:rPr>
          <w:sz w:val="20"/>
          <w:szCs w:val="20"/>
          <w:color w:val="auto"/>
        </w:rPr>
        <w:tab/>
      </w:r>
      <w:hyperlink r:id="rId153">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stock options to the Registrant's non-employee directors under the Amended and Restated Regeneron</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Pharmaceuticals, Inc. 2014 Long-Term Incentive Plan. (Incorporated by reference from the Form 10-K for the</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Registrant, for the year ended 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10.2.12 +</w:t>
      </w:r>
      <w:r>
        <w:rPr>
          <w:sz w:val="20"/>
          <w:szCs w:val="20"/>
          <w:color w:val="auto"/>
        </w:rPr>
        <w:tab/>
      </w:r>
      <w:hyperlink r:id="rId155">
        <w:r>
          <w:rPr>
            <w:rFonts w:ascii="Arial" w:cs="Arial" w:eastAsia="Arial" w:hAnsi="Arial"/>
            <w:sz w:val="17"/>
            <w:szCs w:val="17"/>
            <w:u w:val="single" w:color="auto"/>
            <w:color w:val="0000FF"/>
          </w:rPr>
          <w:t>Form of stock option agreement and related notice of grant for use in connection with the grant of non-qualified</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stock options to the Registrant's executive officers under the Amended and Restated Regeneron Pharmaceuticals,</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Inc. 2014 Long-Term Incentive Plan (revised 2018). (Incorporated by reference from the Form 10-K for the</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Registrant, for the year ended December 31, 2018, filed February 7, 2019.)</w:t>
        </w:r>
      </w:hyperlink>
    </w:p>
    <w:p>
      <w:pPr>
        <w:spacing w:after="0" w:line="200" w:lineRule="exact"/>
        <w:rPr>
          <w:rFonts w:ascii="Arial" w:cs="Arial" w:eastAsia="Arial" w:hAnsi="Arial"/>
          <w:sz w:val="17"/>
          <w:szCs w:val="17"/>
          <w:u w:val="single" w:color="auto"/>
          <w:color w:val="0000FF"/>
        </w:rPr>
      </w:pPr>
    </w:p>
    <w:p>
      <w:pPr>
        <w:spacing w:after="0" w:line="231" w:lineRule="exact"/>
        <w:rPr>
          <w:rFonts w:ascii="Arial" w:cs="Arial" w:eastAsia="Arial" w:hAnsi="Arial"/>
          <w:sz w:val="17"/>
          <w:szCs w:val="17"/>
          <w:u w:val="single" w:color="auto"/>
          <w:color w:val="0000FF"/>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373" w:right="1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1">
              <w:r>
                <w:rPr>
                  <w:rFonts w:ascii="Arial" w:cs="Arial" w:eastAsia="Arial" w:hAnsi="Arial"/>
                  <w:sz w:val="16"/>
                  <w:szCs w:val="16"/>
                  <w:color w:val="0000FF"/>
                  <w:w w:val="90"/>
                </w:rPr>
                <w:t>Table of Contents</w:t>
              </w:r>
            </w:hyperlink>
          </w:p>
        </w:tc>
        <w:tc>
          <w:tcPr>
            <w:tcW w:w="9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2100" w:type="dxa"/>
            <w:vAlign w:val="bottom"/>
            <w:gridSpan w:val="3"/>
          </w:tcPr>
          <w:p>
            <w:pPr>
              <w:ind w:left="1020"/>
              <w:spacing w:after="0"/>
              <w:rPr>
                <w:sz w:val="20"/>
                <w:szCs w:val="20"/>
                <w:color w:val="auto"/>
              </w:rPr>
            </w:pPr>
            <w:r>
              <w:rPr>
                <w:rFonts w:ascii="Arial" w:cs="Arial" w:eastAsia="Arial" w:hAnsi="Arial"/>
                <w:sz w:val="18"/>
                <w:szCs w:val="18"/>
                <w:color w:val="auto"/>
              </w:rPr>
              <w:t>10.2.13 +</w:t>
            </w:r>
          </w:p>
        </w:tc>
        <w:tc>
          <w:tcPr>
            <w:tcW w:w="9140" w:type="dxa"/>
            <w:vAlign w:val="bottom"/>
            <w:gridSpan w:val="28"/>
          </w:tcPr>
          <w:p>
            <w:pPr>
              <w:spacing w:after="0"/>
              <w:rPr>
                <w:rFonts w:ascii="Arial" w:cs="Arial" w:eastAsia="Arial" w:hAnsi="Arial"/>
                <w:sz w:val="18"/>
                <w:szCs w:val="18"/>
                <w:color w:val="0000FF"/>
              </w:rPr>
            </w:pPr>
            <w:hyperlink r:id="rId157">
              <w:r>
                <w:rPr>
                  <w:rFonts w:ascii="Arial" w:cs="Arial" w:eastAsia="Arial" w:hAnsi="Arial"/>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stock options to P. Roy Vagelos, M.D. under the Amended and Restated Regeneron Pharmaceuticals, Inc. 2014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40" w:type="dxa"/>
            <w:vAlign w:val="bottom"/>
            <w:gridSpan w:val="19"/>
          </w:tcPr>
          <w:p>
            <w:pPr>
              <w:spacing w:after="0" w:line="156"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Long-Term Incentive Plan (revised 2018). (Incorporated by reference from the Form 10-K for the Registrant, for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1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the year ended December 31, 2018, filed February 7,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10.2.14 +</w:t>
            </w:r>
          </w:p>
        </w:tc>
        <w:tc>
          <w:tcPr>
            <w:tcW w:w="8520" w:type="dxa"/>
            <w:vAlign w:val="bottom"/>
            <w:tcBorders>
              <w:right w:val="single" w:sz="8" w:color="CCEEFF"/>
            </w:tcBorders>
            <w:gridSpan w:val="27"/>
            <w:shd w:val="clear" w:color="auto" w:fill="CCEEFF"/>
          </w:tcPr>
          <w:p>
            <w:pPr>
              <w:spacing w:after="0" w:line="189"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Form of restricted stock award agreement and related notice of grant for use in connection with the grant of</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8"/>
              </w:rPr>
            </w:pPr>
            <w:hyperlink r:id="rId158">
              <w:r>
                <w:rPr>
                  <w:rFonts w:ascii="Arial" w:cs="Arial" w:eastAsia="Arial" w:hAnsi="Arial"/>
                  <w:sz w:val="18"/>
                  <w:szCs w:val="18"/>
                  <w:color w:val="0000FF"/>
                  <w:w w:val="98"/>
                </w:rPr>
                <w:t>restricted stock awards to the Registrant's executive officers under the Amended and Restated Regeneron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6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Pharmaceuticals, Inc. 2014 Long-Term Incentive Plan (revised 2018). (Incorporated by reference from the Form</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10-K for the Registrant, for the year ended December 31, 2018, filed February 7,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10.2.15 +</w:t>
            </w:r>
          </w:p>
        </w:tc>
        <w:tc>
          <w:tcPr>
            <w:tcW w:w="8520" w:type="dxa"/>
            <w:vAlign w:val="bottom"/>
            <w:gridSpan w:val="27"/>
          </w:tcPr>
          <w:p>
            <w:pPr>
              <w:spacing w:after="0" w:line="189" w:lineRule="exact"/>
              <w:rPr>
                <w:rFonts w:ascii="Arial" w:cs="Arial" w:eastAsia="Arial" w:hAnsi="Arial"/>
                <w:sz w:val="18"/>
                <w:szCs w:val="18"/>
                <w:color w:val="0000FF"/>
                <w:w w:val="96"/>
              </w:rPr>
            </w:pPr>
            <w:hyperlink r:id="rId159">
              <w:r>
                <w:rPr>
                  <w:rFonts w:ascii="Arial" w:cs="Arial" w:eastAsia="Arial" w:hAnsi="Arial"/>
                  <w:sz w:val="18"/>
                  <w:szCs w:val="18"/>
                  <w:color w:val="0000FF"/>
                  <w:w w:val="96"/>
                </w:rPr>
                <w:t>Form of stock option agreement and related notice of grant for use in connection with the grant of non-qualified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stock options to the Registrant's non-employee directors under the Amended and Restated Regeneron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16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Pharmaceuticals, Inc. 2014 Long-Term Incentive Plan (revised 2018). (Incorporated by reference from the Form</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10-K for the Registrant, for the year ended December 31, 2018, filed February 7, 2019.)</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10.2.16 +</w:t>
            </w:r>
          </w:p>
        </w:tc>
        <w:tc>
          <w:tcPr>
            <w:tcW w:w="8520" w:type="dxa"/>
            <w:vAlign w:val="bottom"/>
            <w:tcBorders>
              <w:right w:val="single" w:sz="8" w:color="CCEEFF"/>
            </w:tcBorders>
            <w:gridSpan w:val="27"/>
            <w:shd w:val="clear" w:color="auto" w:fill="CCEEFF"/>
          </w:tcPr>
          <w:p>
            <w:pPr>
              <w:spacing w:after="0" w:line="189" w:lineRule="exact"/>
              <w:rPr>
                <w:rFonts w:ascii="Arial" w:cs="Arial" w:eastAsia="Arial" w:hAnsi="Arial"/>
                <w:sz w:val="18"/>
                <w:szCs w:val="18"/>
                <w:color w:val="0000FF"/>
                <w:w w:val="95"/>
              </w:rPr>
            </w:pPr>
            <w:hyperlink r:id="rId160">
              <w:r>
                <w:rPr>
                  <w:rFonts w:ascii="Arial" w:cs="Arial" w:eastAsia="Arial" w:hAnsi="Arial"/>
                  <w:sz w:val="18"/>
                  <w:szCs w:val="18"/>
                  <w:color w:val="0000FF"/>
                  <w:w w:val="95"/>
                </w:rPr>
                <w:t>Form of restricted stock unit award agreement and related notice of grant for use in connection with the grant of</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400" w:type="dxa"/>
            <w:vAlign w:val="bottom"/>
            <w:tcBorders>
              <w:top w:val="single" w:sz="8" w:color="0000FF"/>
              <w:bottom w:val="single" w:sz="8" w:color="0000FF"/>
            </w:tcBorders>
            <w:gridSpan w:val="22"/>
            <w:shd w:val="clear" w:color="auto" w:fill="CCEEFF"/>
          </w:tcPr>
          <w:p>
            <w:pPr>
              <w:spacing w:after="0" w:line="156" w:lineRule="exact"/>
              <w:rPr>
                <w:rFonts w:ascii="Arial" w:cs="Arial" w:eastAsia="Arial" w:hAnsi="Arial"/>
                <w:sz w:val="18"/>
                <w:szCs w:val="18"/>
                <w:color w:val="0000FF"/>
                <w:w w:val="95"/>
              </w:rPr>
            </w:pPr>
            <w:hyperlink r:id="rId160">
              <w:r>
                <w:rPr>
                  <w:rFonts w:ascii="Arial" w:cs="Arial" w:eastAsia="Arial" w:hAnsi="Arial"/>
                  <w:sz w:val="18"/>
                  <w:szCs w:val="18"/>
                  <w:color w:val="0000FF"/>
                  <w:w w:val="95"/>
                </w:rPr>
                <w:t>restricted stock units to the Registrant's non-employee directors under the Amended and Restated Regeneron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480" w:type="dxa"/>
            <w:vAlign w:val="bottom"/>
            <w:gridSpan w:val="26"/>
            <w:shd w:val="clear" w:color="auto" w:fill="CCEEFF"/>
          </w:tcPr>
          <w:p>
            <w:pPr>
              <w:spacing w:after="0" w:line="156" w:lineRule="exact"/>
              <w:rPr>
                <w:rFonts w:ascii="Arial" w:cs="Arial" w:eastAsia="Arial" w:hAnsi="Arial"/>
                <w:sz w:val="18"/>
                <w:szCs w:val="18"/>
                <w:color w:val="0000FF"/>
                <w:w w:val="97"/>
              </w:rPr>
            </w:pPr>
            <w:hyperlink r:id="rId160">
              <w:r>
                <w:rPr>
                  <w:rFonts w:ascii="Arial" w:cs="Arial" w:eastAsia="Arial" w:hAnsi="Arial"/>
                  <w:sz w:val="18"/>
                  <w:szCs w:val="18"/>
                  <w:color w:val="0000FF"/>
                  <w:w w:val="97"/>
                </w:rPr>
                <w:t>Pharmaceuticals, Inc. 2014 Long-Term Incentive Plan. (Incorporated by reference from the Form 10-K for the</w:t>
              </w:r>
            </w:hyperlink>
          </w:p>
        </w:tc>
        <w:tc>
          <w:tcPr>
            <w:tcW w:w="40" w:type="dxa"/>
            <w:vAlign w:val="bottom"/>
            <w:tcBorders>
              <w:right w:val="single" w:sz="8" w:color="CCEEFF"/>
            </w:tcBorders>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Registrant, for the year ended December 31, 2018, filed February 7, 2019.)</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10.2.17 +</w:t>
            </w:r>
          </w:p>
        </w:tc>
        <w:tc>
          <w:tcPr>
            <w:tcW w:w="8520" w:type="dxa"/>
            <w:vAlign w:val="bottom"/>
            <w:gridSpan w:val="27"/>
          </w:tcPr>
          <w:p>
            <w:pPr>
              <w:spacing w:after="0" w:line="189" w:lineRule="exact"/>
              <w:rPr>
                <w:rFonts w:ascii="Arial" w:cs="Arial" w:eastAsia="Arial" w:hAnsi="Arial"/>
                <w:sz w:val="18"/>
                <w:szCs w:val="18"/>
                <w:color w:val="0000FF"/>
                <w:w w:val="96"/>
              </w:rPr>
            </w:pPr>
            <w:hyperlink r:id="rId161">
              <w:r>
                <w:rPr>
                  <w:rFonts w:ascii="Arial" w:cs="Arial" w:eastAsia="Arial" w:hAnsi="Arial"/>
                  <w:sz w:val="18"/>
                  <w:szCs w:val="18"/>
                  <w:color w:val="0000FF"/>
                  <w:w w:val="96"/>
                </w:rPr>
                <w:t>Form of stock option agreement and related notice of grant for use in connection with the grant of non-qualified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stock options to the Registrant's executive officers under the Amended and Restated Regeneron Pharmaceuticals,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3"/>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20" w:type="dxa"/>
            <w:vAlign w:val="bottom"/>
            <w:gridSpan w:val="27"/>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Inc. 2014 Long-Term Incentive Plan (revised 2019). (Incorporated by reference from the Form 10-K for the</w:t>
              </w:r>
            </w:hyperlink>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Registrant, for the year ended December 31, 2019, filed February 7, 2020.)</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10.2.18 +</w:t>
            </w:r>
          </w:p>
        </w:tc>
        <w:tc>
          <w:tcPr>
            <w:tcW w:w="8520" w:type="dxa"/>
            <w:vAlign w:val="bottom"/>
            <w:tcBorders>
              <w:right w:val="single" w:sz="8" w:color="CCEEFF"/>
            </w:tcBorders>
            <w:gridSpan w:val="27"/>
            <w:shd w:val="clear" w:color="auto" w:fill="CCEEFF"/>
          </w:tcPr>
          <w:p>
            <w:pPr>
              <w:spacing w:after="0" w:line="189" w:lineRule="exact"/>
              <w:rPr>
                <w:rFonts w:ascii="Arial" w:cs="Arial" w:eastAsia="Arial" w:hAnsi="Arial"/>
                <w:sz w:val="18"/>
                <w:szCs w:val="18"/>
                <w:color w:val="0000FF"/>
                <w:w w:val="96"/>
              </w:rPr>
            </w:pPr>
            <w:hyperlink r:id="rId162">
              <w:r>
                <w:rPr>
                  <w:rFonts w:ascii="Arial" w:cs="Arial" w:eastAsia="Arial" w:hAnsi="Arial"/>
                  <w:sz w:val="18"/>
                  <w:szCs w:val="18"/>
                  <w:color w:val="0000FF"/>
                  <w:w w:val="96"/>
                </w:rPr>
                <w:t>Form of stock option agreement and related notice of grant for use in connection with the grant of non-qualified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4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stock options to P. Roy Vagelos, M.D. under the Amended and Restated Regeneron Pharmaceuticals, Inc. 2014</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Long-Term Incentive Plan (revised 2019). (Incorporated by reference from the Form 10-K for the Registrant, for</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12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the year ended December 31, 2019, filed February 7,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10.2.19 +</w:t>
            </w:r>
          </w:p>
        </w:tc>
        <w:tc>
          <w:tcPr>
            <w:tcW w:w="8520" w:type="dxa"/>
            <w:vAlign w:val="bottom"/>
            <w:gridSpan w:val="27"/>
          </w:tcPr>
          <w:p>
            <w:pPr>
              <w:spacing w:after="0" w:line="189"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Form of restricted stock award agreement and related notice of grant for use in connection with the grant of</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80" w:type="dxa"/>
            <w:vAlign w:val="bottom"/>
            <w:tcBorders>
              <w:top w:val="single" w:sz="8" w:color="0000FF"/>
            </w:tcBorders>
            <w:gridSpan w:val="21"/>
          </w:tcPr>
          <w:p>
            <w:pPr>
              <w:spacing w:after="0" w:line="156" w:lineRule="exact"/>
              <w:rPr>
                <w:rFonts w:ascii="Arial" w:cs="Arial" w:eastAsia="Arial" w:hAnsi="Arial"/>
                <w:sz w:val="18"/>
                <w:szCs w:val="18"/>
                <w:color w:val="0000FF"/>
                <w:w w:val="98"/>
              </w:rPr>
            </w:pPr>
            <w:hyperlink r:id="rId163">
              <w:r>
                <w:rPr>
                  <w:rFonts w:ascii="Arial" w:cs="Arial" w:eastAsia="Arial" w:hAnsi="Arial"/>
                  <w:sz w:val="18"/>
                  <w:szCs w:val="18"/>
                  <w:color w:val="0000FF"/>
                  <w:w w:val="98"/>
                </w:rPr>
                <w:t>restricted stock awards to the Registrant's executive officers under the Amended and Restated Regeneron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6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Pharmaceuticals, Inc. 2014 Long-Term Incentive Plan (revised 2019). (Incorporated by reference from the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10-K for the Registrant, for the year ended December 31, 2019, filed February 7, 2020.)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10.2.20 +</w:t>
            </w:r>
          </w:p>
        </w:tc>
        <w:tc>
          <w:tcPr>
            <w:tcW w:w="8520" w:type="dxa"/>
            <w:vAlign w:val="bottom"/>
            <w:tcBorders>
              <w:right w:val="single" w:sz="8" w:color="CCEEFF"/>
            </w:tcBorders>
            <w:gridSpan w:val="27"/>
            <w:shd w:val="clear" w:color="auto" w:fill="CCEEFF"/>
          </w:tcPr>
          <w:p>
            <w:pPr>
              <w:spacing w:after="0" w:line="189" w:lineRule="exact"/>
              <w:rPr>
                <w:rFonts w:ascii="Arial" w:cs="Arial" w:eastAsia="Arial" w:hAnsi="Arial"/>
                <w:sz w:val="18"/>
                <w:szCs w:val="18"/>
                <w:color w:val="0000FF"/>
                <w:w w:val="96"/>
              </w:rPr>
            </w:pPr>
            <w:hyperlink r:id="rId164">
              <w:r>
                <w:rPr>
                  <w:rFonts w:ascii="Arial" w:cs="Arial" w:eastAsia="Arial" w:hAnsi="Arial"/>
                  <w:sz w:val="18"/>
                  <w:szCs w:val="18"/>
                  <w:color w:val="0000FF"/>
                  <w:w w:val="96"/>
                </w:rPr>
                <w:t>Form of stock option agreement and related notice of grant for use in connection with the grant of non-qualified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2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stock options to the Registrant's non-employee directors under the Amended and Restated Regeneron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Pharmaceuticals, Inc. 2014 Long-Term Incentive Plan (revised 2019). (Incorporated by reference from the Form</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10-K for the Registrant, for the year ended December 31, 2019, filed February 7, 2020.)</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10.2.21 +</w:t>
            </w:r>
          </w:p>
        </w:tc>
        <w:tc>
          <w:tcPr>
            <w:tcW w:w="8520" w:type="dxa"/>
            <w:vAlign w:val="bottom"/>
            <w:gridSpan w:val="27"/>
          </w:tcPr>
          <w:p>
            <w:pPr>
              <w:spacing w:after="0" w:line="189"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Form of restricted stock unit award agreement and related notice of grant for use in connection with the grant of</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restricted stock units to the Registrant's non-employee directors under the Amended and Restated Regeneron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80" w:type="dxa"/>
            <w:vAlign w:val="bottom"/>
            <w:tcBorders>
              <w:top w:val="single" w:sz="8" w:color="0000FF"/>
            </w:tcBorders>
            <w:gridSpan w:val="26"/>
          </w:tcPr>
          <w:p>
            <w:pPr>
              <w:spacing w:after="0" w:line="156"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Pharmaceuticals, Inc. 2014 Long-Term Incentive Plan (revised 2019). (Incorporated by reference from the Form</w:t>
              </w:r>
            </w:hyperlink>
          </w:p>
        </w:tc>
        <w:tc>
          <w:tcPr>
            <w:tcW w:w="6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10-K for the Registrant, for the year ended December 31, 2019, filed February 7, 2020.)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10.2.22 +</w:t>
            </w:r>
          </w:p>
        </w:tc>
        <w:tc>
          <w:tcPr>
            <w:tcW w:w="8520" w:type="dxa"/>
            <w:vAlign w:val="bottom"/>
            <w:tcBorders>
              <w:right w:val="single" w:sz="8" w:color="CCEEFF"/>
            </w:tcBorders>
            <w:gridSpan w:val="27"/>
            <w:shd w:val="clear" w:color="auto" w:fill="CCEEFF"/>
          </w:tcPr>
          <w:p>
            <w:pPr>
              <w:spacing w:after="0" w:line="189" w:lineRule="exact"/>
              <w:rPr>
                <w:rFonts w:ascii="Arial" w:cs="Arial" w:eastAsia="Arial" w:hAnsi="Arial"/>
                <w:sz w:val="18"/>
                <w:szCs w:val="18"/>
                <w:color w:val="0000FF"/>
                <w:w w:val="94"/>
              </w:rPr>
            </w:pPr>
            <w:hyperlink r:id="rId166">
              <w:r>
                <w:rPr>
                  <w:rFonts w:ascii="Arial" w:cs="Arial" w:eastAsia="Arial" w:hAnsi="Arial"/>
                  <w:sz w:val="18"/>
                  <w:szCs w:val="18"/>
                  <w:color w:val="0000FF"/>
                  <w:w w:val="94"/>
                </w:rPr>
                <w:t>Form of performance restricted stock unit award agreement and related notice of grant for use in connection with</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the grant of performance restricted stock units to Leonard S. Schleifer, M.D., Ph.D., George D. Yancopoulos,</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18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M.D., Ph.D., and P. Roy Vagelos, M.D. under the Amended and Restated Regeneron Pharmaceuticals, Inc. 2014</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14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Long-Term Incentive Plan. (Incorporated by reference from the Form 10-K for the Registrant, for the year ended</w:t>
              </w:r>
            </w:hyperlink>
          </w:p>
        </w:tc>
        <w:tc>
          <w:tcPr>
            <w:tcW w:w="14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December 31, 2019, filed February 7, 2020.)</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 +</w:t>
            </w:r>
          </w:p>
        </w:tc>
        <w:tc>
          <w:tcPr>
            <w:tcW w:w="8520" w:type="dxa"/>
            <w:vAlign w:val="bottom"/>
            <w:gridSpan w:val="27"/>
          </w:tcPr>
          <w:p>
            <w:pPr>
              <w:spacing w:after="0" w:line="189" w:lineRule="exact"/>
              <w:rPr>
                <w:rFonts w:ascii="Arial" w:cs="Arial" w:eastAsia="Arial" w:hAnsi="Arial"/>
                <w:sz w:val="18"/>
                <w:szCs w:val="18"/>
                <w:color w:val="0000FF"/>
                <w:w w:val="94"/>
              </w:rPr>
            </w:pPr>
            <w:hyperlink r:id="rId167">
              <w:r>
                <w:rPr>
                  <w:rFonts w:ascii="Arial" w:cs="Arial" w:eastAsia="Arial" w:hAnsi="Arial"/>
                  <w:sz w:val="18"/>
                  <w:szCs w:val="18"/>
                  <w:color w:val="0000FF"/>
                  <w:w w:val="94"/>
                </w:rPr>
                <w:t>Second Amended and Restated Regeneron Pharmaceuticals, Inc. 2014 Long-Term Incentive Plan. (Incorporated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by reference from the Registration Statement on Form S-8 for the Registrant, filed June 16,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10.3.1 +</w:t>
            </w:r>
          </w:p>
        </w:tc>
        <w:tc>
          <w:tcPr>
            <w:tcW w:w="8520" w:type="dxa"/>
            <w:vAlign w:val="bottom"/>
            <w:tcBorders>
              <w:right w:val="single" w:sz="8" w:color="CCEEFF"/>
            </w:tcBorders>
            <w:gridSpan w:val="27"/>
            <w:shd w:val="clear" w:color="auto" w:fill="CCEEFF"/>
          </w:tcPr>
          <w:p>
            <w:pPr>
              <w:spacing w:after="0" w:line="189" w:lineRule="exact"/>
              <w:rPr>
                <w:rFonts w:ascii="Arial" w:cs="Arial" w:eastAsia="Arial" w:hAnsi="Arial"/>
                <w:sz w:val="18"/>
                <w:szCs w:val="18"/>
                <w:color w:val="0000FF"/>
                <w:w w:val="96"/>
              </w:rPr>
            </w:pPr>
            <w:hyperlink r:id="rId168">
              <w:r>
                <w:rPr>
                  <w:rFonts w:ascii="Arial" w:cs="Arial" w:eastAsia="Arial" w:hAnsi="Arial"/>
                  <w:sz w:val="18"/>
                  <w:szCs w:val="18"/>
                  <w:color w:val="0000FF"/>
                  <w:w w:val="96"/>
                </w:rPr>
                <w:t>Form of stock option agreement and related notice of grant for use in connection with the grant of non-qualified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24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w w:val="98"/>
              </w:rPr>
            </w:pPr>
            <w:hyperlink r:id="rId168">
              <w:r>
                <w:rPr>
                  <w:rFonts w:ascii="Arial" w:cs="Arial" w:eastAsia="Arial" w:hAnsi="Arial"/>
                  <w:sz w:val="18"/>
                  <w:szCs w:val="18"/>
                  <w:color w:val="0000FF"/>
                  <w:w w:val="98"/>
                </w:rPr>
                <w:t>stock options to the Registrant's executive officers under the Second Amended and Restated Regeneron</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300" w:type="dxa"/>
            <w:vAlign w:val="bottom"/>
            <w:tcBorders>
              <w:bottom w:val="single" w:sz="8" w:color="0000FF"/>
            </w:tcBorders>
            <w:gridSpan w:val="17"/>
            <w:shd w:val="clear" w:color="auto" w:fill="CCEEFF"/>
          </w:tcPr>
          <w:p>
            <w:pPr>
              <w:spacing w:after="0" w:line="156" w:lineRule="exact"/>
              <w:rPr>
                <w:rFonts w:ascii="Arial" w:cs="Arial" w:eastAsia="Arial" w:hAnsi="Arial"/>
                <w:sz w:val="18"/>
                <w:szCs w:val="18"/>
                <w:color w:val="0000FF"/>
                <w:w w:val="95"/>
              </w:rPr>
            </w:pPr>
            <w:hyperlink r:id="rId168">
              <w:r>
                <w:rPr>
                  <w:rFonts w:ascii="Arial" w:cs="Arial" w:eastAsia="Arial" w:hAnsi="Arial"/>
                  <w:sz w:val="18"/>
                  <w:szCs w:val="18"/>
                  <w:color w:val="0000FF"/>
                  <w:w w:val="95"/>
                </w:rPr>
                <w:t>Pharmaceuticals, Inc. 2014 Long-Term Incentive Plan. (Incorporated by reference from the Form 10-K for the</w:t>
              </w:r>
            </w:hyperlink>
          </w:p>
        </w:tc>
        <w:tc>
          <w:tcPr>
            <w:tcW w:w="120" w:type="dxa"/>
            <w:vAlign w:val="bottom"/>
            <w:tcBorders>
              <w:bottom w:val="single" w:sz="8" w:color="0000FF"/>
            </w:tcBorders>
            <w:gridSpan w:val="6"/>
            <w:shd w:val="clear" w:color="auto" w:fill="CCEEFF"/>
          </w:tcPr>
          <w:p>
            <w:pPr>
              <w:spacing w:after="0"/>
              <w:rPr>
                <w:sz w:val="15"/>
                <w:szCs w:val="15"/>
                <w:color w:val="auto"/>
              </w:rPr>
            </w:pPr>
          </w:p>
        </w:tc>
        <w:tc>
          <w:tcPr>
            <w:tcW w:w="20" w:type="dxa"/>
            <w:vAlign w:val="bottom"/>
            <w:tcBorders>
              <w:bottom w:val="single" w:sz="8" w:color="0000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gridSpan w:val="3"/>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4060" w:type="dxa"/>
            <w:vAlign w:val="bottom"/>
            <w:tcBorders>
              <w:top w:val="single" w:sz="8" w:color="CCEEFF"/>
            </w:tcBorders>
            <w:gridSpan w:val="3"/>
            <w:shd w:val="clear" w:color="auto" w:fill="CCEEFF"/>
          </w:tcPr>
          <w:p>
            <w:pPr>
              <w:spacing w:after="0" w:line="136" w:lineRule="exact"/>
              <w:rPr>
                <w:rFonts w:ascii="Arial" w:cs="Arial" w:eastAsia="Arial" w:hAnsi="Arial"/>
                <w:sz w:val="15"/>
                <w:szCs w:val="15"/>
                <w:color w:val="0000FF"/>
              </w:rPr>
            </w:pPr>
            <w:hyperlink r:id="rId168">
              <w:r>
                <w:rPr>
                  <w:rFonts w:ascii="Arial" w:cs="Arial" w:eastAsia="Arial" w:hAnsi="Arial"/>
                  <w:sz w:val="15"/>
                  <w:szCs w:val="15"/>
                  <w:color w:val="0000FF"/>
                </w:rPr>
                <w:t>Registrant, for the year ended December 31, 2020, filed</w:t>
              </w:r>
            </w:hyperlink>
          </w:p>
        </w:tc>
        <w:tc>
          <w:tcPr>
            <w:tcW w:w="4380" w:type="dxa"/>
            <w:vAlign w:val="bottom"/>
            <w:tcBorders>
              <w:top w:val="single" w:sz="8" w:color="0000FF"/>
            </w:tcBorders>
            <w:gridSpan w:val="21"/>
            <w:shd w:val="clear" w:color="auto" w:fill="CCEEFF"/>
          </w:tcPr>
          <w:p>
            <w:pPr>
              <w:spacing w:after="0" w:line="136" w:lineRule="exact"/>
              <w:rPr>
                <w:rFonts w:ascii="Arial" w:cs="Arial" w:eastAsia="Arial" w:hAnsi="Arial"/>
                <w:sz w:val="15"/>
                <w:szCs w:val="15"/>
                <w:color w:val="0000FF"/>
              </w:rPr>
            </w:pPr>
            <w:hyperlink r:id="rId168">
              <w:r>
                <w:rPr>
                  <w:rFonts w:ascii="Arial" w:cs="Arial" w:eastAsia="Arial" w:hAnsi="Arial"/>
                  <w:sz w:val="15"/>
                  <w:szCs w:val="15"/>
                  <w:color w:val="0000FF"/>
                </w:rPr>
                <w:t>February 8, 2021.)</w:t>
              </w:r>
            </w:hyperlink>
          </w:p>
        </w:tc>
        <w:tc>
          <w:tcPr>
            <w:tcW w:w="80" w:type="dxa"/>
            <w:vAlign w:val="bottom"/>
            <w:tcBorders>
              <w:top w:val="single" w:sz="8" w:color="CCEEFF"/>
              <w:right w:val="single" w:sz="8" w:color="CCEEFF"/>
            </w:tcBorders>
            <w:gridSpan w:val="3"/>
            <w:shd w:val="clear" w:color="auto" w:fill="CCEEFF"/>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10.3.2 +</w:t>
            </w:r>
          </w:p>
        </w:tc>
        <w:tc>
          <w:tcPr>
            <w:tcW w:w="8520" w:type="dxa"/>
            <w:vAlign w:val="bottom"/>
            <w:gridSpan w:val="27"/>
          </w:tcPr>
          <w:p>
            <w:pPr>
              <w:spacing w:after="0" w:line="189" w:lineRule="exact"/>
              <w:rPr>
                <w:rFonts w:ascii="Arial" w:cs="Arial" w:eastAsia="Arial" w:hAnsi="Arial"/>
                <w:sz w:val="18"/>
                <w:szCs w:val="18"/>
                <w:color w:val="0000FF"/>
                <w:w w:val="96"/>
              </w:rPr>
            </w:pPr>
            <w:hyperlink r:id="rId169">
              <w:r>
                <w:rPr>
                  <w:rFonts w:ascii="Arial" w:cs="Arial" w:eastAsia="Arial" w:hAnsi="Arial"/>
                  <w:sz w:val="18"/>
                  <w:szCs w:val="18"/>
                  <w:color w:val="0000FF"/>
                  <w:w w:val="96"/>
                </w:rPr>
                <w:t>Form of stock option agreement and related notice of grant for use in connection with the grant of non-qualified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stock options to P. Roy Vagelos, M.D. under the Second Amended and Restated Regeneron Pharmaceuticals,</w:t>
              </w:r>
            </w:hyperlink>
          </w:p>
        </w:tc>
        <w:tc>
          <w:tcPr>
            <w:tcW w:w="40" w:type="dxa"/>
            <w:vAlign w:val="bottom"/>
            <w:tcBorders>
              <w:bottom w:val="single" w:sz="8" w:color="0000FF"/>
            </w:tcBorders>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7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80" w:type="dxa"/>
            <w:vAlign w:val="bottom"/>
            <w:tcBorders>
              <w:bottom w:val="single" w:sz="8" w:color="0000FF"/>
            </w:tcBorders>
            <w:gridSpan w:val="16"/>
          </w:tcPr>
          <w:p>
            <w:pPr>
              <w:spacing w:after="0" w:line="156"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Inc. 2014 Long-Term Incentive Plan. (Incorporated by reference from the Form 10-K for the Registrant, for the</w:t>
              </w:r>
            </w:hyperlink>
          </w:p>
        </w:tc>
        <w:tc>
          <w:tcPr>
            <w:tcW w:w="140" w:type="dxa"/>
            <w:vAlign w:val="bottom"/>
            <w:tcBorders>
              <w:bottom w:val="single" w:sz="8" w:color="0000FF"/>
            </w:tcBorders>
            <w:gridSpan w:val="7"/>
          </w:tcPr>
          <w:p>
            <w:pPr>
              <w:spacing w:after="0"/>
              <w:rPr>
                <w:sz w:val="13"/>
                <w:szCs w:val="13"/>
                <w:color w:val="auto"/>
              </w:rPr>
            </w:pPr>
          </w:p>
        </w:tc>
        <w:tc>
          <w:tcPr>
            <w:tcW w:w="7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20" w:type="dxa"/>
            <w:vAlign w:val="bottom"/>
            <w:gridSpan w:val="23"/>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year ended December 31, 2020, filed February 8, 2021.)</w:t>
              </w:r>
            </w:hyperlink>
          </w:p>
        </w:tc>
        <w:tc>
          <w:tcPr>
            <w:tcW w:w="7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682"/>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40" w:type="dxa"/>
            <w:vAlign w:val="bottom"/>
            <w:tcBorders>
              <w:top w:val="single" w:sz="8" w:color="0000FF"/>
            </w:tcBorders>
            <w:gridSpan w:val="2"/>
          </w:tcPr>
          <w:p>
            <w:pPr>
              <w:ind w:left="344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10.3.3 +</w:t>
            </w:r>
          </w:p>
        </w:tc>
        <w:tc>
          <w:tcPr>
            <w:tcW w:w="8720" w:type="dxa"/>
            <w:vAlign w:val="bottom"/>
            <w:tcBorders>
              <w:right w:val="single" w:sz="8" w:color="CCEEFF"/>
            </w:tcBorders>
            <w:gridSpan w:val="47"/>
            <w:shd w:val="clear" w:color="auto" w:fill="CCEEFF"/>
          </w:tcPr>
          <w:p>
            <w:pPr>
              <w:spacing w:after="0"/>
              <w:rPr>
                <w:rFonts w:ascii="Arial" w:cs="Arial" w:eastAsia="Arial" w:hAnsi="Arial"/>
                <w:sz w:val="18"/>
                <w:szCs w:val="18"/>
                <w:color w:val="0000FF"/>
              </w:rPr>
            </w:pPr>
            <w:hyperlink r:id="rId172">
              <w:r>
                <w:rPr>
                  <w:rFonts w:ascii="Arial" w:cs="Arial" w:eastAsia="Arial" w:hAnsi="Arial"/>
                  <w:sz w:val="18"/>
                  <w:szCs w:val="18"/>
                  <w:color w:val="0000FF"/>
                </w:rPr>
                <w:t>Form of restricted stock award agreement and related notice of grant for use in connection with the grant of</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420" w:type="dxa"/>
            <w:vAlign w:val="bottom"/>
            <w:tcBorders>
              <w:top w:val="single" w:sz="8" w:color="0000FF"/>
              <w:bottom w:val="single" w:sz="8" w:color="0000FF"/>
            </w:tcBorders>
            <w:gridSpan w:val="33"/>
            <w:shd w:val="clear" w:color="auto" w:fill="CCEEFF"/>
          </w:tcPr>
          <w:p>
            <w:pPr>
              <w:spacing w:after="0" w:line="156"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restricted stock awards to the Registrant's executive officers under the Second Amended and Restated Regeneron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40" w:type="dxa"/>
            <w:vAlign w:val="bottom"/>
            <w:gridSpan w:val="44"/>
            <w:shd w:val="clear" w:color="auto" w:fill="CCEEFF"/>
          </w:tcPr>
          <w:p>
            <w:pPr>
              <w:spacing w:after="0" w:line="15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Pharmaceuticals, Inc. 2014 Long-Term Incentive Plan. (Incorporated by reference from the Form 10-K for the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580" w:type="dxa"/>
            <w:vAlign w:val="bottom"/>
            <w:tcBorders>
              <w:top w:val="single" w:sz="8" w:color="0000FF"/>
            </w:tcBorders>
            <w:gridSpan w:val="41"/>
            <w:shd w:val="clear" w:color="auto" w:fill="CCEEFF"/>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Registrant, for the year ended December 31, 2020, filed February 8,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10.3.4 +</w:t>
            </w:r>
          </w:p>
        </w:tc>
        <w:tc>
          <w:tcPr>
            <w:tcW w:w="8720" w:type="dxa"/>
            <w:vAlign w:val="bottom"/>
            <w:gridSpan w:val="47"/>
          </w:tcPr>
          <w:p>
            <w:pPr>
              <w:spacing w:after="0" w:line="189" w:lineRule="exact"/>
              <w:rPr>
                <w:rFonts w:ascii="Arial" w:cs="Arial" w:eastAsia="Arial" w:hAnsi="Arial"/>
                <w:sz w:val="18"/>
                <w:szCs w:val="18"/>
                <w:color w:val="0000FF"/>
                <w:w w:val="98"/>
              </w:rPr>
            </w:pPr>
            <w:hyperlink r:id="rId173">
              <w:r>
                <w:rPr>
                  <w:rFonts w:ascii="Arial" w:cs="Arial" w:eastAsia="Arial" w:hAnsi="Arial"/>
                  <w:sz w:val="18"/>
                  <w:szCs w:val="18"/>
                  <w:color w:val="0000FF"/>
                  <w:w w:val="98"/>
                </w:rPr>
                <w:t>Form of restricted stock unit award agreement and related notice of grant for use in connection with the grant of</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36"/>
          </w:tcPr>
          <w:p>
            <w:pPr>
              <w:spacing w:after="0" w:line="156" w:lineRule="exact"/>
              <w:rPr>
                <w:rFonts w:ascii="Arial" w:cs="Arial" w:eastAsia="Arial" w:hAnsi="Arial"/>
                <w:sz w:val="18"/>
                <w:szCs w:val="18"/>
                <w:color w:val="0000FF"/>
                <w:w w:val="97"/>
              </w:rPr>
            </w:pPr>
            <w:hyperlink r:id="rId173">
              <w:r>
                <w:rPr>
                  <w:rFonts w:ascii="Arial" w:cs="Arial" w:eastAsia="Arial" w:hAnsi="Arial"/>
                  <w:sz w:val="18"/>
                  <w:szCs w:val="18"/>
                  <w:color w:val="0000FF"/>
                  <w:w w:val="97"/>
                </w:rPr>
                <w:t>restricted  stock  units  to  P.  Roy  Vagelos,  M.D.  under  the  Second  Amended  and  Restated  Regeneron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720" w:type="dxa"/>
            <w:vAlign w:val="bottom"/>
            <w:gridSpan w:val="47"/>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Pharmaceuticals, Inc. 2014 Long-Term Incentive Plan. (Incorporated by reference from the Form 10-K for the</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60" w:type="dxa"/>
            <w:vAlign w:val="bottom"/>
            <w:tcBorders>
              <w:top w:val="single" w:sz="8" w:color="0000FF"/>
            </w:tcBorders>
            <w:gridSpan w:val="11"/>
          </w:tcPr>
          <w:p>
            <w:pPr>
              <w:spacing w:after="0" w:line="136" w:lineRule="exact"/>
              <w:rPr>
                <w:rFonts w:ascii="Arial" w:cs="Arial" w:eastAsia="Arial" w:hAnsi="Arial"/>
                <w:sz w:val="15"/>
                <w:szCs w:val="15"/>
                <w:color w:val="0000FF"/>
              </w:rPr>
            </w:pPr>
            <w:hyperlink r:id="rId173">
              <w:r>
                <w:rPr>
                  <w:rFonts w:ascii="Arial" w:cs="Arial" w:eastAsia="Arial" w:hAnsi="Arial"/>
                  <w:sz w:val="15"/>
                  <w:szCs w:val="15"/>
                  <w:color w:val="0000FF"/>
                </w:rPr>
                <w:t>Registrant, for the year ended December 31, 2020, filed</w:t>
              </w:r>
            </w:hyperlink>
          </w:p>
        </w:tc>
        <w:tc>
          <w:tcPr>
            <w:tcW w:w="4520" w:type="dxa"/>
            <w:vAlign w:val="bottom"/>
            <w:tcBorders>
              <w:top w:val="single" w:sz="8" w:color="0000FF"/>
            </w:tcBorders>
            <w:gridSpan w:val="30"/>
          </w:tcPr>
          <w:p>
            <w:pPr>
              <w:spacing w:after="0" w:line="136" w:lineRule="exact"/>
              <w:rPr>
                <w:rFonts w:ascii="Arial" w:cs="Arial" w:eastAsia="Arial" w:hAnsi="Arial"/>
                <w:sz w:val="15"/>
                <w:szCs w:val="15"/>
                <w:color w:val="0000FF"/>
              </w:rPr>
            </w:pPr>
            <w:hyperlink r:id="rId173">
              <w:r>
                <w:rPr>
                  <w:rFonts w:ascii="Arial" w:cs="Arial" w:eastAsia="Arial" w:hAnsi="Arial"/>
                  <w:sz w:val="15"/>
                  <w:szCs w:val="15"/>
                  <w:color w:val="0000FF"/>
                </w:rPr>
                <w:t>February 8,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10.3.5 +</w:t>
            </w:r>
          </w:p>
        </w:tc>
        <w:tc>
          <w:tcPr>
            <w:tcW w:w="872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8"/>
              </w:rPr>
            </w:pPr>
            <w:hyperlink r:id="rId174">
              <w:r>
                <w:rPr>
                  <w:rFonts w:ascii="Arial" w:cs="Arial" w:eastAsia="Arial" w:hAnsi="Arial"/>
                  <w:sz w:val="18"/>
                  <w:szCs w:val="18"/>
                  <w:color w:val="0000FF"/>
                  <w:w w:val="98"/>
                </w:rPr>
                <w:t>Form of stock option agreement and related notice of grant for use in connection with the grant of non-qualified</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200" w:type="dxa"/>
            <w:vAlign w:val="bottom"/>
            <w:tcBorders>
              <w:top w:val="single" w:sz="8" w:color="0000FF"/>
              <w:bottom w:val="single" w:sz="8" w:color="0000FF"/>
            </w:tcBorders>
            <w:gridSpan w:val="22"/>
            <w:shd w:val="clear" w:color="auto" w:fill="CCEEFF"/>
          </w:tcPr>
          <w:p>
            <w:pPr>
              <w:spacing w:after="0" w:line="156"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stock options to the Registrant's non-employee directors under the Second Amended and Restated Regeneron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00" w:type="dxa"/>
            <w:vAlign w:val="bottom"/>
            <w:gridSpan w:val="42"/>
            <w:shd w:val="clear" w:color="auto" w:fill="CCEEFF"/>
          </w:tcPr>
          <w:p>
            <w:pPr>
              <w:spacing w:after="0" w:line="156" w:lineRule="exact"/>
              <w:rPr>
                <w:rFonts w:ascii="Arial" w:cs="Arial" w:eastAsia="Arial" w:hAnsi="Arial"/>
                <w:sz w:val="18"/>
                <w:szCs w:val="18"/>
                <w:color w:val="0000FF"/>
                <w:w w:val="98"/>
              </w:rPr>
            </w:pPr>
            <w:hyperlink r:id="rId174">
              <w:r>
                <w:rPr>
                  <w:rFonts w:ascii="Arial" w:cs="Arial" w:eastAsia="Arial" w:hAnsi="Arial"/>
                  <w:sz w:val="18"/>
                  <w:szCs w:val="18"/>
                  <w:color w:val="0000FF"/>
                  <w:w w:val="98"/>
                </w:rPr>
                <w:t>Pharmaceuticals, Inc. 2014 Long-Term Incentive Plan. (Incorporated by reference from the Form 10-K for the</w:t>
              </w:r>
            </w:hyperlink>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406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Registrant, for the year ended December 31, 2020, filed</w:t>
              </w:r>
            </w:hyperlink>
          </w:p>
        </w:tc>
        <w:tc>
          <w:tcPr>
            <w:tcW w:w="452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February 8, 2021.)</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10.3.6 +</w:t>
            </w:r>
          </w:p>
        </w:tc>
        <w:tc>
          <w:tcPr>
            <w:tcW w:w="8720" w:type="dxa"/>
            <w:vAlign w:val="bottom"/>
            <w:gridSpan w:val="47"/>
          </w:tcPr>
          <w:p>
            <w:pPr>
              <w:spacing w:after="0" w:line="189" w:lineRule="exact"/>
              <w:rPr>
                <w:rFonts w:ascii="Arial" w:cs="Arial" w:eastAsia="Arial" w:hAnsi="Arial"/>
                <w:sz w:val="18"/>
                <w:szCs w:val="18"/>
                <w:color w:val="0000FF"/>
                <w:w w:val="98"/>
              </w:rPr>
            </w:pPr>
            <w:hyperlink r:id="rId175">
              <w:r>
                <w:rPr>
                  <w:rFonts w:ascii="Arial" w:cs="Arial" w:eastAsia="Arial" w:hAnsi="Arial"/>
                  <w:sz w:val="18"/>
                  <w:szCs w:val="18"/>
                  <w:color w:val="0000FF"/>
                  <w:w w:val="98"/>
                </w:rPr>
                <w:t>Form of restricted stock unit award agreement and related notice of grant for use in connection with the grant of</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60" w:type="dxa"/>
            <w:vAlign w:val="bottom"/>
            <w:tcBorders>
              <w:top w:val="single" w:sz="8" w:color="0000FF"/>
            </w:tcBorders>
            <w:gridSpan w:val="35"/>
          </w:tcPr>
          <w:p>
            <w:pPr>
              <w:spacing w:after="0" w:line="156" w:lineRule="exact"/>
              <w:rPr>
                <w:rFonts w:ascii="Arial" w:cs="Arial" w:eastAsia="Arial" w:hAnsi="Arial"/>
                <w:sz w:val="18"/>
                <w:szCs w:val="18"/>
                <w:color w:val="0000FF"/>
                <w:w w:val="99"/>
              </w:rPr>
            </w:pPr>
            <w:hyperlink r:id="rId175">
              <w:r>
                <w:rPr>
                  <w:rFonts w:ascii="Arial" w:cs="Arial" w:eastAsia="Arial" w:hAnsi="Arial"/>
                  <w:sz w:val="18"/>
                  <w:szCs w:val="18"/>
                  <w:color w:val="0000FF"/>
                  <w:w w:val="99"/>
                </w:rPr>
                <w:t>restricted stock units to the Registrant's non-employee directors under the Second Amended and Restated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4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Regeneron Pharmaceuticals, Inc. 2014 Long-Term Incentive Plan. (Incorporated by reference from the Form 10-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0" w:type="dxa"/>
            <w:vAlign w:val="bottom"/>
            <w:tcBorders>
              <w:top w:val="single" w:sz="8" w:color="0000FF"/>
            </w:tcBorders>
            <w:gridSpan w:val="12"/>
          </w:tcPr>
          <w:p>
            <w:pPr>
              <w:spacing w:after="0" w:line="136" w:lineRule="exact"/>
              <w:rPr>
                <w:rFonts w:ascii="Arial" w:cs="Arial" w:eastAsia="Arial" w:hAnsi="Arial"/>
                <w:sz w:val="15"/>
                <w:szCs w:val="15"/>
                <w:color w:val="0000FF"/>
              </w:rPr>
            </w:pPr>
            <w:hyperlink r:id="rId175">
              <w:r>
                <w:rPr>
                  <w:rFonts w:ascii="Arial" w:cs="Arial" w:eastAsia="Arial" w:hAnsi="Arial"/>
                  <w:sz w:val="15"/>
                  <w:szCs w:val="15"/>
                  <w:color w:val="0000FF"/>
                </w:rPr>
                <w:t>K for the Registrant, for the year ended December 31, 2020, filed</w:t>
              </w:r>
            </w:hyperlink>
          </w:p>
        </w:tc>
        <w:tc>
          <w:tcPr>
            <w:tcW w:w="20" w:type="dxa"/>
            <w:vAlign w:val="bottom"/>
          </w:tcPr>
          <w:p>
            <w:pPr>
              <w:spacing w:after="0"/>
              <w:rPr>
                <w:sz w:val="11"/>
                <w:szCs w:val="11"/>
                <w:color w:val="auto"/>
              </w:rPr>
            </w:pPr>
          </w:p>
        </w:tc>
        <w:tc>
          <w:tcPr>
            <w:tcW w:w="3700" w:type="dxa"/>
            <w:vAlign w:val="bottom"/>
            <w:tcBorders>
              <w:top w:val="single" w:sz="8" w:color="0000FF"/>
            </w:tcBorders>
            <w:gridSpan w:val="25"/>
          </w:tcPr>
          <w:p>
            <w:pPr>
              <w:spacing w:after="0" w:line="136" w:lineRule="exact"/>
              <w:rPr>
                <w:rFonts w:ascii="Arial" w:cs="Arial" w:eastAsia="Arial" w:hAnsi="Arial"/>
                <w:sz w:val="15"/>
                <w:szCs w:val="15"/>
                <w:color w:val="0000FF"/>
              </w:rPr>
            </w:pPr>
            <w:hyperlink r:id="rId175">
              <w:r>
                <w:rPr>
                  <w:rFonts w:ascii="Arial" w:cs="Arial" w:eastAsia="Arial" w:hAnsi="Arial"/>
                  <w:sz w:val="15"/>
                  <w:szCs w:val="15"/>
                  <w:color w:val="0000FF"/>
                </w:rPr>
                <w:t>February 8,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10.3.7 +</w:t>
            </w:r>
          </w:p>
        </w:tc>
        <w:tc>
          <w:tcPr>
            <w:tcW w:w="872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6"/>
              </w:rPr>
            </w:pPr>
            <w:hyperlink r:id="rId176">
              <w:r>
                <w:rPr>
                  <w:rFonts w:ascii="Arial" w:cs="Arial" w:eastAsia="Arial" w:hAnsi="Arial"/>
                  <w:sz w:val="18"/>
                  <w:szCs w:val="18"/>
                  <w:color w:val="0000FF"/>
                  <w:w w:val="96"/>
                </w:rPr>
                <w:t>Form of performance restricted stock unit award agreement and related notice of grant for use in connection with</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the grant of performance restricted stock units to Leonard S. Schleifer, M.D., Ph.D. and George D. Yancopoulos,</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6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w w:val="98"/>
              </w:rPr>
            </w:pPr>
            <w:hyperlink r:id="rId176">
              <w:r>
                <w:rPr>
                  <w:rFonts w:ascii="Arial" w:cs="Arial" w:eastAsia="Arial" w:hAnsi="Arial"/>
                  <w:sz w:val="18"/>
                  <w:szCs w:val="18"/>
                  <w:color w:val="0000FF"/>
                  <w:w w:val="98"/>
                </w:rPr>
                <w:t>M.D., Ph.D. under the Second Amended and Restated Regeneron Pharmaceuticals, Inc. 2014 Long-Term</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Incentive Plan. (Incorporated by reference from the Form 10-K for the Registrant, for the year ended December</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520" w:type="dxa"/>
            <w:vAlign w:val="bottom"/>
            <w:tcBorders>
              <w:top w:val="single" w:sz="8" w:color="0000FF"/>
            </w:tcBorders>
            <w:gridSpan w:val="38"/>
            <w:shd w:val="clear" w:color="auto" w:fill="CCEEFF"/>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31, 2020, filed February 8,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10.4 +</w:t>
            </w:r>
          </w:p>
        </w:tc>
        <w:tc>
          <w:tcPr>
            <w:tcW w:w="8720" w:type="dxa"/>
            <w:vAlign w:val="bottom"/>
            <w:gridSpan w:val="47"/>
          </w:tcPr>
          <w:p>
            <w:pPr>
              <w:spacing w:after="0" w:line="189" w:lineRule="exact"/>
              <w:rPr>
                <w:rFonts w:ascii="Arial" w:cs="Arial" w:eastAsia="Arial" w:hAnsi="Arial"/>
                <w:sz w:val="18"/>
                <w:szCs w:val="18"/>
                <w:color w:val="0000FF"/>
                <w:w w:val="98"/>
              </w:rPr>
            </w:pPr>
            <w:hyperlink r:id="rId177">
              <w:r>
                <w:rPr>
                  <w:rFonts w:ascii="Arial" w:cs="Arial" w:eastAsia="Arial" w:hAnsi="Arial"/>
                  <w:sz w:val="18"/>
                  <w:szCs w:val="18"/>
                  <w:color w:val="0000FF"/>
                  <w:w w:val="98"/>
                </w:rPr>
                <w:t>Amended and Restated Employment Agreement, dated as of November 14, 2008, between the Registrant and</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Leonard S. Schleifer, M.D., Ph.D. (Incorporated by reference from the Form 10-K for the Registrant, for the year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560" w:type="dxa"/>
            <w:vAlign w:val="bottom"/>
            <w:gridSpan w:val="40"/>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ended December 31, 2008, filed February 26, 2009.)</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10.5* +</w:t>
            </w:r>
          </w:p>
        </w:tc>
        <w:tc>
          <w:tcPr>
            <w:tcW w:w="872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r:id="rId178">
              <w:r>
                <w:rPr>
                  <w:rFonts w:ascii="Arial" w:cs="Arial" w:eastAsia="Arial" w:hAnsi="Arial"/>
                  <w:sz w:val="18"/>
                  <w:szCs w:val="18"/>
                  <w:color w:val="0000FF"/>
                </w:rPr>
                <w:t>Employment Agreement, dated as of December 31, 1998, between the Registrant and P. Roy Vagelos, M.D.</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0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w w:val="94"/>
              </w:rPr>
            </w:pPr>
            <w:hyperlink r:id="rId178">
              <w:r>
                <w:rPr>
                  <w:rFonts w:ascii="Arial" w:cs="Arial" w:eastAsia="Arial" w:hAnsi="Arial"/>
                  <w:sz w:val="18"/>
                  <w:szCs w:val="18"/>
                  <w:color w:val="0000FF"/>
                  <w:w w:val="94"/>
                </w:rPr>
                <w:t>(Incorporated by reference from the Form 10-K for the Registrant, for the year ended December 31, 2004, filed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9"/>
              </w:rPr>
            </w:pPr>
            <w:hyperlink r:id="rId178">
              <w:r>
                <w:rPr>
                  <w:rFonts w:ascii="Arial" w:cs="Arial" w:eastAsia="Arial" w:hAnsi="Arial"/>
                  <w:sz w:val="18"/>
                  <w:szCs w:val="18"/>
                  <w:color w:val="0000FF"/>
                  <w:w w:val="89"/>
                </w:rPr>
                <w:t>March 11, 2005.)</w:t>
              </w:r>
            </w:hyperlink>
          </w:p>
        </w:tc>
        <w:tc>
          <w:tcPr>
            <w:tcW w:w="7140" w:type="dxa"/>
            <w:vAlign w:val="bottom"/>
            <w:tcBorders>
              <w:top w:val="single" w:sz="8" w:color="0000FF"/>
              <w:bottom w:val="single" w:sz="8" w:color="CCEEFF"/>
            </w:tcBorders>
            <w:gridSpan w:val="3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10.6 +</w:t>
            </w:r>
          </w:p>
        </w:tc>
        <w:tc>
          <w:tcPr>
            <w:tcW w:w="8720" w:type="dxa"/>
            <w:vAlign w:val="bottom"/>
            <w:gridSpan w:val="47"/>
          </w:tcPr>
          <w:p>
            <w:pPr>
              <w:spacing w:after="0" w:line="189" w:lineRule="exact"/>
              <w:rPr>
                <w:rFonts w:ascii="Arial" w:cs="Arial" w:eastAsia="Arial" w:hAnsi="Arial"/>
                <w:sz w:val="18"/>
                <w:szCs w:val="18"/>
                <w:color w:val="0000FF"/>
              </w:rPr>
            </w:pPr>
            <w:hyperlink r:id="rId179">
              <w:r>
                <w:rPr>
                  <w:rFonts w:ascii="Arial" w:cs="Arial" w:eastAsia="Arial" w:hAnsi="Arial"/>
                  <w:sz w:val="18"/>
                  <w:szCs w:val="18"/>
                  <w:color w:val="0000FF"/>
                </w:rPr>
                <w:t>Offer Letter for Robert E. Landry effective September 9, 2013. (Incorporated by reference from the Form 8-K</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5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for the Registrant, filed September 12, 2013.)</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10.7 +</w:t>
            </w:r>
          </w:p>
        </w:tc>
        <w:tc>
          <w:tcPr>
            <w:tcW w:w="872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Regeneron Pharmaceuticals, Inc. Change in Control Severance Plan, amended and restated effective as of</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500" w:type="dxa"/>
            <w:vAlign w:val="bottom"/>
            <w:tcBorders>
              <w:top w:val="single" w:sz="8" w:color="0000FF"/>
            </w:tcBorders>
            <w:gridSpan w:val="37"/>
            <w:shd w:val="clear" w:color="auto" w:fill="CCEEFF"/>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November 14, 2008. (Incorporated by reference from the Form 10-K for the Registrant, for the year ended</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30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December 31, 2008, filed February 26, 2009.)</w:t>
              </w:r>
            </w:hyperlink>
          </w:p>
        </w:tc>
        <w:tc>
          <w:tcPr>
            <w:tcW w:w="488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10.8 +</w:t>
            </w:r>
          </w:p>
        </w:tc>
        <w:tc>
          <w:tcPr>
            <w:tcW w:w="8720" w:type="dxa"/>
            <w:vAlign w:val="bottom"/>
            <w:gridSpan w:val="47"/>
          </w:tcPr>
          <w:p>
            <w:pPr>
              <w:spacing w:after="0" w:line="189" w:lineRule="exact"/>
              <w:rPr>
                <w:rFonts w:ascii="Arial" w:cs="Arial" w:eastAsia="Arial" w:hAnsi="Arial"/>
                <w:sz w:val="18"/>
                <w:szCs w:val="18"/>
                <w:color w:val="0000FF"/>
                <w:w w:val="97"/>
              </w:rPr>
            </w:pPr>
            <w:hyperlink r:id="rId181">
              <w:r>
                <w:rPr>
                  <w:rFonts w:ascii="Arial" w:cs="Arial" w:eastAsia="Arial" w:hAnsi="Arial"/>
                  <w:sz w:val="18"/>
                  <w:szCs w:val="18"/>
                  <w:color w:val="0000FF"/>
                  <w:w w:val="97"/>
                </w:rPr>
                <w:t>Regeneron Pharmaceuticals, Inc. Cash Incentive Bonus Plan. (Incorporated by reference from the Form 8-K for</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1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the Registrant, filed June 17, 2015.)</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10.9*</w:t>
            </w:r>
          </w:p>
        </w:tc>
        <w:tc>
          <w:tcPr>
            <w:tcW w:w="872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r:id="rId182">
              <w:r>
                <w:rPr>
                  <w:rFonts w:ascii="Arial" w:cs="Arial" w:eastAsia="Arial" w:hAnsi="Arial"/>
                  <w:sz w:val="18"/>
                  <w:szCs w:val="18"/>
                  <w:color w:val="0000FF"/>
                </w:rPr>
                <w:t>IL-1 Antibody Termination Agreement by and between Novartis Pharma AG, Novartis Pharmaceuticals</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680" w:type="dxa"/>
            <w:vAlign w:val="bottom"/>
            <w:tcBorders>
              <w:top w:val="single" w:sz="8" w:color="0000FF"/>
            </w:tcBorders>
            <w:gridSpan w:val="46"/>
            <w:shd w:val="clear" w:color="auto" w:fill="CCEEFF"/>
          </w:tcPr>
          <w:p>
            <w:pPr>
              <w:spacing w:after="0" w:line="156" w:lineRule="exact"/>
              <w:rPr>
                <w:rFonts w:ascii="Arial" w:cs="Arial" w:eastAsia="Arial" w:hAnsi="Arial"/>
                <w:sz w:val="18"/>
                <w:szCs w:val="18"/>
                <w:color w:val="0000FF"/>
                <w:w w:val="96"/>
              </w:rPr>
            </w:pPr>
            <w:hyperlink r:id="rId182">
              <w:r>
                <w:rPr>
                  <w:rFonts w:ascii="Arial" w:cs="Arial" w:eastAsia="Arial" w:hAnsi="Arial"/>
                  <w:sz w:val="18"/>
                  <w:szCs w:val="18"/>
                  <w:color w:val="0000FF"/>
                  <w:w w:val="96"/>
                </w:rPr>
                <w:t>Corporation and the Registrant, dated as of June 8, 2009. (Incorporated by reference from the Form 10-Q for the</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FF"/>
            </w:tcBorders>
            <w:gridSpan w:val="45"/>
            <w:shd w:val="clear" w:color="auto" w:fill="CCEEFF"/>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Registrant, for the quarter ended June 30, 2009, filed August 4, 2009.)</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8720" w:type="dxa"/>
            <w:vAlign w:val="bottom"/>
            <w:gridSpan w:val="47"/>
          </w:tcPr>
          <w:p>
            <w:pPr>
              <w:spacing w:after="0" w:line="189" w:lineRule="exact"/>
              <w:rPr>
                <w:rFonts w:ascii="Arial" w:cs="Arial" w:eastAsia="Arial" w:hAnsi="Arial"/>
                <w:sz w:val="18"/>
                <w:szCs w:val="18"/>
                <w:color w:val="0000FF"/>
                <w:w w:val="96"/>
              </w:rPr>
            </w:pPr>
            <w:hyperlink r:id="rId183">
              <w:r>
                <w:rPr>
                  <w:rFonts w:ascii="Arial" w:cs="Arial" w:eastAsia="Arial" w:hAnsi="Arial"/>
                  <w:sz w:val="18"/>
                  <w:szCs w:val="18"/>
                  <w:color w:val="0000FF"/>
                  <w:w w:val="96"/>
                </w:rPr>
                <w:t>Amended and Restated Collaboration Agreement, dated as of February 23, 2015, by and between Sanofi-Aventis</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40" w:type="dxa"/>
            <w:vAlign w:val="bottom"/>
            <w:tcBorders>
              <w:top w:val="single" w:sz="8" w:color="0000FF"/>
            </w:tcBorders>
            <w:gridSpan w:val="34"/>
          </w:tcPr>
          <w:p>
            <w:pPr>
              <w:spacing w:after="0" w:line="156" w:lineRule="exact"/>
              <w:rPr>
                <w:rFonts w:ascii="Arial" w:cs="Arial" w:eastAsia="Arial" w:hAnsi="Arial"/>
                <w:sz w:val="18"/>
                <w:szCs w:val="18"/>
                <w:color w:val="0000FF"/>
                <w:w w:val="97"/>
              </w:rPr>
            </w:pPr>
            <w:hyperlink r:id="rId183">
              <w:r>
                <w:rPr>
                  <w:rFonts w:ascii="Arial" w:cs="Arial" w:eastAsia="Arial" w:hAnsi="Arial"/>
                  <w:sz w:val="18"/>
                  <w:szCs w:val="18"/>
                  <w:color w:val="0000FF"/>
                  <w:w w:val="97"/>
                </w:rPr>
                <w:t>US LLC and the Registrant. (Incorporated by reference from the Form 10-Q for the Registrant, for the quarter</w:t>
              </w:r>
            </w:hyperlink>
          </w:p>
        </w:tc>
        <w:tc>
          <w:tcPr>
            <w:tcW w:w="180" w:type="dxa"/>
            <w:vAlign w:val="bottom"/>
            <w:gridSpan w:val="9"/>
          </w:tcPr>
          <w:p>
            <w:pPr>
              <w:spacing w:after="0"/>
              <w:rPr>
                <w:sz w:val="13"/>
                <w:szCs w:val="13"/>
                <w:color w:val="auto"/>
              </w:rPr>
            </w:pPr>
          </w:p>
        </w:tc>
        <w:tc>
          <w:tcPr>
            <w:tcW w:w="5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3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ended March 31, 2015, filed May 7, 2015.)</w:t>
              </w:r>
            </w:hyperlink>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5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10.11*</w:t>
            </w:r>
          </w:p>
        </w:tc>
        <w:tc>
          <w:tcPr>
            <w:tcW w:w="872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r:id="rId184">
              <w:r>
                <w:rPr>
                  <w:rFonts w:ascii="Arial" w:cs="Arial" w:eastAsia="Arial" w:hAnsi="Arial"/>
                  <w:sz w:val="18"/>
                  <w:szCs w:val="18"/>
                  <w:color w:val="0000FF"/>
                </w:rPr>
                <w:t>License and Collaboration Agreement, dated as of October 18, 2006, by and between Bayer HealthCare LLC</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340" w:type="dxa"/>
            <w:vAlign w:val="bottom"/>
            <w:tcBorders>
              <w:top w:val="single" w:sz="8" w:color="0000FF"/>
              <w:bottom w:val="single" w:sz="8" w:color="0000FF"/>
            </w:tcBorders>
            <w:gridSpan w:val="29"/>
            <w:shd w:val="clear" w:color="auto" w:fill="CCEEFF"/>
          </w:tcPr>
          <w:p>
            <w:pPr>
              <w:spacing w:after="0" w:line="156" w:lineRule="exact"/>
              <w:rPr>
                <w:rFonts w:ascii="Arial" w:cs="Arial" w:eastAsia="Arial" w:hAnsi="Arial"/>
                <w:sz w:val="18"/>
                <w:szCs w:val="18"/>
                <w:color w:val="0000FF"/>
                <w:w w:val="97"/>
              </w:rPr>
            </w:pPr>
            <w:hyperlink r:id="rId184">
              <w:r>
                <w:rPr>
                  <w:rFonts w:ascii="Arial" w:cs="Arial" w:eastAsia="Arial" w:hAnsi="Arial"/>
                  <w:sz w:val="18"/>
                  <w:szCs w:val="18"/>
                  <w:color w:val="0000FF"/>
                  <w:w w:val="97"/>
                </w:rPr>
                <w:t>and the Registrant. (Incorporated by reference from the Form 10-Q for the Registrant, for the quarter ended</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20" w:type="dxa"/>
            <w:vAlign w:val="bottom"/>
            <w:tcBorders>
              <w:top w:val="single" w:sz="8" w:color="CCEEFF"/>
              <w:bottom w:val="single" w:sz="8" w:color="0000FF"/>
            </w:tcBorders>
            <w:gridSpan w:val="11"/>
            <w:shd w:val="clear" w:color="auto" w:fill="CCEEFF"/>
          </w:tcPr>
          <w:p>
            <w:pPr>
              <w:spacing w:after="0"/>
              <w:rPr>
                <w:sz w:val="13"/>
                <w:szCs w:val="13"/>
                <w:color w:val="auto"/>
              </w:rPr>
            </w:pPr>
          </w:p>
        </w:tc>
        <w:tc>
          <w:tcPr>
            <w:tcW w:w="100" w:type="dxa"/>
            <w:vAlign w:val="bottom"/>
            <w:tcBorders>
              <w:top w:val="single" w:sz="8" w:color="CCEEFF"/>
              <w:bottom w:val="single" w:sz="8" w:color="CCEEFF"/>
              <w:right w:val="single" w:sz="8" w:color="CCEEFF"/>
            </w:tcBorders>
            <w:gridSpan w:val="4"/>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20" w:type="dxa"/>
            <w:vAlign w:val="bottom"/>
            <w:gridSpan w:val="43"/>
            <w:shd w:val="clear" w:color="auto" w:fill="CCEEFF"/>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September 30, 2006, filed November 6, 2006.)</w:t>
              </w:r>
            </w:hyperlink>
          </w:p>
        </w:tc>
        <w:tc>
          <w:tcPr>
            <w:tcW w:w="100" w:type="dxa"/>
            <w:vAlign w:val="bottom"/>
            <w:tcBorders>
              <w:right w:val="single" w:sz="8" w:color="CCEEFF"/>
            </w:tcBorders>
            <w:gridSpan w:val="4"/>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10.11.1*</w:t>
            </w:r>
          </w:p>
        </w:tc>
        <w:tc>
          <w:tcPr>
            <w:tcW w:w="8720" w:type="dxa"/>
            <w:vAlign w:val="bottom"/>
            <w:gridSpan w:val="47"/>
          </w:tcPr>
          <w:p>
            <w:pPr>
              <w:spacing w:after="0" w:line="189" w:lineRule="exact"/>
              <w:rPr>
                <w:rFonts w:ascii="Arial" w:cs="Arial" w:eastAsia="Arial" w:hAnsi="Arial"/>
                <w:sz w:val="18"/>
                <w:szCs w:val="18"/>
                <w:color w:val="0000FF"/>
                <w:w w:val="95"/>
              </w:rPr>
            </w:pPr>
            <w:hyperlink r:id="rId185">
              <w:r>
                <w:rPr>
                  <w:rFonts w:ascii="Arial" w:cs="Arial" w:eastAsia="Arial" w:hAnsi="Arial"/>
                  <w:sz w:val="18"/>
                  <w:szCs w:val="18"/>
                  <w:color w:val="0000FF"/>
                  <w:w w:val="95"/>
                </w:rPr>
                <w:t>Restated Amendment Agreement, dated December 30, 2014 and entered into effective as of May 7, 2012, by and</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20" w:type="dxa"/>
            <w:vAlign w:val="bottom"/>
            <w:tcBorders>
              <w:top w:val="single" w:sz="8" w:color="0000FF"/>
            </w:tcBorders>
            <w:gridSpan w:val="23"/>
          </w:tcPr>
          <w:p>
            <w:pPr>
              <w:spacing w:after="0" w:line="156" w:lineRule="exact"/>
              <w:rPr>
                <w:rFonts w:ascii="Arial" w:cs="Arial" w:eastAsia="Arial" w:hAnsi="Arial"/>
                <w:sz w:val="18"/>
                <w:szCs w:val="18"/>
                <w:color w:val="0000FF"/>
                <w:w w:val="96"/>
              </w:rPr>
            </w:pPr>
            <w:hyperlink r:id="rId185">
              <w:r>
                <w:rPr>
                  <w:rFonts w:ascii="Arial" w:cs="Arial" w:eastAsia="Arial" w:hAnsi="Arial"/>
                  <w:sz w:val="18"/>
                  <w:szCs w:val="18"/>
                  <w:color w:val="0000FF"/>
                  <w:w w:val="96"/>
                </w:rPr>
                <w:t>between Bayer HealthCare LLC and the Registrant. (Incorporated by reference from the Form 10-K for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7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1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Registrant, for the year ended December 31, 2014, filed February 12, 2015.)</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7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10.11.2**</w:t>
            </w:r>
          </w:p>
        </w:tc>
        <w:tc>
          <w:tcPr>
            <w:tcW w:w="872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r:id="rId186">
              <w:r>
                <w:rPr>
                  <w:rFonts w:ascii="Arial" w:cs="Arial" w:eastAsia="Arial" w:hAnsi="Arial"/>
                  <w:sz w:val="18"/>
                  <w:szCs w:val="18"/>
                  <w:color w:val="0000FF"/>
                </w:rPr>
                <w:t>Second Amendment Agreement, dated December 19, 2019, by and between Bayer HealthCare LLC and the</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w w:val="94"/>
              </w:rPr>
            </w:pPr>
            <w:hyperlink r:id="rId186">
              <w:r>
                <w:rPr>
                  <w:rFonts w:ascii="Arial" w:cs="Arial" w:eastAsia="Arial" w:hAnsi="Arial"/>
                  <w:sz w:val="18"/>
                  <w:szCs w:val="18"/>
                  <w:color w:val="0000FF"/>
                  <w:w w:val="94"/>
                </w:rPr>
                <w:t>Registrant. (Incorporated by reference from the Form 10-K for the Registrant, for the year ended December 31,</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320" w:type="dxa"/>
            <w:vAlign w:val="bottom"/>
            <w:tcBorders>
              <w:top w:val="single" w:sz="8" w:color="CCEEFF"/>
              <w:right w:val="single" w:sz="8" w:color="CCEEFF"/>
            </w:tcBorders>
            <w:gridSpan w:val="15"/>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216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2019, filed February 7, 2020.)</w:t>
              </w:r>
            </w:hyperlink>
          </w:p>
        </w:tc>
        <w:tc>
          <w:tcPr>
            <w:tcW w:w="6520" w:type="dxa"/>
            <w:vAlign w:val="bottom"/>
            <w:tcBorders>
              <w:top w:val="single" w:sz="8" w:color="0000FF"/>
              <w:bottom w:val="single" w:sz="8" w:color="CCEEFF"/>
            </w:tcBorders>
            <w:gridSpan w:val="43"/>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10.12</w:t>
            </w:r>
          </w:p>
        </w:tc>
        <w:tc>
          <w:tcPr>
            <w:tcW w:w="8720" w:type="dxa"/>
            <w:vAlign w:val="bottom"/>
            <w:gridSpan w:val="47"/>
          </w:tcPr>
          <w:p>
            <w:pPr>
              <w:spacing w:after="0" w:line="189" w:lineRule="exact"/>
              <w:rPr>
                <w:rFonts w:ascii="Arial" w:cs="Arial" w:eastAsia="Arial" w:hAnsi="Arial"/>
                <w:sz w:val="18"/>
                <w:szCs w:val="18"/>
                <w:color w:val="0000FF"/>
                <w:w w:val="96"/>
              </w:rPr>
            </w:pPr>
            <w:hyperlink r:id="rId187">
              <w:r>
                <w:rPr>
                  <w:rFonts w:ascii="Arial" w:cs="Arial" w:eastAsia="Arial" w:hAnsi="Arial"/>
                  <w:sz w:val="18"/>
                  <w:szCs w:val="18"/>
                  <w:color w:val="0000FF"/>
                  <w:w w:val="96"/>
                </w:rPr>
                <w:t>License and Collaboration Agreement, dated as of January 10, 2014, by and between Bayer HealthCare LLC and</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0" w:type="dxa"/>
            <w:vAlign w:val="bottom"/>
            <w:tcBorders>
              <w:top w:val="single" w:sz="8" w:color="0000FF"/>
            </w:tcBorders>
            <w:gridSpan w:val="32"/>
          </w:tcPr>
          <w:p>
            <w:pPr>
              <w:spacing w:after="0" w:line="156" w:lineRule="exact"/>
              <w:rPr>
                <w:rFonts w:ascii="Arial" w:cs="Arial" w:eastAsia="Arial" w:hAnsi="Arial"/>
                <w:sz w:val="18"/>
                <w:szCs w:val="18"/>
                <w:color w:val="0000FF"/>
                <w:w w:val="95"/>
              </w:rPr>
            </w:pPr>
            <w:hyperlink r:id="rId187">
              <w:r>
                <w:rPr>
                  <w:rFonts w:ascii="Arial" w:cs="Arial" w:eastAsia="Arial" w:hAnsi="Arial"/>
                  <w:sz w:val="18"/>
                  <w:szCs w:val="18"/>
                  <w:color w:val="0000FF"/>
                  <w:w w:val="95"/>
                </w:rPr>
                <w:t>the Registrant. (Incorporated by reference from the Form 10-Q for the Registrant, for the quarter ended March</w:t>
              </w:r>
            </w:hyperlink>
          </w:p>
        </w:tc>
        <w:tc>
          <w:tcPr>
            <w:tcW w:w="7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31, 2014, filed May 8, 2014.)</w:t>
              </w:r>
            </w:hyperlink>
          </w:p>
        </w:tc>
        <w:tc>
          <w:tcPr>
            <w:tcW w:w="8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682"/>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4"/>
                <w:szCs w:val="24"/>
                <w:color w:val="auto"/>
              </w:rPr>
            </w:pPr>
          </w:p>
        </w:tc>
        <w:tc>
          <w:tcPr>
            <w:tcW w:w="1680" w:type="dxa"/>
            <w:vAlign w:val="bottom"/>
            <w:gridSpan w:val="8"/>
          </w:tcPr>
          <w:p>
            <w:pPr>
              <w:jc w:val="right"/>
              <w:ind w:right="16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ind w:left="2100" w:hanging="1079"/>
        <w:spacing w:after="0" w:line="237"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190">
        <w:r>
          <w:rPr>
            <w:rFonts w:ascii="Arial" w:cs="Arial" w:eastAsia="Arial" w:hAnsi="Arial"/>
            <w:sz w:val="17"/>
            <w:szCs w:val="17"/>
            <w:u w:val="single" w:color="auto"/>
            <w:color w:val="0000FF"/>
          </w:rPr>
          <w:t>Amended and Restated Discovery and Preclinical Development Agreement, dated as of November 10, 2009, by</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and between Aventis Pharmaceuticals Inc. and the Registrant. (Incorporated by reference from the Form 10-K/A</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for the Registrant, for the year ended December 31, 2009, filed June 2, 2010.)</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-366395</wp:posOffset>
            </wp:positionV>
            <wp:extent cx="5880735" cy="3683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10.13.1*</w:t>
      </w:r>
      <w:r>
        <w:rPr>
          <w:sz w:val="20"/>
          <w:szCs w:val="20"/>
          <w:color w:val="auto"/>
        </w:rPr>
        <w:tab/>
      </w:r>
      <w:hyperlink r:id="rId192">
        <w:r>
          <w:rPr>
            <w:rFonts w:ascii="Arial" w:cs="Arial" w:eastAsia="Arial" w:hAnsi="Arial"/>
            <w:sz w:val="17"/>
            <w:szCs w:val="17"/>
            <w:u w:val="single" w:color="auto"/>
            <w:color w:val="0000FF"/>
          </w:rPr>
          <w:t>Amendment No. 1 to Amended and Restated Discovery and Preclinical Development Agreement, dated July 27,</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2015 and entered into effective as of July 1, 2015, by and between the Registrant and Sanofi Biotechnology</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SAS, as successor-in-interest to Aventis Pharmaceuticals, Inc. (Incorporated by reference from the Form 10-Q</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for the Registrant, for the quarter ended September 30, 2015, filed November 4, 2015.)</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0</wp:posOffset>
            </wp:positionV>
            <wp:extent cx="5880735" cy="3689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5880735" cy="368935"/>
                    </a:xfrm>
                    <a:prstGeom prst="rect">
                      <a:avLst/>
                    </a:prstGeom>
                    <a:noFill/>
                  </pic:spPr>
                </pic:pic>
              </a:graphicData>
            </a:graphic>
          </wp:anchor>
        </w:drawing>
      </w:r>
    </w:p>
    <w:p>
      <w:pPr>
        <w:jc w:val="both"/>
        <w:ind w:left="2100" w:hanging="1079"/>
        <w:spacing w:after="0" w:line="252" w:lineRule="auto"/>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94">
        <w:r>
          <w:rPr>
            <w:rFonts w:ascii="Arial" w:cs="Arial" w:eastAsia="Arial" w:hAnsi="Arial"/>
            <w:sz w:val="16"/>
            <w:szCs w:val="16"/>
            <w:u w:val="single" w:color="auto"/>
            <w:color w:val="0000FF"/>
          </w:rPr>
          <w:t>Amended and Restated License and Collaboration Agreement, dated as of November 10, 2009, by and among</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Aventis Pharmaceuticals Inc., sanofi-aventis Amerique du Nord, and the Registrant. (Incorporated by reference</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from the Form 10-K/A for the Registrant, for the year ended December 31, 2009, filed June 2, 2010.)</w:t>
        </w:r>
      </w:hyperlink>
    </w:p>
    <w:p>
      <w:pPr>
        <w:spacing w:after="0" w:line="1" w:lineRule="exact"/>
        <w:rPr>
          <w:rFonts w:ascii="Arial" w:cs="Arial" w:eastAsia="Arial" w:hAnsi="Arial"/>
          <w:sz w:val="16"/>
          <w:szCs w:val="16"/>
          <w:u w:val="single" w:color="auto"/>
          <w:color w:val="0000FF"/>
        </w:rPr>
      </w:pPr>
    </w:p>
    <w:p>
      <w:pPr>
        <w:jc w:val="both"/>
        <w:ind w:left="2100" w:right="2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10.14.1*</w:t>
      </w:r>
      <w:r>
        <w:rPr>
          <w:sz w:val="20"/>
          <w:szCs w:val="20"/>
          <w:color w:val="auto"/>
        </w:rPr>
        <w:tab/>
      </w:r>
      <w:hyperlink r:id="rId195">
        <w:r>
          <w:rPr>
            <w:rFonts w:ascii="Arial" w:cs="Arial" w:eastAsia="Arial" w:hAnsi="Arial"/>
            <w:sz w:val="18"/>
            <w:szCs w:val="18"/>
            <w:u w:val="single" w:color="auto"/>
            <w:color w:val="0000FF"/>
          </w:rPr>
          <w:t>First Amendment to Amended and Restated License and Collaboration Agreement by and between the</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Registrant and Aventis Pharmaceuticals Inc., dated May 1, 2013. (Incorporated by reference from the Form 10-Q</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for the Registrant, for the quarter ended June 30, 2013, filed August 6, 2013.)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10.14.2*</w:t>
      </w:r>
      <w:r>
        <w:rPr>
          <w:sz w:val="20"/>
          <w:szCs w:val="20"/>
          <w:color w:val="auto"/>
        </w:rPr>
        <w:tab/>
      </w:r>
      <w:hyperlink r:id="rId197">
        <w:r>
          <w:rPr>
            <w:rFonts w:ascii="Arial" w:cs="Arial" w:eastAsia="Arial" w:hAnsi="Arial"/>
            <w:sz w:val="17"/>
            <w:szCs w:val="17"/>
            <w:u w:val="single" w:color="auto"/>
            <w:color w:val="0000FF"/>
          </w:rPr>
          <w:t>Amendment No. 2 to Amended and Restated License and Collaboration Agreement, dated July 27, 2015 and</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entered into effective as of July 1, 2015, by and between the Registrant and Sanofi Biotechnology SAS, as</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successor-in-interest to Aventis Pharmaceuticals, Inc. (Incorporated by reference from the Form 10-Q for the</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Registrant, for the quarter ended September 30, 2015, filed November 4, 2015.)</w:t>
        </w:r>
      </w:hyperlink>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10.14.3**</w:t>
      </w:r>
      <w:r>
        <w:rPr>
          <w:sz w:val="20"/>
          <w:szCs w:val="20"/>
          <w:color w:val="auto"/>
        </w:rPr>
        <w:tab/>
      </w:r>
      <w:hyperlink r:id="rId198">
        <w:r>
          <w:rPr>
            <w:rFonts w:ascii="Arial" w:cs="Arial" w:eastAsia="Arial" w:hAnsi="Arial"/>
            <w:sz w:val="18"/>
            <w:szCs w:val="18"/>
            <w:u w:val="single" w:color="auto"/>
            <w:color w:val="0000FF"/>
          </w:rPr>
          <w:t>Third Amendment to Amended and Restated License and Collaboration Agreement, dated as of April 5, 2020,</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and effective as of April 1, 2020, by and between the Registrant, Sanofi Biotechnology SAS, and Sanofi.</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(Incorporated by reference from the Form 10-Q for the Registrant, for the quarter ended June 30, 2020, filed</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August 5,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5880735" cy="257175"/>
                    </a:xfrm>
                    <a:prstGeom prst="rect">
                      <a:avLst/>
                    </a:prstGeom>
                    <a:noFill/>
                  </pic:spPr>
                </pic:pic>
              </a:graphicData>
            </a:graphic>
          </wp:anchor>
        </w:drawing>
      </w:r>
    </w:p>
    <w:p>
      <w:pPr>
        <w:ind w:left="1020"/>
        <w:spacing w:after="0"/>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10.14.4**</w:t>
      </w:r>
      <w:r>
        <w:rPr>
          <w:sz w:val="20"/>
          <w:szCs w:val="20"/>
          <w:color w:val="auto"/>
        </w:rPr>
        <w:tab/>
      </w:r>
      <w:hyperlink w:anchor="page147">
        <w:r>
          <w:rPr>
            <w:rFonts w:ascii="Arial" w:cs="Arial" w:eastAsia="Arial" w:hAnsi="Arial"/>
            <w:sz w:val="16"/>
            <w:szCs w:val="16"/>
            <w:u w:val="single" w:color="auto"/>
            <w:color w:val="0000FF"/>
          </w:rPr>
          <w:t>Fourth Amendment to Amended and Restated License and Collaboration Agreement, dated as of October 6,</w:t>
        </w:r>
      </w:hyperlink>
    </w:p>
    <w:p>
      <w:pPr>
        <w:spacing w:after="0" w:line="1" w:lineRule="exact"/>
        <w:rPr>
          <w:rFonts w:ascii="Arial" w:cs="Arial" w:eastAsia="Arial" w:hAnsi="Arial"/>
          <w:sz w:val="18"/>
          <w:szCs w:val="18"/>
          <w:u w:val="single" w:color="auto"/>
          <w:color w:val="0000FF"/>
        </w:rPr>
      </w:pPr>
    </w:p>
    <w:p>
      <w:pPr>
        <w:ind w:left="2100"/>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2021, by and between the Registrant, Sanofi Biotechnology SAS, and Sanofi.</w:t>
        </w:r>
      </w:hyperlink>
    </w:p>
    <w:p>
      <w:pPr>
        <w:ind w:left="1020"/>
        <w:spacing w:after="0"/>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200">
        <w:r>
          <w:rPr>
            <w:rFonts w:ascii="Arial" w:cs="Arial" w:eastAsia="Arial" w:hAnsi="Arial"/>
            <w:sz w:val="16"/>
            <w:szCs w:val="16"/>
            <w:u w:val="single" w:color="auto"/>
            <w:color w:val="0000FF"/>
          </w:rPr>
          <w:t>Praluent Cross License &amp; Commercialization Agreement, dated as of April 5, 2020, and effective as of April 1,</w:t>
        </w:r>
      </w:hyperlink>
    </w:p>
    <w:p>
      <w:pPr>
        <w:ind w:left="2100"/>
        <w:spacing w:after="0" w:line="229" w:lineRule="auto"/>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2020, by and between the Registrant and Sanofi Biotechnology SAS. (Incorporated by reference from the Form</w:t>
        </w:r>
      </w:hyperlink>
    </w:p>
    <w:p>
      <w:pPr>
        <w:ind w:left="2100"/>
        <w:spacing w:after="0"/>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10-Q for the Registrant, for the quarter ended June 30, 2020, filed August 5,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4445</wp:posOffset>
            </wp:positionV>
            <wp:extent cx="5880735" cy="368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5880735" cy="368935"/>
                    </a:xfrm>
                    <a:prstGeom prst="rect">
                      <a:avLst/>
                    </a:prstGeom>
                    <a:noFill/>
                  </pic:spPr>
                </pic:pic>
              </a:graphicData>
            </a:graphic>
          </wp:anchor>
        </w:drawing>
      </w: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202">
        <w:r>
          <w:rPr>
            <w:rFonts w:ascii="Arial" w:cs="Arial" w:eastAsia="Arial" w:hAnsi="Arial"/>
            <w:sz w:val="18"/>
            <w:szCs w:val="18"/>
            <w:u w:val="single" w:color="auto"/>
            <w:color w:val="0000FF"/>
          </w:rPr>
          <w:t>Amended and Restated Investor Agreement, dated as of January 11, 2014, by and among Sanofi, sanofi-aventis</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US LLC, Aventis Pharmaceuticals Inc., sanofi-aventis Amerique du Nord, and the Registrant. (Incorporated by</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reference from the Form 8-K for the Registrant, filed January 13, 2014.)</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10.16.1</w:t>
      </w:r>
      <w:r>
        <w:rPr>
          <w:sz w:val="20"/>
          <w:szCs w:val="20"/>
          <w:color w:val="auto"/>
        </w:rPr>
        <w:tab/>
      </w:r>
      <w:hyperlink r:id="rId203">
        <w:r>
          <w:rPr>
            <w:rFonts w:ascii="Arial" w:cs="Arial" w:eastAsia="Arial" w:hAnsi="Arial"/>
            <w:sz w:val="18"/>
            <w:szCs w:val="18"/>
            <w:u w:val="single" w:color="auto"/>
            <w:color w:val="0000FF"/>
          </w:rPr>
          <w:t>Amendment to the Amended and Restated Investor Agreement, dated as of May 25, 2020, by and among the</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Registrant, Sanofi, Sanofi-Aventis US LLC, and Aventisub LLC. (Incorporated by reference from the Form 8-K</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for the Registrant, filed May 29,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205">
        <w:r>
          <w:rPr>
            <w:rFonts w:ascii="Arial" w:cs="Arial" w:eastAsia="Arial" w:hAnsi="Arial"/>
            <w:sz w:val="18"/>
            <w:szCs w:val="18"/>
            <w:u w:val="single" w:color="auto"/>
            <w:color w:val="0000FF"/>
          </w:rPr>
          <w:t>Letter Agreement by and between the Registrant and Aventis Pharmaceuticals Inc., dated May 2, 2013.</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(Incorporated by reference from the Form 10-Q for the Registrant, for the quarter ended June 30, 2013, filed</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August 6, 2013.)</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38" w:lineRule="auto"/>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206">
        <w:r>
          <w:rPr>
            <w:rFonts w:ascii="Arial" w:cs="Arial" w:eastAsia="Arial" w:hAnsi="Arial"/>
            <w:sz w:val="16"/>
            <w:szCs w:val="16"/>
            <w:u w:val="single" w:color="auto"/>
            <w:color w:val="0000FF"/>
          </w:rPr>
          <w:t>Credit Agreement, dated as of December 14, 2018, by and among the Registrant, as a borrower and guarantor;</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certain direct subsidiaries of the Registrant, as the initial subsidiary borrowers; JPMorgan Chase Bank, N.A., as</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administrative agent; Bank of America, N.A. and U.S. Bank National Association, as co-syndication agents;</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Barclays Bank PLC, Citibank, N.A., Fifth Third Bank, and MUFG Bank, Ltd., as co-documentation agents;</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JPMorgan Chase Bank, N.A., Bank of America, N.A., and U.S. Bank National Association, as the issuing banks;</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JPMorgan Chase Bank, N.A., as the swingline lender; and the other lenders party thereto from time to time.</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(Incorporated by reference from the Form 8-K for the Registrant, filed December 17, 2018.)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3175</wp:posOffset>
            </wp:positionV>
            <wp:extent cx="5880735" cy="368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7">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10.18.1</w:t>
      </w:r>
      <w:r>
        <w:rPr>
          <w:sz w:val="20"/>
          <w:szCs w:val="20"/>
          <w:color w:val="auto"/>
        </w:rPr>
        <w:tab/>
      </w:r>
      <w:hyperlink w:anchor="page153">
        <w:r>
          <w:rPr>
            <w:rFonts w:ascii="Arial" w:cs="Arial" w:eastAsia="Arial" w:hAnsi="Arial"/>
            <w:sz w:val="18"/>
            <w:szCs w:val="18"/>
            <w:u w:val="single" w:color="auto"/>
            <w:color w:val="0000FF"/>
          </w:rPr>
          <w:t>Amendment No. 1 to Credit Agreement, dated as of November 11, 2021, by and among the Registrant, as a</w:t>
        </w:r>
      </w:hyperlink>
      <w:r>
        <w:rPr>
          <w:rFonts w:ascii="Arial" w:cs="Arial" w:eastAsia="Arial" w:hAnsi="Arial"/>
          <w:sz w:val="18"/>
          <w:szCs w:val="18"/>
          <w:u w:val="single" w:color="auto"/>
          <w:color w:val="0000FF"/>
        </w:rPr>
        <w:t xml:space="preserve"> </w:t>
      </w:r>
      <w:hyperlink w:anchor="page153">
        <w:r>
          <w:rPr>
            <w:rFonts w:ascii="Arial" w:cs="Arial" w:eastAsia="Arial" w:hAnsi="Arial"/>
            <w:sz w:val="18"/>
            <w:szCs w:val="18"/>
            <w:u w:val="single" w:color="auto"/>
            <w:color w:val="0000FF"/>
          </w:rPr>
          <w:t>borrower and guarantor; certain direct subsidiaries of the Registrant, as subsidiary borrowers; JPMorgan Chase</w:t>
        </w:r>
      </w:hyperlink>
      <w:r>
        <w:rPr>
          <w:rFonts w:ascii="Arial" w:cs="Arial" w:eastAsia="Arial" w:hAnsi="Arial"/>
          <w:sz w:val="18"/>
          <w:szCs w:val="18"/>
          <w:u w:val="single" w:color="auto"/>
          <w:color w:val="0000FF"/>
        </w:rPr>
        <w:t xml:space="preserve"> </w:t>
      </w:r>
      <w:hyperlink w:anchor="page153">
        <w:r>
          <w:rPr>
            <w:rFonts w:ascii="Arial" w:cs="Arial" w:eastAsia="Arial" w:hAnsi="Arial"/>
            <w:sz w:val="18"/>
            <w:szCs w:val="18"/>
            <w:u w:val="single" w:color="auto"/>
            <w:color w:val="0000FF"/>
          </w:rPr>
          <w:t>Bank, N.A., as administrative agent; and the lenders party thereto.</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208">
        <w:r>
          <w:rPr>
            <w:rFonts w:ascii="Arial" w:cs="Arial" w:eastAsia="Arial" w:hAnsi="Arial"/>
            <w:sz w:val="18"/>
            <w:szCs w:val="18"/>
            <w:u w:val="single" w:color="auto"/>
            <w:color w:val="0000FF"/>
          </w:rPr>
          <w:t>Amended and Restated Immuno-oncology Discovery and Development Agreement, executed on January 2, 2019</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and effective as of December 31, 2018, by and between the Registrant and Sanofi Biotechnology SAS.</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(Incorporated by reference from the Form 10-K for the Registrant, for the year ended December 31, 2018, filed</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February 7,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9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9">
                      <a:extLst>
                        <a:ext uri="{28A0092B-C50C-407E-A947-70E740481C1C}"/>
                      </a:extLst>
                    </a:blip>
                    <a:srcRect/>
                    <a:stretch>
                      <a:fillRect/>
                    </a:stretch>
                  </pic:blipFill>
                  <pic:spPr bwMode="auto">
                    <a:xfrm>
                      <a:off x="0" y="0"/>
                      <a:ext cx="5880735" cy="368935"/>
                    </a:xfrm>
                    <a:prstGeom prst="rect">
                      <a:avLst/>
                    </a:prstGeom>
                    <a:noFill/>
                  </pic:spPr>
                </pic:pic>
              </a:graphicData>
            </a:graphic>
          </wp:anchor>
        </w:drawing>
      </w:r>
    </w:p>
    <w:p>
      <w:pPr>
        <w:jc w:val="both"/>
        <w:ind w:left="2100" w:right="20" w:hanging="1079"/>
        <w:spacing w:after="0" w:line="237"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210">
        <w:r>
          <w:rPr>
            <w:rFonts w:ascii="Arial" w:cs="Arial" w:eastAsia="Arial" w:hAnsi="Arial"/>
            <w:sz w:val="17"/>
            <w:szCs w:val="17"/>
            <w:u w:val="single" w:color="auto"/>
            <w:color w:val="0000FF"/>
          </w:rPr>
          <w:t>Immuno-oncology License and Collaboration Agreement, dated July 27, 2015 and entered into effective as of</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July 1, 2015, by and between the Registrant and Sanofi Biotechnology SAS. (Incorporated by reference from the</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Form 10-Q for the Registrant, for the quarter ended September 30, 2015, filed November 4, 2015.)</w:t>
        </w:r>
      </w:hyperlink>
    </w:p>
    <w:p>
      <w:pPr>
        <w:spacing w:after="0" w:line="200" w:lineRule="exact"/>
        <w:rPr>
          <w:rFonts w:ascii="Arial" w:cs="Arial" w:eastAsia="Arial" w:hAnsi="Arial"/>
          <w:sz w:val="17"/>
          <w:szCs w:val="17"/>
          <w:u w:val="single" w:color="auto"/>
          <w:color w:val="0000FF"/>
        </w:rPr>
      </w:pPr>
    </w:p>
    <w:p>
      <w:pPr>
        <w:spacing w:after="0" w:line="233" w:lineRule="exact"/>
        <w:rPr>
          <w:rFonts w:ascii="Arial" w:cs="Arial" w:eastAsia="Arial" w:hAnsi="Arial"/>
          <w:sz w:val="17"/>
          <w:szCs w:val="17"/>
          <w:u w:val="single" w:color="auto"/>
          <w:color w:val="0000FF"/>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373" w:right="1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1">
              <w:r>
                <w:rPr>
                  <w:rFonts w:ascii="Arial" w:cs="Arial" w:eastAsia="Arial" w:hAnsi="Arial"/>
                  <w:sz w:val="16"/>
                  <w:szCs w:val="16"/>
                  <w:color w:val="0000FF"/>
                  <w:w w:val="90"/>
                </w:rPr>
                <w:t>Table of Contents</w:t>
              </w:r>
            </w:hyperlink>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2100" w:type="dxa"/>
            <w:vAlign w:val="bottom"/>
            <w:gridSpan w:val="3"/>
          </w:tcPr>
          <w:p>
            <w:pPr>
              <w:ind w:left="1020"/>
              <w:spacing w:after="0"/>
              <w:rPr>
                <w:sz w:val="20"/>
                <w:szCs w:val="20"/>
                <w:color w:val="auto"/>
              </w:rPr>
            </w:pPr>
            <w:r>
              <w:rPr>
                <w:rFonts w:ascii="Arial" w:cs="Arial" w:eastAsia="Arial" w:hAnsi="Arial"/>
                <w:sz w:val="18"/>
                <w:szCs w:val="18"/>
                <w:color w:val="auto"/>
              </w:rPr>
              <w:t>10.20.1**</w:t>
            </w:r>
          </w:p>
        </w:tc>
        <w:tc>
          <w:tcPr>
            <w:tcW w:w="9140" w:type="dxa"/>
            <w:vAlign w:val="bottom"/>
            <w:gridSpan w:val="42"/>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First Amendment to Immuno-oncology License and Collaboration Agreement, dated as of October 6, 2021, by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1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70">
              <w:r>
                <w:rPr>
                  <w:rFonts w:ascii="Arial" w:cs="Arial" w:eastAsia="Arial" w:hAnsi="Arial"/>
                  <w:sz w:val="18"/>
                  <w:szCs w:val="18"/>
                  <w:color w:val="0000FF"/>
                </w:rPr>
                <w:t>and between the Registrant and Sanofi Biotechnology SAS.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10.21*</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w w:val="97"/>
              </w:rPr>
            </w:pPr>
            <w:hyperlink r:id="rId212">
              <w:r>
                <w:rPr>
                  <w:rFonts w:ascii="Arial" w:cs="Arial" w:eastAsia="Arial" w:hAnsi="Arial"/>
                  <w:sz w:val="18"/>
                  <w:szCs w:val="18"/>
                  <w:color w:val="0000FF"/>
                  <w:w w:val="97"/>
                </w:rPr>
                <w:t>Collaboration Agreement, dated as of September 29, 2015, by and between Regeneron Ireland and Mitsubishi</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360" w:type="dxa"/>
            <w:vAlign w:val="bottom"/>
            <w:tcBorders>
              <w:top w:val="single" w:sz="8" w:color="0000FF"/>
              <w:bottom w:val="single" w:sz="8" w:color="0000FF"/>
            </w:tcBorders>
            <w:gridSpan w:val="29"/>
            <w:shd w:val="clear" w:color="auto" w:fill="CCEEFF"/>
          </w:tcPr>
          <w:p>
            <w:pPr>
              <w:spacing w:after="0" w:line="156" w:lineRule="exact"/>
              <w:rPr>
                <w:rFonts w:ascii="Arial" w:cs="Arial" w:eastAsia="Arial" w:hAnsi="Arial"/>
                <w:sz w:val="18"/>
                <w:szCs w:val="18"/>
                <w:color w:val="0000FF"/>
                <w:w w:val="94"/>
              </w:rPr>
            </w:pPr>
            <w:hyperlink r:id="rId212">
              <w:r>
                <w:rPr>
                  <w:rFonts w:ascii="Arial" w:cs="Arial" w:eastAsia="Arial" w:hAnsi="Arial"/>
                  <w:sz w:val="18"/>
                  <w:szCs w:val="18"/>
                  <w:color w:val="0000FF"/>
                  <w:w w:val="94"/>
                </w:rPr>
                <w:t>Tanabe Pharma Corporation. (Incorporated by reference from the Form 10-Q for the Registrant, for the quarter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500" w:type="dxa"/>
            <w:vAlign w:val="bottom"/>
            <w:gridSpan w:val="36"/>
            <w:shd w:val="clear" w:color="auto" w:fill="CCEEFF"/>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ended September 30, 2015, filed November 4, 2015.)</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10.22*</w:t>
            </w:r>
          </w:p>
        </w:tc>
        <w:tc>
          <w:tcPr>
            <w:tcW w:w="8620" w:type="dxa"/>
            <w:vAlign w:val="bottom"/>
            <w:gridSpan w:val="41"/>
          </w:tcPr>
          <w:p>
            <w:pPr>
              <w:spacing w:after="0" w:line="189" w:lineRule="exact"/>
              <w:rPr>
                <w:rFonts w:ascii="Arial" w:cs="Arial" w:eastAsia="Arial" w:hAnsi="Arial"/>
                <w:sz w:val="18"/>
                <w:szCs w:val="18"/>
                <w:color w:val="0000FF"/>
                <w:w w:val="98"/>
              </w:rPr>
            </w:pPr>
            <w:hyperlink r:id="rId213">
              <w:r>
                <w:rPr>
                  <w:rFonts w:ascii="Arial" w:cs="Arial" w:eastAsia="Arial" w:hAnsi="Arial"/>
                  <w:sz w:val="18"/>
                  <w:szCs w:val="18"/>
                  <w:color w:val="0000FF"/>
                  <w:w w:val="98"/>
                </w:rPr>
                <w:t>ANG2 License and Collaboration Agreement, dated as of March 23, 2016, by and between Bayer HealthCare</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60" w:type="dxa"/>
            <w:vAlign w:val="bottom"/>
            <w:tcBorders>
              <w:top w:val="single" w:sz="8" w:color="0000FF"/>
            </w:tcBorders>
            <w:gridSpan w:val="34"/>
          </w:tcPr>
          <w:p>
            <w:pPr>
              <w:spacing w:after="0" w:line="156" w:lineRule="exact"/>
              <w:rPr>
                <w:rFonts w:ascii="Arial" w:cs="Arial" w:eastAsia="Arial" w:hAnsi="Arial"/>
                <w:sz w:val="18"/>
                <w:szCs w:val="18"/>
                <w:color w:val="0000FF"/>
                <w:w w:val="94"/>
              </w:rPr>
            </w:pPr>
            <w:hyperlink r:id="rId213">
              <w:r>
                <w:rPr>
                  <w:rFonts w:ascii="Arial" w:cs="Arial" w:eastAsia="Arial" w:hAnsi="Arial"/>
                  <w:sz w:val="18"/>
                  <w:szCs w:val="18"/>
                  <w:color w:val="0000FF"/>
                  <w:w w:val="94"/>
                </w:rPr>
                <w:t>LLC and the Registrant. (Incorporated by reference from the Form 10-Q for the Registrant, for the quarter 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March 31, 2016, filed May 5,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10.23*</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w w:val="96"/>
              </w:rPr>
            </w:pPr>
            <w:hyperlink r:id="rId214">
              <w:r>
                <w:rPr>
                  <w:rFonts w:ascii="Arial" w:cs="Arial" w:eastAsia="Arial" w:hAnsi="Arial"/>
                  <w:sz w:val="18"/>
                  <w:szCs w:val="18"/>
                  <w:color w:val="0000FF"/>
                  <w:w w:val="96"/>
                </w:rPr>
                <w:t>Collaboration Agreement, dated as of September 17, 2016, by and between Teva Pharmaceuticals International</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400" w:type="dxa"/>
            <w:vAlign w:val="bottom"/>
            <w:tcBorders>
              <w:top w:val="single" w:sz="8" w:color="0000FF"/>
              <w:bottom w:val="single" w:sz="8" w:color="0000FF"/>
            </w:tcBorders>
            <w:gridSpan w:val="31"/>
            <w:shd w:val="clear" w:color="auto" w:fill="CCEEFF"/>
          </w:tcPr>
          <w:p>
            <w:pPr>
              <w:spacing w:after="0" w:line="156" w:lineRule="exact"/>
              <w:rPr>
                <w:rFonts w:ascii="Arial" w:cs="Arial" w:eastAsia="Arial" w:hAnsi="Arial"/>
                <w:sz w:val="18"/>
                <w:szCs w:val="18"/>
                <w:color w:val="0000FF"/>
                <w:w w:val="93"/>
              </w:rPr>
            </w:pPr>
            <w:hyperlink r:id="rId214">
              <w:r>
                <w:rPr>
                  <w:rFonts w:ascii="Arial" w:cs="Arial" w:eastAsia="Arial" w:hAnsi="Arial"/>
                  <w:sz w:val="18"/>
                  <w:szCs w:val="18"/>
                  <w:color w:val="0000FF"/>
                  <w:w w:val="93"/>
                </w:rPr>
                <w:t>GmbH and Regeneron Ireland. (Incorporated by reference from the Form 10-Q for the Registrant, for the quarter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440" w:type="dxa"/>
            <w:vAlign w:val="bottom"/>
            <w:gridSpan w:val="33"/>
            <w:shd w:val="clear" w:color="auto" w:fill="CCEEFF"/>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ended September 30, 2016, filed November 4, 2016.)</w:t>
              </w:r>
            </w:hyperlink>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10.24*</w:t>
            </w:r>
          </w:p>
        </w:tc>
        <w:tc>
          <w:tcPr>
            <w:tcW w:w="8620" w:type="dxa"/>
            <w:vAlign w:val="bottom"/>
            <w:gridSpan w:val="41"/>
          </w:tcPr>
          <w:p>
            <w:pPr>
              <w:spacing w:after="0" w:line="189" w:lineRule="exact"/>
              <w:rPr>
                <w:rFonts w:ascii="Arial" w:cs="Arial" w:eastAsia="Arial" w:hAnsi="Arial"/>
                <w:sz w:val="18"/>
                <w:szCs w:val="18"/>
                <w:color w:val="0000FF"/>
              </w:rPr>
            </w:pPr>
            <w:hyperlink r:id="rId215">
              <w:r>
                <w:rPr>
                  <w:rFonts w:ascii="Arial" w:cs="Arial" w:eastAsia="Arial" w:hAnsi="Arial"/>
                  <w:sz w:val="18"/>
                  <w:szCs w:val="18"/>
                  <w:color w:val="0000FF"/>
                </w:rPr>
                <w:t>Purchase Agreement, dated as of December 30, 2016, by and among BMR-Landmark at Eastview LLC and</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4"/>
              </w:rPr>
            </w:pPr>
            <w:hyperlink r:id="rId215">
              <w:r>
                <w:rPr>
                  <w:rFonts w:ascii="Arial" w:cs="Arial" w:eastAsia="Arial" w:hAnsi="Arial"/>
                  <w:sz w:val="18"/>
                  <w:szCs w:val="18"/>
                  <w:color w:val="0000FF"/>
                  <w:w w:val="94"/>
                </w:rPr>
                <w:t>BMR-Landmark at Eastview IV LLC and the Registrant. (Incorporated by reference from the Form 10-K for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40" w:type="dxa"/>
            <w:vAlign w:val="bottom"/>
            <w:gridSpan w:val="38"/>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Registrant, for the year ended December 31, 2016, filed February 9,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10.25</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w w:val="96"/>
              </w:rPr>
            </w:pPr>
            <w:hyperlink r:id="rId216">
              <w:r>
                <w:rPr>
                  <w:rFonts w:ascii="Arial" w:cs="Arial" w:eastAsia="Arial" w:hAnsi="Arial"/>
                  <w:sz w:val="18"/>
                  <w:szCs w:val="18"/>
                  <w:color w:val="0000FF"/>
                  <w:w w:val="96"/>
                </w:rPr>
                <w:t>Amended and Restated Participation Agreement, dated as of May 2, 2019, by and among Old Saw Mill Holdings</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620" w:type="dxa"/>
            <w:vAlign w:val="bottom"/>
            <w:tcBorders>
              <w:top w:val="single" w:sz="8" w:color="0000FF"/>
              <w:right w:val="single" w:sz="8" w:color="CCEEFF"/>
            </w:tcBorders>
            <w:gridSpan w:val="41"/>
            <w:shd w:val="clear" w:color="auto" w:fill="CCEEFF"/>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LLC, as lessee; Bank of America, N.A., as administrative agent; BA Leasing BSC, LLC, as lessor; and the</w:t>
              </w:r>
            </w:hyperlink>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180" w:type="dxa"/>
            <w:vAlign w:val="bottom"/>
            <w:tcBorders>
              <w:top w:val="single" w:sz="8" w:color="0000FF"/>
              <w:bottom w:val="single" w:sz="8" w:color="0000FF"/>
            </w:tcBorders>
            <w:gridSpan w:val="20"/>
            <w:shd w:val="clear" w:color="auto" w:fill="CCEEFF"/>
          </w:tcPr>
          <w:p>
            <w:pPr>
              <w:spacing w:after="0" w:line="156" w:lineRule="exact"/>
              <w:rPr>
                <w:rFonts w:ascii="Arial" w:cs="Arial" w:eastAsia="Arial" w:hAnsi="Arial"/>
                <w:sz w:val="18"/>
                <w:szCs w:val="18"/>
                <w:color w:val="0000FF"/>
                <w:w w:val="94"/>
              </w:rPr>
            </w:pPr>
            <w:hyperlink r:id="rId216">
              <w:r>
                <w:rPr>
                  <w:rFonts w:ascii="Arial" w:cs="Arial" w:eastAsia="Arial" w:hAnsi="Arial"/>
                  <w:sz w:val="18"/>
                  <w:szCs w:val="18"/>
                  <w:color w:val="0000FF"/>
                  <w:w w:val="94"/>
                </w:rPr>
                <w:t>lenders party thereto from time to time. (Incorporated by reference from the Form 8-K for the Registrant, filed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0000FF"/>
            </w:tcBorders>
            <w:shd w:val="clear" w:color="auto" w:fill="CCEEFF"/>
          </w:tcPr>
          <w:p>
            <w:pPr>
              <w:spacing w:after="0" w:line="156" w:lineRule="exact"/>
              <w:rPr>
                <w:rFonts w:ascii="Arial" w:cs="Arial" w:eastAsia="Arial" w:hAnsi="Arial"/>
                <w:sz w:val="18"/>
                <w:szCs w:val="18"/>
                <w:color w:val="0000FF"/>
                <w:w w:val="90"/>
              </w:rPr>
            </w:pPr>
            <w:hyperlink r:id="rId216">
              <w:r>
                <w:rPr>
                  <w:rFonts w:ascii="Arial" w:cs="Arial" w:eastAsia="Arial" w:hAnsi="Arial"/>
                  <w:sz w:val="18"/>
                  <w:szCs w:val="18"/>
                  <w:color w:val="0000FF"/>
                  <w:w w:val="90"/>
                </w:rPr>
                <w:t>May 3, 2019.)</w:t>
              </w:r>
            </w:hyperlink>
          </w:p>
        </w:tc>
        <w:tc>
          <w:tcPr>
            <w:tcW w:w="7460" w:type="dxa"/>
            <w:vAlign w:val="bottom"/>
            <w:tcBorders>
              <w:bottom w:val="single" w:sz="8" w:color="CCEEFF"/>
            </w:tcBorders>
            <w:gridSpan w:val="34"/>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10.25.1</w:t>
            </w:r>
          </w:p>
        </w:tc>
        <w:tc>
          <w:tcPr>
            <w:tcW w:w="8620" w:type="dxa"/>
            <w:vAlign w:val="bottom"/>
            <w:gridSpan w:val="41"/>
          </w:tcPr>
          <w:p>
            <w:pPr>
              <w:spacing w:after="0" w:line="189" w:lineRule="exact"/>
              <w:rPr>
                <w:rFonts w:ascii="Arial" w:cs="Arial" w:eastAsia="Arial" w:hAnsi="Arial"/>
                <w:sz w:val="18"/>
                <w:szCs w:val="18"/>
                <w:color w:val="0000FF"/>
              </w:rPr>
            </w:pPr>
            <w:hyperlink w:anchor="page175">
              <w:r>
                <w:rPr>
                  <w:rFonts w:ascii="Arial" w:cs="Arial" w:eastAsia="Arial" w:hAnsi="Arial"/>
                  <w:sz w:val="18"/>
                  <w:szCs w:val="18"/>
                  <w:color w:val="0000FF"/>
                </w:rPr>
                <w:t>First Amendment to Amended and Restated Participation Agreement, dated as of October 6, 2021, by and</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20" w:type="dxa"/>
            <w:vAlign w:val="bottom"/>
            <w:tcBorders>
              <w:top w:val="single" w:sz="8" w:color="0000FF"/>
            </w:tcBorders>
            <w:gridSpan w:val="27"/>
          </w:tcPr>
          <w:p>
            <w:pPr>
              <w:spacing w:after="0" w:line="156" w:lineRule="exact"/>
              <w:rPr>
                <w:rFonts w:ascii="Arial" w:cs="Arial" w:eastAsia="Arial" w:hAnsi="Arial"/>
                <w:sz w:val="18"/>
                <w:szCs w:val="18"/>
                <w:color w:val="0000FF"/>
                <w:w w:val="96"/>
              </w:rPr>
            </w:pPr>
            <w:hyperlink w:anchor="page175">
              <w:r>
                <w:rPr>
                  <w:rFonts w:ascii="Arial" w:cs="Arial" w:eastAsia="Arial" w:hAnsi="Arial"/>
                  <w:sz w:val="18"/>
                  <w:szCs w:val="18"/>
                  <w:color w:val="0000FF"/>
                  <w:w w:val="96"/>
                </w:rPr>
                <w:t>among Old Saw Mill Holdings LLC, as lessee; the Registrant, as parent guarantor; certain subsidiaries of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4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w:anchor="page175">
              <w:r>
                <w:rPr>
                  <w:rFonts w:ascii="Arial" w:cs="Arial" w:eastAsia="Arial" w:hAnsi="Arial"/>
                  <w:sz w:val="18"/>
                  <w:szCs w:val="18"/>
                  <w:color w:val="0000FF"/>
                  <w:w w:val="92"/>
                </w:rPr>
                <w:t>Registrant, as subsidiary guarantors; BA Leasing BSC, LLC, as lessor; Bank of America, N.A., as administrative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175">
              <w:r>
                <w:rPr>
                  <w:rFonts w:ascii="Arial" w:cs="Arial" w:eastAsia="Arial" w:hAnsi="Arial"/>
                  <w:sz w:val="18"/>
                  <w:szCs w:val="18"/>
                  <w:color w:val="0000FF"/>
                </w:rPr>
                <w:t>agent; and the lenders party thereto.</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10.26</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rPr>
            </w:pPr>
            <w:hyperlink r:id="rId217">
              <w:r>
                <w:rPr>
                  <w:rFonts w:ascii="Arial" w:cs="Arial" w:eastAsia="Arial" w:hAnsi="Arial"/>
                  <w:sz w:val="18"/>
                  <w:szCs w:val="18"/>
                  <w:color w:val="0000FF"/>
                </w:rPr>
                <w:t>Amended and Restated Lease and Remedies Agreement, dated as of May 2, 2019, between Old Saw Mill</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160" w:type="dxa"/>
            <w:vAlign w:val="bottom"/>
            <w:tcBorders>
              <w:top w:val="single" w:sz="8" w:color="0000FF"/>
              <w:bottom w:val="single" w:sz="8" w:color="0000FF"/>
            </w:tcBorders>
            <w:gridSpan w:val="19"/>
            <w:shd w:val="clear" w:color="auto" w:fill="CCEEFF"/>
          </w:tcPr>
          <w:p>
            <w:pPr>
              <w:spacing w:after="0" w:line="156" w:lineRule="exact"/>
              <w:rPr>
                <w:rFonts w:ascii="Arial" w:cs="Arial" w:eastAsia="Arial" w:hAnsi="Arial"/>
                <w:sz w:val="18"/>
                <w:szCs w:val="18"/>
                <w:color w:val="0000FF"/>
                <w:w w:val="93"/>
              </w:rPr>
            </w:pPr>
            <w:hyperlink r:id="rId217">
              <w:r>
                <w:rPr>
                  <w:rFonts w:ascii="Arial" w:cs="Arial" w:eastAsia="Arial" w:hAnsi="Arial"/>
                  <w:sz w:val="18"/>
                  <w:szCs w:val="18"/>
                  <w:color w:val="0000FF"/>
                  <w:w w:val="93"/>
                </w:rPr>
                <w:t>Holdings LLC, as lessee, and BA Leasing BSC, LLC, as lessor. (Incorporated by reference from the Form 8-K</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740" w:type="dxa"/>
            <w:vAlign w:val="bottom"/>
            <w:tcBorders>
              <w:bottom w:val="single" w:sz="8" w:color="0000FF"/>
            </w:tcBorders>
            <w:gridSpan w:val="7"/>
            <w:shd w:val="clear" w:color="auto" w:fill="CCEEFF"/>
          </w:tcPr>
          <w:p>
            <w:pPr>
              <w:spacing w:after="0" w:line="15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for the Registrant, filed May 3, 2019.)</w:t>
              </w:r>
            </w:hyperlink>
          </w:p>
        </w:tc>
        <w:tc>
          <w:tcPr>
            <w:tcW w:w="5820" w:type="dxa"/>
            <w:vAlign w:val="bottom"/>
            <w:tcBorders>
              <w:bottom w:val="single" w:sz="8" w:color="CCEEFF"/>
            </w:tcBorders>
            <w:gridSpan w:val="3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10.27</w:t>
            </w:r>
          </w:p>
        </w:tc>
        <w:tc>
          <w:tcPr>
            <w:tcW w:w="8620" w:type="dxa"/>
            <w:vAlign w:val="bottom"/>
            <w:gridSpan w:val="41"/>
          </w:tcPr>
          <w:p>
            <w:pPr>
              <w:spacing w:after="0" w:line="189" w:lineRule="exact"/>
              <w:rPr>
                <w:rFonts w:ascii="Arial" w:cs="Arial" w:eastAsia="Arial" w:hAnsi="Arial"/>
                <w:sz w:val="18"/>
                <w:szCs w:val="18"/>
                <w:color w:val="0000FF"/>
              </w:rPr>
            </w:pPr>
            <w:hyperlink r:id="rId218">
              <w:r>
                <w:rPr>
                  <w:rFonts w:ascii="Arial" w:cs="Arial" w:eastAsia="Arial" w:hAnsi="Arial"/>
                  <w:sz w:val="18"/>
                  <w:szCs w:val="18"/>
                  <w:color w:val="0000FF"/>
                </w:rPr>
                <w:t>Amended and Restated Guaranty, dated as of May 2, 2019, made by Regeneron Pharmaceuticals, Inc.,</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218">
              <w:r>
                <w:rPr>
                  <w:rFonts w:ascii="Arial" w:cs="Arial" w:eastAsia="Arial" w:hAnsi="Arial"/>
                  <w:sz w:val="18"/>
                  <w:szCs w:val="18"/>
                  <w:color w:val="0000FF"/>
                  <w:w w:val="93"/>
                </w:rPr>
                <w:t>Regeneron Healthcare Solutions, Inc., and Regeneron Genetics Center LLC, as guarantors. (Incorporated by</w:t>
              </w:r>
            </w:hyperlink>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80" w:type="dxa"/>
            <w:vAlign w:val="bottom"/>
            <w:gridSpan w:val="30"/>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reference from the Form 8-K for the Registrant, filed May 3, 2019.)</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10.28</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w w:val="98"/>
              </w:rPr>
            </w:pPr>
            <w:hyperlink r:id="rId219">
              <w:r>
                <w:rPr>
                  <w:rFonts w:ascii="Arial" w:cs="Arial" w:eastAsia="Arial" w:hAnsi="Arial"/>
                  <w:sz w:val="18"/>
                  <w:szCs w:val="18"/>
                  <w:color w:val="0000FF"/>
                  <w:w w:val="98"/>
                </w:rPr>
                <w:t>Letter Agreement, dated as of January 7, 2018, by and among the Registrant, Sanofi, sanofi-aventis US LLC,</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w w:val="95"/>
              </w:rPr>
            </w:pPr>
            <w:hyperlink r:id="rId219">
              <w:r>
                <w:rPr>
                  <w:rFonts w:ascii="Arial" w:cs="Arial" w:eastAsia="Arial" w:hAnsi="Arial"/>
                  <w:sz w:val="18"/>
                  <w:szCs w:val="18"/>
                  <w:color w:val="0000FF"/>
                  <w:w w:val="95"/>
                </w:rPr>
                <w:t>Aventis Pharmaceuticals Inc., sanofi-aventis Amérique du Nord, and Sanofi Biotechnology SAS. (Incorporated</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w w:val="96"/>
              </w:rPr>
            </w:pPr>
            <w:hyperlink r:id="rId219">
              <w:r>
                <w:rPr>
                  <w:rFonts w:ascii="Arial" w:cs="Arial" w:eastAsia="Arial" w:hAnsi="Arial"/>
                  <w:sz w:val="18"/>
                  <w:szCs w:val="18"/>
                  <w:color w:val="0000FF"/>
                  <w:w w:val="96"/>
                </w:rPr>
                <w:t>by reference from the Form 10-Q for the Registrant, for the quarter ended March 31, 2018, filed May 3, 2018.)</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w:t>
            </w:r>
          </w:p>
        </w:tc>
        <w:tc>
          <w:tcPr>
            <w:tcW w:w="8620" w:type="dxa"/>
            <w:vAlign w:val="bottom"/>
            <w:gridSpan w:val="41"/>
          </w:tcPr>
          <w:p>
            <w:pPr>
              <w:spacing w:after="0" w:line="189" w:lineRule="exact"/>
              <w:rPr>
                <w:rFonts w:ascii="Arial" w:cs="Arial" w:eastAsia="Arial" w:hAnsi="Arial"/>
                <w:sz w:val="18"/>
                <w:szCs w:val="18"/>
                <w:color w:val="0000FF"/>
                <w:w w:val="96"/>
              </w:rPr>
            </w:pPr>
            <w:hyperlink r:id="rId220">
              <w:r>
                <w:rPr>
                  <w:rFonts w:ascii="Arial" w:cs="Arial" w:eastAsia="Arial" w:hAnsi="Arial"/>
                  <w:sz w:val="18"/>
                  <w:szCs w:val="18"/>
                  <w:color w:val="0000FF"/>
                  <w:w w:val="96"/>
                </w:rPr>
                <w:t>Master Agreement, dated as of April 8, 2019, by and between the Registrant and Alnylam Pharmaceuticals, Inc.</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20" w:type="dxa"/>
            <w:vAlign w:val="bottom"/>
            <w:tcBorders>
              <w:top w:val="single" w:sz="8" w:color="0000FF"/>
            </w:tcBorders>
            <w:gridSpan w:val="32"/>
          </w:tcPr>
          <w:p>
            <w:pPr>
              <w:spacing w:after="0" w:line="156" w:lineRule="exact"/>
              <w:rPr>
                <w:rFonts w:ascii="Arial" w:cs="Arial" w:eastAsia="Arial" w:hAnsi="Arial"/>
                <w:sz w:val="18"/>
                <w:szCs w:val="18"/>
                <w:color w:val="0000FF"/>
                <w:w w:val="97"/>
              </w:rPr>
            </w:pPr>
            <w:hyperlink r:id="rId220">
              <w:r>
                <w:rPr>
                  <w:rFonts w:ascii="Arial" w:cs="Arial" w:eastAsia="Arial" w:hAnsi="Arial"/>
                  <w:sz w:val="18"/>
                  <w:szCs w:val="18"/>
                  <w:color w:val="0000FF"/>
                  <w:w w:val="97"/>
                </w:rPr>
                <w:t>(Incorporated by reference from the Form 10-Q for the Registrant, for the quarter ended June 30, 2019, filed</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2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August 6, 2019.)</w:t>
              </w:r>
            </w:hyperlink>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10.29.1**</w:t>
            </w:r>
          </w:p>
        </w:tc>
        <w:tc>
          <w:tcPr>
            <w:tcW w:w="7420" w:type="dxa"/>
            <w:vAlign w:val="bottom"/>
            <w:tcBorders>
              <w:bottom w:val="single" w:sz="8" w:color="0000FF"/>
            </w:tcBorders>
            <w:gridSpan w:val="15"/>
            <w:shd w:val="clear" w:color="auto" w:fill="CCEEFF"/>
          </w:tcPr>
          <w:p>
            <w:pPr>
              <w:spacing w:after="0" w:line="189" w:lineRule="exact"/>
              <w:rPr>
                <w:rFonts w:ascii="Arial" w:cs="Arial" w:eastAsia="Arial" w:hAnsi="Arial"/>
                <w:sz w:val="18"/>
                <w:szCs w:val="18"/>
                <w:color w:val="0000FF"/>
                <w:w w:val="92"/>
              </w:rPr>
            </w:pPr>
            <w:hyperlink r:id="rId221">
              <w:r>
                <w:rPr>
                  <w:rFonts w:ascii="Arial" w:cs="Arial" w:eastAsia="Arial" w:hAnsi="Arial"/>
                  <w:sz w:val="18"/>
                  <w:szCs w:val="18"/>
                  <w:color w:val="0000FF"/>
                  <w:w w:val="92"/>
                </w:rPr>
                <w:t>Form of Co-Co Collaboration Agreement (Exhibit B to Master Agreement contained in Exhibit 10.29).</w:t>
              </w:r>
            </w:hyperlink>
          </w:p>
        </w:tc>
        <w:tc>
          <w:tcPr>
            <w:tcW w:w="1200" w:type="dxa"/>
            <w:vAlign w:val="bottom"/>
            <w:tcBorders>
              <w:bottom w:val="single" w:sz="8" w:color="CCEEFF"/>
              <w:right w:val="single" w:sz="8" w:color="CCEEFF"/>
            </w:tcBorders>
            <w:gridSpan w:val="26"/>
            <w:shd w:val="clear" w:color="auto" w:fill="CCEEFF"/>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10.29.2**</w:t>
            </w:r>
          </w:p>
        </w:tc>
        <w:tc>
          <w:tcPr>
            <w:tcW w:w="8620" w:type="dxa"/>
            <w:vAlign w:val="bottom"/>
            <w:gridSpan w:val="41"/>
          </w:tcPr>
          <w:p>
            <w:pPr>
              <w:spacing w:after="0" w:line="189" w:lineRule="exact"/>
              <w:rPr>
                <w:rFonts w:ascii="Arial" w:cs="Arial" w:eastAsia="Arial" w:hAnsi="Arial"/>
                <w:sz w:val="18"/>
                <w:szCs w:val="18"/>
                <w:color w:val="0000FF"/>
              </w:rPr>
            </w:pPr>
            <w:hyperlink r:id="rId222">
              <w:r>
                <w:rPr>
                  <w:rFonts w:ascii="Arial" w:cs="Arial" w:eastAsia="Arial" w:hAnsi="Arial"/>
                  <w:sz w:val="18"/>
                  <w:szCs w:val="18"/>
                  <w:color w:val="0000FF"/>
                </w:rPr>
                <w:t>Form of License Agreement (Exhibit C to Master Agreement contained in Exhibit 10.29).</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10.30**</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w w:val="99"/>
              </w:rPr>
            </w:pPr>
            <w:hyperlink r:id="rId223">
              <w:r>
                <w:rPr>
                  <w:rFonts w:ascii="Arial" w:cs="Arial" w:eastAsia="Arial" w:hAnsi="Arial"/>
                  <w:sz w:val="18"/>
                  <w:szCs w:val="18"/>
                  <w:color w:val="0000FF"/>
                  <w:w w:val="99"/>
                </w:rPr>
                <w:t>Investor Agreement, dated as of April 8, 2019, by and between the Registrant and Alnylam Pharmaceuticals,</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40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w w:val="93"/>
              </w:rPr>
            </w:pPr>
            <w:hyperlink r:id="rId223">
              <w:r>
                <w:rPr>
                  <w:rFonts w:ascii="Arial" w:cs="Arial" w:eastAsia="Arial" w:hAnsi="Arial"/>
                  <w:sz w:val="18"/>
                  <w:szCs w:val="18"/>
                  <w:color w:val="0000FF"/>
                  <w:w w:val="93"/>
                </w:rPr>
                <w:t>Inc. (Incorporated by reference from the Form 10-Q for the Registrant, for the quarter ended June 30, 2019, filed</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August 6, 2019.)</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10.31</w:t>
            </w:r>
          </w:p>
        </w:tc>
        <w:tc>
          <w:tcPr>
            <w:tcW w:w="8620" w:type="dxa"/>
            <w:vAlign w:val="bottom"/>
            <w:gridSpan w:val="41"/>
          </w:tcPr>
          <w:p>
            <w:pPr>
              <w:spacing w:after="0" w:line="189" w:lineRule="exact"/>
              <w:rPr>
                <w:rFonts w:ascii="Arial" w:cs="Arial" w:eastAsia="Arial" w:hAnsi="Arial"/>
                <w:sz w:val="18"/>
                <w:szCs w:val="18"/>
                <w:color w:val="0000FF"/>
              </w:rPr>
            </w:pPr>
            <w:hyperlink r:id="rId224">
              <w:r>
                <w:rPr>
                  <w:rFonts w:ascii="Arial" w:cs="Arial" w:eastAsia="Arial" w:hAnsi="Arial"/>
                  <w:sz w:val="18"/>
                  <w:szCs w:val="18"/>
                  <w:color w:val="0000FF"/>
                </w:rPr>
                <w:t>Stock  Purchase Agreement,  dated as of April 8,  2019, by and  between the Registrant and Alnylam</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20" w:type="dxa"/>
            <w:vAlign w:val="bottom"/>
            <w:tcBorders>
              <w:top w:val="single" w:sz="8" w:color="0000FF"/>
            </w:tcBorders>
            <w:gridSpan w:val="37"/>
          </w:tcPr>
          <w:p>
            <w:pPr>
              <w:spacing w:after="0" w:line="156" w:lineRule="exact"/>
              <w:rPr>
                <w:rFonts w:ascii="Arial" w:cs="Arial" w:eastAsia="Arial" w:hAnsi="Arial"/>
                <w:sz w:val="18"/>
                <w:szCs w:val="18"/>
                <w:color w:val="0000FF"/>
                <w:w w:val="97"/>
              </w:rPr>
            </w:pPr>
            <w:hyperlink r:id="rId224">
              <w:r>
                <w:rPr>
                  <w:rFonts w:ascii="Arial" w:cs="Arial" w:eastAsia="Arial" w:hAnsi="Arial"/>
                  <w:sz w:val="18"/>
                  <w:szCs w:val="18"/>
                  <w:color w:val="0000FF"/>
                  <w:w w:val="97"/>
                </w:rPr>
                <w:t>Pharmaceuticals, Inc. (Incorporated by reference from the Form 10-Q for the Registrant, for the quarter ended</w:t>
              </w:r>
            </w:hyperlink>
          </w:p>
        </w:tc>
        <w:tc>
          <w:tcPr>
            <w:tcW w:w="60" w:type="dxa"/>
            <w:vAlign w:val="bottom"/>
            <w:gridSpan w:val="3"/>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June 30, 2019, filed August 6, 2019.)</w:t>
              </w:r>
            </w:hyperlink>
          </w:p>
        </w:tc>
        <w:tc>
          <w:tcPr>
            <w:tcW w:w="40" w:type="dxa"/>
            <w:vAlign w:val="bottom"/>
            <w:gridSpan w:val="2"/>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10.32</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rPr>
            </w:pPr>
            <w:hyperlink r:id="rId225">
              <w:r>
                <w:rPr>
                  <w:rFonts w:ascii="Arial" w:cs="Arial" w:eastAsia="Arial" w:hAnsi="Arial"/>
                  <w:sz w:val="18"/>
                  <w:szCs w:val="18"/>
                  <w:color w:val="0000FF"/>
                </w:rPr>
                <w:t>Stock Repurchase Agreement, dated as of May 25, 2020, by and between the Registrant and Sanofi.</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2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(Incorporated by reference from the Form 8-K for the Registrant, filed May 29, 2020.)</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80" w:type="dxa"/>
            <w:vAlign w:val="bottom"/>
            <w:tcBorders>
              <w:top w:val="single" w:sz="8" w:color="CCEEFF"/>
            </w:tcBorders>
            <w:gridSpan w:val="14"/>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10.33**</w:t>
            </w:r>
          </w:p>
        </w:tc>
        <w:tc>
          <w:tcPr>
            <w:tcW w:w="8620" w:type="dxa"/>
            <w:vAlign w:val="bottom"/>
            <w:gridSpan w:val="41"/>
          </w:tcPr>
          <w:p>
            <w:pPr>
              <w:spacing w:after="0" w:line="189" w:lineRule="exact"/>
              <w:rPr>
                <w:rFonts w:ascii="Arial" w:cs="Arial" w:eastAsia="Arial" w:hAnsi="Arial"/>
                <w:sz w:val="18"/>
                <w:szCs w:val="18"/>
                <w:color w:val="0000FF"/>
              </w:rPr>
            </w:pPr>
            <w:hyperlink r:id="rId226">
              <w:r>
                <w:rPr>
                  <w:rFonts w:ascii="Arial" w:cs="Arial" w:eastAsia="Arial" w:hAnsi="Arial"/>
                  <w:sz w:val="18"/>
                  <w:szCs w:val="18"/>
                  <w:color w:val="0000FF"/>
                </w:rPr>
                <w:t>Base Agreement, dated as of July 6, 2020, by and between the Registrant and Advanced Technology</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International. (Incorporated by reference from the Form 10-Q for the Registrant, for the quarter ended</w:t>
              </w:r>
            </w:hyperlink>
          </w:p>
        </w:tc>
        <w:tc>
          <w:tcPr>
            <w:tcW w:w="280" w:type="dxa"/>
            <w:vAlign w:val="bottom"/>
            <w:tcBorders>
              <w:bottom w:val="single" w:sz="8" w:color="0000FF"/>
            </w:tcBorders>
            <w:gridSpan w:val="14"/>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80" w:type="dxa"/>
            <w:vAlign w:val="bottom"/>
            <w:gridSpan w:val="40"/>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September 30, 2020, filed November 5, 2020.)</w:t>
              </w:r>
            </w:hyperlink>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10.34**</w:t>
            </w:r>
          </w:p>
        </w:tc>
        <w:tc>
          <w:tcPr>
            <w:tcW w:w="8620" w:type="dxa"/>
            <w:vAlign w:val="bottom"/>
            <w:tcBorders>
              <w:right w:val="single" w:sz="8" w:color="CCEEFF"/>
            </w:tcBorders>
            <w:gridSpan w:val="41"/>
            <w:shd w:val="clear" w:color="auto" w:fill="CCEEFF"/>
          </w:tcPr>
          <w:p>
            <w:pPr>
              <w:spacing w:after="0" w:line="189" w:lineRule="exact"/>
              <w:rPr>
                <w:rFonts w:ascii="Arial" w:cs="Arial" w:eastAsia="Arial" w:hAnsi="Arial"/>
                <w:sz w:val="18"/>
                <w:szCs w:val="18"/>
                <w:color w:val="0000FF"/>
              </w:rPr>
            </w:pPr>
            <w:hyperlink r:id="rId227">
              <w:r>
                <w:rPr>
                  <w:rFonts w:ascii="Arial" w:cs="Arial" w:eastAsia="Arial" w:hAnsi="Arial"/>
                  <w:sz w:val="18"/>
                  <w:szCs w:val="18"/>
                  <w:color w:val="0000FF"/>
                </w:rPr>
                <w:t>Project Agreement, dated as of July 6, 2020, by and between the Registrant and Advanced Technology</w:t>
              </w:r>
            </w:hyperlink>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4"/>
              </w:rPr>
            </w:pPr>
            <w:hyperlink r:id="rId227">
              <w:r>
                <w:rPr>
                  <w:rFonts w:ascii="Arial" w:cs="Arial" w:eastAsia="Arial" w:hAnsi="Arial"/>
                  <w:sz w:val="18"/>
                  <w:szCs w:val="18"/>
                  <w:color w:val="0000FF"/>
                  <w:w w:val="94"/>
                </w:rPr>
                <w:t>International. (Incorporated by reference from the Form 10-K for the Registrant, for the year ended December</w:t>
              </w:r>
            </w:hyperlink>
          </w:p>
        </w:tc>
        <w:tc>
          <w:tcPr>
            <w:tcW w:w="420" w:type="dxa"/>
            <w:vAlign w:val="bottom"/>
            <w:tcBorders>
              <w:top w:val="single" w:sz="8" w:color="CCEEFF"/>
              <w:right w:val="single" w:sz="8" w:color="CCEEFF"/>
            </w:tcBorders>
            <w:gridSpan w:val="20"/>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18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31, 2020, filed February 8, 2021.)</w:t>
              </w:r>
            </w:hyperlink>
          </w:p>
        </w:tc>
        <w:tc>
          <w:tcPr>
            <w:tcW w:w="440" w:type="dxa"/>
            <w:vAlign w:val="bottom"/>
            <w:tcBorders>
              <w:top w:val="single" w:sz="8" w:color="CCEEFF"/>
              <w:right w:val="single" w:sz="8" w:color="CCEEFF"/>
            </w:tcBorders>
            <w:gridSpan w:val="21"/>
            <w:shd w:val="clear" w:color="auto" w:fill="CCEEFF"/>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2"/>
        </w:trPr>
        <w:tc>
          <w:tcPr>
            <w:tcW w:w="100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420" w:type="dxa"/>
            <w:vAlign w:val="bottom"/>
            <w:tcBorders>
              <w:top w:val="single" w:sz="8" w:color="0000FF"/>
            </w:tcBorders>
            <w:gridSpan w:val="3"/>
          </w:tcPr>
          <w:p>
            <w:pPr>
              <w:spacing w:after="0"/>
              <w:rPr>
                <w:sz w:val="24"/>
                <w:szCs w:val="24"/>
                <w:color w:val="auto"/>
              </w:rPr>
            </w:pPr>
          </w:p>
        </w:tc>
        <w:tc>
          <w:tcPr>
            <w:tcW w:w="1400" w:type="dxa"/>
            <w:vAlign w:val="bottom"/>
            <w:tcBorders>
              <w:top w:val="single" w:sz="8" w:color="CCEEFF"/>
            </w:tcBorders>
            <w:gridSpan w:val="6"/>
          </w:tcPr>
          <w:p>
            <w:pPr>
              <w:jc w:val="right"/>
              <w:ind w:right="160"/>
              <w:spacing w:after="0"/>
              <w:rPr>
                <w:sz w:val="20"/>
                <w:szCs w:val="20"/>
                <w:color w:val="auto"/>
              </w:rPr>
            </w:pPr>
            <w:r>
              <w:rPr>
                <w:rFonts w:ascii="Arial" w:cs="Arial" w:eastAsia="Arial" w:hAnsi="Arial"/>
                <w:sz w:val="18"/>
                <w:szCs w:val="18"/>
                <w:color w:val="auto"/>
              </w:rPr>
              <w:t>100</w:t>
            </w: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1">
              <w:r>
                <w:rPr>
                  <w:rFonts w:ascii="Arial" w:cs="Arial" w:eastAsia="Arial" w:hAnsi="Arial"/>
                  <w:sz w:val="16"/>
                  <w:szCs w:val="16"/>
                  <w:color w:val="0000FF"/>
                  <w:w w:val="90"/>
                </w:rPr>
                <w:t>Table of Contents</w:t>
              </w:r>
            </w:hyperlink>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2100" w:type="dxa"/>
            <w:vAlign w:val="bottom"/>
            <w:gridSpan w:val="3"/>
          </w:tcPr>
          <w:p>
            <w:pPr>
              <w:ind w:left="1020"/>
              <w:spacing w:after="0"/>
              <w:rPr>
                <w:sz w:val="20"/>
                <w:szCs w:val="20"/>
                <w:color w:val="auto"/>
              </w:rPr>
            </w:pPr>
            <w:r>
              <w:rPr>
                <w:rFonts w:ascii="Arial" w:cs="Arial" w:eastAsia="Arial" w:hAnsi="Arial"/>
                <w:sz w:val="18"/>
                <w:szCs w:val="18"/>
                <w:color w:val="auto"/>
              </w:rPr>
              <w:t>10.34.1</w:t>
            </w:r>
          </w:p>
        </w:tc>
        <w:tc>
          <w:tcPr>
            <w:tcW w:w="8340" w:type="dxa"/>
            <w:vAlign w:val="bottom"/>
            <w:gridSpan w:val="21"/>
          </w:tcPr>
          <w:p>
            <w:pPr>
              <w:spacing w:after="0"/>
              <w:rPr>
                <w:rFonts w:ascii="Arial" w:cs="Arial" w:eastAsia="Arial" w:hAnsi="Arial"/>
                <w:sz w:val="18"/>
                <w:szCs w:val="18"/>
                <w:color w:val="0000FF"/>
                <w:w w:val="96"/>
              </w:rPr>
            </w:pPr>
            <w:hyperlink r:id="rId230">
              <w:r>
                <w:rPr>
                  <w:rFonts w:ascii="Arial" w:cs="Arial" w:eastAsia="Arial" w:hAnsi="Arial"/>
                  <w:sz w:val="18"/>
                  <w:szCs w:val="18"/>
                  <w:color w:val="0000FF"/>
                  <w:w w:val="96"/>
                </w:rPr>
                <w:t>Modification No. 01 to Project Agreement, dated as of October 13, 2020, by and between the Registrant and</w:t>
              </w:r>
            </w:hyperlink>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18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230">
              <w:r>
                <w:rPr>
                  <w:rFonts w:ascii="Arial" w:cs="Arial" w:eastAsia="Arial" w:hAnsi="Arial"/>
                  <w:sz w:val="18"/>
                  <w:szCs w:val="18"/>
                  <w:color w:val="0000FF"/>
                  <w:w w:val="93"/>
                </w:rPr>
                <w:t>Advanced Technology International. (Incorporated by reference from the Form 10-K for the Registrant, for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80" w:type="dxa"/>
            <w:vAlign w:val="bottom"/>
            <w:tcBorders>
              <w:top w:val="single" w:sz="8" w:color="0000FF"/>
            </w:tcBorders>
            <w:gridSpan w:val="4"/>
          </w:tcPr>
          <w:p>
            <w:pPr>
              <w:spacing w:after="0" w:line="136" w:lineRule="exact"/>
              <w:rPr>
                <w:rFonts w:ascii="Arial" w:cs="Arial" w:eastAsia="Arial" w:hAnsi="Arial"/>
                <w:sz w:val="15"/>
                <w:szCs w:val="15"/>
                <w:color w:val="0000FF"/>
              </w:rPr>
            </w:pPr>
            <w:hyperlink r:id="rId230">
              <w:r>
                <w:rPr>
                  <w:rFonts w:ascii="Arial" w:cs="Arial" w:eastAsia="Arial" w:hAnsi="Arial"/>
                  <w:sz w:val="15"/>
                  <w:szCs w:val="15"/>
                  <w:color w:val="0000FF"/>
                </w:rPr>
                <w:t>year ended December 31, 2020, filed</w:t>
              </w:r>
            </w:hyperlink>
          </w:p>
        </w:tc>
        <w:tc>
          <w:tcPr>
            <w:tcW w:w="5460" w:type="dxa"/>
            <w:vAlign w:val="bottom"/>
            <w:tcBorders>
              <w:top w:val="single" w:sz="8" w:color="0000FF"/>
            </w:tcBorders>
            <w:gridSpan w:val="7"/>
          </w:tcPr>
          <w:p>
            <w:pPr>
              <w:ind w:left="20"/>
              <w:spacing w:after="0" w:line="136" w:lineRule="exact"/>
              <w:rPr>
                <w:rFonts w:ascii="Arial" w:cs="Arial" w:eastAsia="Arial" w:hAnsi="Arial"/>
                <w:sz w:val="15"/>
                <w:szCs w:val="15"/>
                <w:color w:val="0000FF"/>
              </w:rPr>
            </w:pPr>
            <w:hyperlink r:id="rId230">
              <w:r>
                <w:rPr>
                  <w:rFonts w:ascii="Arial" w:cs="Arial" w:eastAsia="Arial" w:hAnsi="Arial"/>
                  <w:sz w:val="15"/>
                  <w:szCs w:val="15"/>
                  <w:color w:val="0000FF"/>
                </w:rPr>
                <w:t>February 8, 2021.)</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10.34.2**</w:t>
            </w:r>
          </w:p>
        </w:tc>
        <w:tc>
          <w:tcPr>
            <w:tcW w:w="8340" w:type="dxa"/>
            <w:vAlign w:val="bottom"/>
            <w:gridSpan w:val="21"/>
            <w:shd w:val="clear" w:color="auto" w:fill="CCEEFF"/>
          </w:tcPr>
          <w:p>
            <w:pPr>
              <w:spacing w:after="0" w:line="189" w:lineRule="exact"/>
              <w:rPr>
                <w:rFonts w:ascii="Arial" w:cs="Arial" w:eastAsia="Arial" w:hAnsi="Arial"/>
                <w:sz w:val="18"/>
                <w:szCs w:val="18"/>
                <w:color w:val="0000FF"/>
                <w:w w:val="94"/>
              </w:rPr>
            </w:pPr>
            <w:hyperlink r:id="rId231">
              <w:r>
                <w:rPr>
                  <w:rFonts w:ascii="Arial" w:cs="Arial" w:eastAsia="Arial" w:hAnsi="Arial"/>
                  <w:sz w:val="18"/>
                  <w:szCs w:val="18"/>
                  <w:color w:val="0000FF"/>
                  <w:w w:val="94"/>
                </w:rPr>
                <w:t>Modification No. 02 to Project Agreement, dated as of November 17, 2020, by and between the Registrant and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4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4"/>
              </w:rPr>
            </w:pPr>
            <w:hyperlink r:id="rId231">
              <w:r>
                <w:rPr>
                  <w:rFonts w:ascii="Arial" w:cs="Arial" w:eastAsia="Arial" w:hAnsi="Arial"/>
                  <w:sz w:val="18"/>
                  <w:szCs w:val="18"/>
                  <w:color w:val="0000FF"/>
                  <w:w w:val="94"/>
                </w:rPr>
                <w:t>Advanced Technology International. (Incorporated by reference from the Form 10-K for the Registrant, for the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4040" w:type="dxa"/>
            <w:vAlign w:val="bottom"/>
            <w:tcBorders>
              <w:top w:val="single" w:sz="8" w:color="0000FF"/>
              <w:bottom w:val="single" w:sz="8" w:color="0000FF"/>
            </w:tcBorders>
            <w:gridSpan w:val="6"/>
            <w:shd w:val="clear" w:color="auto" w:fill="CCEEFF"/>
          </w:tcPr>
          <w:p>
            <w:pPr>
              <w:spacing w:after="0" w:line="156" w:lineRule="exact"/>
              <w:rPr>
                <w:rFonts w:ascii="Arial" w:cs="Arial" w:eastAsia="Arial" w:hAnsi="Arial"/>
                <w:sz w:val="18"/>
                <w:szCs w:val="18"/>
                <w:color w:val="0000FF"/>
                <w:w w:val="89"/>
              </w:rPr>
            </w:pPr>
            <w:hyperlink r:id="rId231">
              <w:r>
                <w:rPr>
                  <w:rFonts w:ascii="Arial" w:cs="Arial" w:eastAsia="Arial" w:hAnsi="Arial"/>
                  <w:sz w:val="18"/>
                  <w:szCs w:val="18"/>
                  <w:color w:val="0000FF"/>
                  <w:w w:val="89"/>
                </w:rPr>
                <w:t>year ended December 31, 2020, filed February 8, 2021.)</w:t>
              </w:r>
            </w:hyperlink>
          </w:p>
        </w:tc>
        <w:tc>
          <w:tcPr>
            <w:tcW w:w="410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10.35**</w:t>
            </w:r>
          </w:p>
        </w:tc>
        <w:tc>
          <w:tcPr>
            <w:tcW w:w="8340" w:type="dxa"/>
            <w:vAlign w:val="bottom"/>
            <w:gridSpan w:val="21"/>
          </w:tcPr>
          <w:p>
            <w:pPr>
              <w:spacing w:after="0" w:line="189" w:lineRule="exact"/>
              <w:rPr>
                <w:rFonts w:ascii="Arial" w:cs="Arial" w:eastAsia="Arial" w:hAnsi="Arial"/>
                <w:sz w:val="18"/>
                <w:szCs w:val="18"/>
                <w:color w:val="0000FF"/>
                <w:w w:val="94"/>
              </w:rPr>
            </w:pPr>
            <w:hyperlink r:id="rId232">
              <w:r>
                <w:rPr>
                  <w:rFonts w:ascii="Arial" w:cs="Arial" w:eastAsia="Arial" w:hAnsi="Arial"/>
                  <w:sz w:val="18"/>
                  <w:szCs w:val="18"/>
                  <w:color w:val="0000FF"/>
                  <w:w w:val="94"/>
                </w:rPr>
                <w:t>License Agreement, dated as of August 18, 2020, by and among the Registrant, F. Hoffman-La Roche Ltd, and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80" w:type="dxa"/>
            <w:vAlign w:val="bottom"/>
            <w:tcBorders>
              <w:top w:val="single" w:sz="8" w:color="0000FF"/>
            </w:tcBorders>
            <w:gridSpan w:val="18"/>
          </w:tcPr>
          <w:p>
            <w:pPr>
              <w:spacing w:after="0" w:line="156"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Genentech, Inc. (Incorporated by reference from the Form 10-Q for the Registrant,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September 30, 2020, filed November 5,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10.36**</w:t>
            </w:r>
          </w:p>
        </w:tc>
        <w:tc>
          <w:tcPr>
            <w:tcW w:w="8340" w:type="dxa"/>
            <w:vAlign w:val="bottom"/>
            <w:gridSpan w:val="21"/>
            <w:shd w:val="clear" w:color="auto" w:fill="CCEEFF"/>
          </w:tcPr>
          <w:p>
            <w:pPr>
              <w:spacing w:after="0" w:line="189" w:lineRule="exact"/>
              <w:rPr>
                <w:rFonts w:ascii="Arial" w:cs="Arial" w:eastAsia="Arial" w:hAnsi="Arial"/>
                <w:sz w:val="18"/>
                <w:szCs w:val="18"/>
                <w:color w:val="0000FF"/>
                <w:w w:val="93"/>
              </w:rPr>
            </w:pPr>
            <w:hyperlink r:id="rId233">
              <w:r>
                <w:rPr>
                  <w:rFonts w:ascii="Arial" w:cs="Arial" w:eastAsia="Arial" w:hAnsi="Arial"/>
                  <w:sz w:val="18"/>
                  <w:szCs w:val="18"/>
                  <w:color w:val="0000FF"/>
                  <w:w w:val="93"/>
                </w:rPr>
                <w:t>Supply Agreement, dated as of January 12, 2021, by and between the Registrant and the U.S. Army Contracting</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12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0"/>
              </w:rPr>
            </w:pPr>
            <w:hyperlink r:id="rId233">
              <w:r>
                <w:rPr>
                  <w:rFonts w:ascii="Arial" w:cs="Arial" w:eastAsia="Arial" w:hAnsi="Arial"/>
                  <w:sz w:val="18"/>
                  <w:szCs w:val="18"/>
                  <w:color w:val="0000FF"/>
                  <w:w w:val="90"/>
                </w:rPr>
                <w:t>Command, New Jersey. (Incorporated by reference from the Form 10-Q for the Registrant, for the quarter ended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233">
              <w:r>
                <w:rPr>
                  <w:rFonts w:ascii="Arial" w:cs="Arial" w:eastAsia="Arial" w:hAnsi="Arial"/>
                  <w:sz w:val="18"/>
                  <w:szCs w:val="18"/>
                  <w:color w:val="0000FF"/>
                  <w:w w:val="91"/>
                </w:rPr>
                <w:t>March 31, 2021, filed May 6, 2021.)</w:t>
              </w:r>
            </w:hyperlink>
          </w:p>
        </w:tc>
        <w:tc>
          <w:tcPr>
            <w:tcW w:w="5700" w:type="dxa"/>
            <w:vAlign w:val="bottom"/>
            <w:tcBorders>
              <w:bottom w:val="single" w:sz="8" w:color="CCEEFF"/>
            </w:tcBorders>
            <w:gridSpan w:val="17"/>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10.36.1**</w:t>
            </w:r>
          </w:p>
        </w:tc>
        <w:tc>
          <w:tcPr>
            <w:tcW w:w="8340" w:type="dxa"/>
            <w:vAlign w:val="bottom"/>
            <w:gridSpan w:val="21"/>
          </w:tcPr>
          <w:p>
            <w:pPr>
              <w:spacing w:after="0" w:line="189" w:lineRule="exact"/>
              <w:rPr>
                <w:rFonts w:ascii="Arial" w:cs="Arial" w:eastAsia="Arial" w:hAnsi="Arial"/>
                <w:sz w:val="18"/>
                <w:szCs w:val="18"/>
                <w:color w:val="0000FF"/>
                <w:w w:val="96"/>
              </w:rPr>
            </w:pPr>
            <w:hyperlink r:id="rId234">
              <w:r>
                <w:rPr>
                  <w:rFonts w:ascii="Arial" w:cs="Arial" w:eastAsia="Arial" w:hAnsi="Arial"/>
                  <w:sz w:val="18"/>
                  <w:szCs w:val="18"/>
                  <w:color w:val="0000FF"/>
                  <w:w w:val="96"/>
                </w:rPr>
                <w:t>Modification P00004 to Supply Agreement, dated as of July 26, 2021, by and between the Registrant and 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U.S. Army Contracting Command, New Jersey. (Incorporated by reference from the Form 10-Q for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Registrant, for the quarter ended September 30, 2021, filed November 4, 2021.)</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10.36.2**</w:t>
            </w:r>
          </w:p>
        </w:tc>
        <w:tc>
          <w:tcPr>
            <w:tcW w:w="8340" w:type="dxa"/>
            <w:vAlign w:val="bottom"/>
            <w:gridSpan w:val="21"/>
            <w:shd w:val="clear" w:color="auto" w:fill="CCEEFF"/>
          </w:tcPr>
          <w:p>
            <w:pPr>
              <w:spacing w:after="0" w:line="189" w:lineRule="exact"/>
              <w:rPr>
                <w:rFonts w:ascii="Arial" w:cs="Arial" w:eastAsia="Arial" w:hAnsi="Arial"/>
                <w:sz w:val="18"/>
                <w:szCs w:val="18"/>
                <w:color w:val="0000FF"/>
                <w:w w:val="93"/>
              </w:rPr>
            </w:pPr>
            <w:hyperlink r:id="rId235">
              <w:r>
                <w:rPr>
                  <w:rFonts w:ascii="Arial" w:cs="Arial" w:eastAsia="Arial" w:hAnsi="Arial"/>
                  <w:sz w:val="18"/>
                  <w:szCs w:val="18"/>
                  <w:color w:val="0000FF"/>
                  <w:w w:val="93"/>
                </w:rPr>
                <w:t>Modification P00005 to Supply Agreement, dated as of September 14, 2021, by and between the Registrant and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0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8"/>
              </w:rPr>
            </w:pPr>
            <w:hyperlink r:id="rId235">
              <w:r>
                <w:rPr>
                  <w:rFonts w:ascii="Arial" w:cs="Arial" w:eastAsia="Arial" w:hAnsi="Arial"/>
                  <w:sz w:val="18"/>
                  <w:szCs w:val="18"/>
                  <w:color w:val="0000FF"/>
                  <w:w w:val="98"/>
                </w:rPr>
                <w:t>the U.S. Army Contracting Command, New Jersey. (Incorporated by reference from the Form 10-Q for the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16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Registrant, for the quarter ended September 30, 2021, filed November 4, 2021.)</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21.1</w:t>
            </w:r>
          </w:p>
        </w:tc>
        <w:tc>
          <w:tcPr>
            <w:tcW w:w="5720" w:type="dxa"/>
            <w:vAlign w:val="bottom"/>
            <w:tcBorders>
              <w:top w:val="single" w:sz="8" w:color="0000FF"/>
            </w:tcBorders>
            <w:gridSpan w:val="7"/>
          </w:tcPr>
          <w:p>
            <w:pPr>
              <w:spacing w:after="0" w:line="189" w:lineRule="exact"/>
              <w:rPr>
                <w:rFonts w:ascii="Arial" w:cs="Arial" w:eastAsia="Arial" w:hAnsi="Arial"/>
                <w:sz w:val="18"/>
                <w:szCs w:val="18"/>
                <w:color w:val="0000FF"/>
              </w:rPr>
            </w:pPr>
            <w:hyperlink w:anchor="page194">
              <w:r>
                <w:rPr>
                  <w:rFonts w:ascii="Arial" w:cs="Arial" w:eastAsia="Arial" w:hAnsi="Arial"/>
                  <w:sz w:val="18"/>
                  <w:szCs w:val="18"/>
                  <w:color w:val="0000FF"/>
                </w:rPr>
                <w:t>Subsidiaries of the Registrant.</w:t>
              </w:r>
            </w:hyperlink>
          </w:p>
        </w:tc>
        <w:tc>
          <w:tcPr>
            <w:tcW w:w="2620" w:type="dxa"/>
            <w:vAlign w:val="bottom"/>
            <w:tcBorders>
              <w:top w:val="single" w:sz="8" w:color="CCEEFF"/>
            </w:tcBorders>
            <w:gridSpan w:val="1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23.1</w:t>
            </w:r>
          </w:p>
        </w:tc>
        <w:tc>
          <w:tcPr>
            <w:tcW w:w="6580" w:type="dxa"/>
            <w:vAlign w:val="bottom"/>
            <w:tcBorders>
              <w:bottom w:val="single" w:sz="8" w:color="0000FF"/>
            </w:tcBorders>
            <w:gridSpan w:val="9"/>
            <w:shd w:val="clear" w:color="auto" w:fill="CCEEFF"/>
          </w:tcPr>
          <w:p>
            <w:pPr>
              <w:spacing w:after="0" w:line="189" w:lineRule="exact"/>
              <w:rPr>
                <w:rFonts w:ascii="Arial" w:cs="Arial" w:eastAsia="Arial" w:hAnsi="Arial"/>
                <w:sz w:val="18"/>
                <w:szCs w:val="18"/>
                <w:color w:val="0000FF"/>
                <w:w w:val="90"/>
              </w:rPr>
            </w:pPr>
            <w:hyperlink w:anchor="page195">
              <w:r>
                <w:rPr>
                  <w:rFonts w:ascii="Arial" w:cs="Arial" w:eastAsia="Arial" w:hAnsi="Arial"/>
                  <w:sz w:val="18"/>
                  <w:szCs w:val="18"/>
                  <w:color w:val="0000FF"/>
                  <w:w w:val="90"/>
                </w:rPr>
                <w:t>Consent of PricewaterhouseCoopers LLP, Independent Registered Public Accounting Firm.</w:t>
              </w:r>
            </w:hyperlink>
          </w:p>
        </w:tc>
        <w:tc>
          <w:tcPr>
            <w:tcW w:w="1760" w:type="dxa"/>
            <w:vAlign w:val="bottom"/>
            <w:tcBorders>
              <w:bottom w:val="single" w:sz="8" w:color="CCEEFF"/>
            </w:tcBorders>
            <w:gridSpan w:val="1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24.1</w:t>
            </w:r>
          </w:p>
        </w:tc>
        <w:tc>
          <w:tcPr>
            <w:tcW w:w="8340" w:type="dxa"/>
            <w:vAlign w:val="bottom"/>
            <w:gridSpan w:val="21"/>
          </w:tcPr>
          <w:p>
            <w:pPr>
              <w:spacing w:after="0" w:line="189" w:lineRule="exact"/>
              <w:rPr>
                <w:rFonts w:ascii="Arial" w:cs="Arial" w:eastAsia="Arial" w:hAnsi="Arial"/>
                <w:sz w:val="18"/>
                <w:szCs w:val="18"/>
                <w:color w:val="0000FF"/>
              </w:rPr>
            </w:pPr>
            <w:hyperlink w:anchor="page102">
              <w:r>
                <w:rPr>
                  <w:rFonts w:ascii="Arial" w:cs="Arial" w:eastAsia="Arial" w:hAnsi="Arial"/>
                  <w:sz w:val="18"/>
                  <w:szCs w:val="18"/>
                  <w:color w:val="0000FF"/>
                </w:rPr>
                <w:t>Power of Attorney (included on the signature page of this Annual Report on Form 10-K).</w:t>
              </w:r>
            </w:hyperlink>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8340" w:type="dxa"/>
            <w:vAlign w:val="bottom"/>
            <w:gridSpan w:val="21"/>
            <w:shd w:val="clear" w:color="auto" w:fill="CCEEFF"/>
          </w:tcPr>
          <w:p>
            <w:pPr>
              <w:spacing w:after="0" w:line="189" w:lineRule="exact"/>
              <w:rPr>
                <w:rFonts w:ascii="Arial" w:cs="Arial" w:eastAsia="Arial" w:hAnsi="Arial"/>
                <w:sz w:val="18"/>
                <w:szCs w:val="18"/>
                <w:color w:val="0000FF"/>
                <w:w w:val="97"/>
              </w:rPr>
            </w:pPr>
            <w:hyperlink w:anchor="page196">
              <w:r>
                <w:rPr>
                  <w:rFonts w:ascii="Arial" w:cs="Arial" w:eastAsia="Arial" w:hAnsi="Arial"/>
                  <w:sz w:val="18"/>
                  <w:szCs w:val="18"/>
                  <w:color w:val="0000FF"/>
                  <w:w w:val="97"/>
                </w:rPr>
                <w:t>Certification of Principal Executive Officer pursuant to Rule 13a-14(a) under the Securities Exchange Act of</w:t>
              </w:r>
            </w:hyperlink>
          </w:p>
        </w:tc>
        <w:tc>
          <w:tcPr>
            <w:tcW w:w="0" w:type="dxa"/>
            <w:vAlign w:val="bottom"/>
          </w:tcPr>
          <w:p>
            <w:pPr>
              <w:spacing w:after="0"/>
              <w:rPr>
                <w:sz w:val="1"/>
                <w:szCs w:val="1"/>
                <w:color w:val="auto"/>
              </w:rPr>
            </w:pPr>
          </w:p>
        </w:tc>
      </w:tr>
      <w:tr>
        <w:trPr>
          <w:trHeight w:val="181"/>
        </w:trPr>
        <w:tc>
          <w:tcPr>
            <w:tcW w:w="1000" w:type="dxa"/>
            <w:vAlign w:val="bottom"/>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4"/>
              </w:rPr>
            </w:pPr>
            <w:hyperlink w:anchor="page196">
              <w:r>
                <w:rPr>
                  <w:rFonts w:ascii="Arial" w:cs="Arial" w:eastAsia="Arial" w:hAnsi="Arial"/>
                  <w:sz w:val="18"/>
                  <w:szCs w:val="18"/>
                  <w:color w:val="0000FF"/>
                  <w:w w:val="84"/>
                </w:rPr>
                <w:t>1934.</w:t>
              </w:r>
            </w:hyperlink>
          </w:p>
        </w:tc>
        <w:tc>
          <w:tcPr>
            <w:tcW w:w="176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660" w:type="dxa"/>
            <w:vAlign w:val="bottom"/>
            <w:tcBorders>
              <w:top w:val="single" w:sz="8" w:color="0000FF"/>
              <w:bottom w:val="single" w:sz="8" w:color="CCEEFF"/>
            </w:tcBorders>
            <w:shd w:val="clear" w:color="auto" w:fill="CCEEFF"/>
          </w:tcPr>
          <w:p>
            <w:pPr>
              <w:spacing w:after="0"/>
              <w:rPr>
                <w:sz w:val="15"/>
                <w:szCs w:val="15"/>
                <w:color w:val="auto"/>
              </w:rPr>
            </w:pPr>
          </w:p>
        </w:tc>
        <w:tc>
          <w:tcPr>
            <w:tcW w:w="700" w:type="dxa"/>
            <w:vAlign w:val="bottom"/>
            <w:tcBorders>
              <w:top w:val="single" w:sz="8" w:color="0000FF"/>
              <w:bottom w:val="single" w:sz="8" w:color="CCEEFF"/>
            </w:tcBorders>
            <w:shd w:val="clear" w:color="auto" w:fill="CCEEFF"/>
          </w:tcPr>
          <w:p>
            <w:pPr>
              <w:spacing w:after="0"/>
              <w:rPr>
                <w:sz w:val="15"/>
                <w:szCs w:val="15"/>
                <w:color w:val="auto"/>
              </w:rPr>
            </w:pPr>
          </w:p>
        </w:tc>
        <w:tc>
          <w:tcPr>
            <w:tcW w:w="1680" w:type="dxa"/>
            <w:vAlign w:val="bottom"/>
            <w:tcBorders>
              <w:top w:val="single" w:sz="8" w:color="0000FF"/>
              <w:bottom w:val="single" w:sz="8" w:color="CCEEFF"/>
            </w:tcBorders>
            <w:shd w:val="clear" w:color="auto" w:fill="CCEEFF"/>
          </w:tcPr>
          <w:p>
            <w:pPr>
              <w:spacing w:after="0"/>
              <w:rPr>
                <w:sz w:val="15"/>
                <w:szCs w:val="15"/>
                <w:color w:val="auto"/>
              </w:rPr>
            </w:pPr>
          </w:p>
        </w:tc>
        <w:tc>
          <w:tcPr>
            <w:tcW w:w="70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15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31.2</w:t>
            </w:r>
          </w:p>
        </w:tc>
        <w:tc>
          <w:tcPr>
            <w:tcW w:w="8340" w:type="dxa"/>
            <w:vAlign w:val="bottom"/>
            <w:tcBorders>
              <w:top w:val="single" w:sz="8" w:color="CCEEFF"/>
            </w:tcBorders>
            <w:gridSpan w:val="21"/>
          </w:tcPr>
          <w:p>
            <w:pPr>
              <w:spacing w:after="0" w:line="189" w:lineRule="exact"/>
              <w:rPr>
                <w:rFonts w:ascii="Arial" w:cs="Arial" w:eastAsia="Arial" w:hAnsi="Arial"/>
                <w:sz w:val="18"/>
                <w:szCs w:val="18"/>
                <w:color w:val="0000FF"/>
                <w:w w:val="98"/>
              </w:rPr>
            </w:pPr>
            <w:hyperlink w:anchor="page197">
              <w:r>
                <w:rPr>
                  <w:rFonts w:ascii="Arial" w:cs="Arial" w:eastAsia="Arial" w:hAnsi="Arial"/>
                  <w:sz w:val="18"/>
                  <w:szCs w:val="18"/>
                  <w:color w:val="0000FF"/>
                  <w:w w:val="98"/>
                </w:rPr>
                <w:t>Certification of Principal Financial Officer pursuant to Rule 13a-14(a) under the Securities Exchange Act of</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97">
              <w:r>
                <w:rPr>
                  <w:rFonts w:ascii="Arial" w:cs="Arial" w:eastAsia="Arial" w:hAnsi="Arial"/>
                  <w:sz w:val="18"/>
                  <w:szCs w:val="18"/>
                  <w:color w:val="0000FF"/>
                  <w:w w:val="84"/>
                </w:rPr>
                <w:t>1934.</w:t>
              </w:r>
            </w:hyperlink>
          </w:p>
        </w:tc>
        <w:tc>
          <w:tcPr>
            <w:tcW w:w="17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100" w:hanging="1089"/>
        <w:spacing w:after="0"/>
        <w:tabs>
          <w:tab w:leader="none" w:pos="2100" w:val="left"/>
        </w:tabs>
        <w:numPr>
          <w:ilvl w:val="0"/>
          <w:numId w:val="39"/>
        </w:numPr>
        <w:rPr>
          <w:rFonts w:ascii="Arial" w:cs="Arial" w:eastAsia="Arial" w:hAnsi="Arial"/>
          <w:sz w:val="16"/>
          <w:szCs w:val="16"/>
          <w:u w:val="single" w:color="auto"/>
          <w:color w:val="0000FF"/>
        </w:rPr>
      </w:pPr>
      <w:hyperlink w:anchor="page198">
        <w:r>
          <w:rPr>
            <w:rFonts w:ascii="Arial" w:cs="Arial" w:eastAsia="Arial" w:hAnsi="Arial"/>
            <w:sz w:val="16"/>
            <w:szCs w:val="16"/>
            <w:u w:val="single" w:color="auto"/>
            <w:color w:val="0000FF"/>
          </w:rPr>
          <w:t>Certification of Principal Executive Officer and Principal Financial Officer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-115570</wp:posOffset>
            </wp:positionV>
            <wp:extent cx="588073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6">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spacing w:after="0" w:line="26" w:lineRule="exact"/>
        <w:rPr>
          <w:sz w:val="20"/>
          <w:szCs w:val="20"/>
          <w:color w:val="auto"/>
        </w:rPr>
      </w:pPr>
    </w:p>
    <w:p>
      <w:pPr>
        <w:jc w:val="both"/>
        <w:ind w:left="2100" w:right="20" w:hanging="1089"/>
        <w:spacing w:after="0" w:line="238" w:lineRule="auto"/>
        <w:tabs>
          <w:tab w:leader="none" w:pos="2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Consolidated Balance Sheets as of December 31, 2021 and 2020;</w:t>
      </w:r>
    </w:p>
    <w:p>
      <w:pPr>
        <w:spacing w:after="0" w:line="1" w:lineRule="exact"/>
        <w:rPr>
          <w:rFonts w:ascii="Arial" w:cs="Arial" w:eastAsia="Arial" w:hAnsi="Arial"/>
          <w:sz w:val="16"/>
          <w:szCs w:val="16"/>
          <w:color w:val="auto"/>
        </w:rPr>
      </w:pPr>
    </w:p>
    <w:p>
      <w:pPr>
        <w:jc w:val="both"/>
        <w:ind w:left="2100" w:right="20" w:hanging="9"/>
        <w:spacing w:after="0" w:line="212" w:lineRule="auto"/>
        <w:tabs>
          <w:tab w:leader="none" w:pos="23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Registrant's Consolidated Statements of Operations and Comprehensive Income for the years ended December 31, 2021, 2020, and 2019; (iii) the Registrant's Consolidated Statements of Stockholders’ Equity for the years ended December 31, 2021, 2020, and 2019; (iv) the Registrant's Consolidated Statements of Cash Flows for the years ended December 31, 2021, 2020, and 2019; and (v) the notes to the Registrant's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1270</wp:posOffset>
            </wp:positionV>
            <wp:extent cx="588073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7">
                      <a:extLst>
                        <a:ext uri="{28A0092B-C50C-407E-A947-70E740481C1C}"/>
                      </a:extLst>
                    </a:blip>
                    <a:srcRect/>
                    <a:stretch>
                      <a:fillRect/>
                    </a:stretch>
                  </pic:blipFill>
                  <pic:spPr bwMode="auto">
                    <a:xfrm>
                      <a:off x="0" y="0"/>
                      <a:ext cx="5880735" cy="146050"/>
                    </a:xfrm>
                    <a:prstGeom prst="rect">
                      <a:avLst/>
                    </a:prstGeom>
                    <a:noFill/>
                  </pic:spPr>
                </pic:pic>
              </a:graphicData>
            </a:graphic>
          </wp:anchor>
        </w:drawing>
      </w:r>
    </w:p>
    <w:p>
      <w:pPr>
        <w:ind w:left="2100" w:hanging="1089"/>
        <w:spacing w:after="0"/>
        <w:tabs>
          <w:tab w:leader="none" w:pos="2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_______</w:t>
      </w:r>
    </w:p>
    <w:p>
      <w:pPr>
        <w:spacing w:after="0" w:line="197" w:lineRule="exact"/>
        <w:rPr>
          <w:rFonts w:ascii="Arial" w:cs="Arial" w:eastAsia="Arial" w:hAnsi="Arial"/>
          <w:sz w:val="18"/>
          <w:szCs w:val="18"/>
          <w:color w:val="auto"/>
        </w:rPr>
      </w:pPr>
    </w:p>
    <w:p>
      <w:pPr>
        <w:ind w:left="1920" w:right="200" w:hanging="126"/>
        <w:spacing w:after="0" w:line="216"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6"/>
          <w:szCs w:val="16"/>
          <w:color w:val="auto"/>
        </w:rPr>
        <w:t>Portions of this document have been omitted and filed separately with the Commission pursuant to requests for confidential</w:t>
      </w:r>
      <w:r>
        <w:rPr>
          <w:rFonts w:ascii="Arial" w:cs="Arial" w:eastAsia="Arial" w:hAnsi="Arial"/>
          <w:sz w:val="18"/>
          <w:szCs w:val="18"/>
          <w:color w:val="auto"/>
        </w:rPr>
        <w:t xml:space="preserve"> </w:t>
      </w:r>
      <w:r>
        <w:rPr>
          <w:rFonts w:ascii="Arial" w:cs="Arial" w:eastAsia="Arial" w:hAnsi="Arial"/>
          <w:sz w:val="16"/>
          <w:szCs w:val="16"/>
          <w:color w:val="auto"/>
        </w:rPr>
        <w:t>treatment pursuant to Rule 24b-2</w:t>
      </w:r>
    </w:p>
    <w:p>
      <w:pPr>
        <w:spacing w:after="0" w:line="9" w:lineRule="exact"/>
        <w:rPr>
          <w:rFonts w:ascii="Arial" w:cs="Arial" w:eastAsia="Arial" w:hAnsi="Arial"/>
          <w:sz w:val="18"/>
          <w:szCs w:val="18"/>
          <w:color w:val="auto"/>
        </w:rPr>
      </w:pPr>
    </w:p>
    <w:p>
      <w:pPr>
        <w:ind w:left="1920" w:hanging="206"/>
        <w:spacing w:after="0"/>
        <w:tabs>
          <w:tab w:leader="none" w:pos="1920" w:val="left"/>
        </w:tabs>
        <w:numPr>
          <w:ilvl w:val="1"/>
          <w:numId w:val="42"/>
        </w:numPr>
        <w:rPr>
          <w:rFonts w:ascii="Arial" w:cs="Arial" w:eastAsia="Arial" w:hAnsi="Arial"/>
          <w:sz w:val="18"/>
          <w:szCs w:val="18"/>
          <w:color w:val="auto"/>
        </w:rPr>
      </w:pPr>
      <w:r>
        <w:rPr>
          <w:rFonts w:ascii="Arial" w:cs="Arial" w:eastAsia="Arial" w:hAnsi="Arial"/>
          <w:sz w:val="16"/>
          <w:szCs w:val="16"/>
          <w:color w:val="auto"/>
        </w:rPr>
        <w:t>Certain confidential portions of this exhibit were omitted in accordance with Item 601(b)(10) of Regulation S-K</w:t>
      </w:r>
    </w:p>
    <w:p>
      <w:pPr>
        <w:spacing w:after="0" w:line="23" w:lineRule="exact"/>
        <w:rPr>
          <w:sz w:val="20"/>
          <w:szCs w:val="20"/>
          <w:color w:val="auto"/>
        </w:rPr>
      </w:pPr>
    </w:p>
    <w:p>
      <w:pPr>
        <w:ind w:left="1920" w:hanging="128"/>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6"/>
          <w:szCs w:val="16"/>
          <w:color w:val="auto"/>
        </w:rPr>
        <w:t>Indicates a management contract or compensatory plan or arrangement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361" w:right="131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REGENERON PHARMACEUTICALS, INC.</w:t>
            </w:r>
          </w:p>
        </w:tc>
      </w:tr>
      <w:tr>
        <w:trPr>
          <w:trHeight w:val="479"/>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3620" w:type="dxa"/>
            <w:vAlign w:val="bottom"/>
          </w:tcPr>
          <w:p>
            <w:pPr>
              <w:ind w:left="180"/>
              <w:spacing w:after="0"/>
              <w:rPr>
                <w:sz w:val="20"/>
                <w:szCs w:val="20"/>
                <w:color w:val="auto"/>
              </w:rPr>
            </w:pPr>
            <w:r>
              <w:rPr>
                <w:rFonts w:ascii="Arial" w:cs="Arial" w:eastAsia="Arial" w:hAnsi="Arial"/>
                <w:sz w:val="18"/>
                <w:szCs w:val="18"/>
                <w:color w:val="auto"/>
              </w:rPr>
              <w:t>February 7, 2022</w:t>
            </w:r>
          </w:p>
        </w:tc>
        <w:tc>
          <w:tcPr>
            <w:tcW w:w="3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By:   /s/ LEONARD S. SCHLEIFER</w:t>
            </w:r>
          </w:p>
        </w:tc>
        <w:tc>
          <w:tcPr>
            <w:tcW w:w="37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Leonard S. Schleifer, M.D., Ph.D.</w:t>
            </w:r>
          </w:p>
        </w:tc>
      </w:tr>
      <w:tr>
        <w:trPr>
          <w:trHeight w:val="230"/>
        </w:trPr>
        <w:tc>
          <w:tcPr>
            <w:tcW w:w="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918"/>
        </w:trPr>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80" w:type="dxa"/>
            <w:vAlign w:val="bottom"/>
            <w:gridSpan w:val="2"/>
          </w:tcPr>
          <w:p>
            <w:pPr>
              <w:jc w:val="right"/>
              <w:ind w:right="115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58"/>
        </w:trPr>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Leonard S. Schleifer, President and Chief Executive Officer, and Robert E. Landry, Executive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360" w:type="dxa"/>
            <w:vAlign w:val="bottom"/>
            <w:gridSpan w:val="3"/>
          </w:tcPr>
          <w:p>
            <w:pPr>
              <w:ind w:left="2120"/>
              <w:spacing w:after="0"/>
              <w:rPr>
                <w:sz w:val="20"/>
                <w:szCs w:val="20"/>
                <w:color w:val="auto"/>
              </w:rPr>
            </w:pPr>
            <w:r>
              <w:rPr>
                <w:rFonts w:ascii="Arial" w:cs="Arial" w:eastAsia="Arial" w:hAnsi="Arial"/>
                <w:sz w:val="18"/>
                <w:szCs w:val="18"/>
                <w:b w:val="1"/>
                <w:bCs w:val="1"/>
                <w:color w:val="auto"/>
              </w:rPr>
              <w:t>Title</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700" w:type="dxa"/>
            <w:vAlign w:val="bottom"/>
            <w:gridSpan w:val="3"/>
            <w:vMerge w:val="restart"/>
          </w:tcPr>
          <w:p>
            <w:pPr>
              <w:ind w:left="460"/>
              <w:spacing w:after="0"/>
              <w:rPr>
                <w:sz w:val="20"/>
                <w:szCs w:val="20"/>
                <w:color w:val="auto"/>
              </w:rPr>
            </w:pPr>
            <w:r>
              <w:rPr>
                <w:rFonts w:ascii="Arial" w:cs="Arial" w:eastAsia="Arial" w:hAnsi="Arial"/>
                <w:sz w:val="18"/>
                <w:szCs w:val="18"/>
                <w:color w:val="auto"/>
              </w:rPr>
              <w:t>/s/ LEONARD S. SCHLEIFER</w:t>
            </w:r>
          </w:p>
        </w:tc>
        <w:tc>
          <w:tcPr>
            <w:tcW w:w="4360" w:type="dxa"/>
            <w:vAlign w:val="bottom"/>
            <w:gridSpan w:val="3"/>
          </w:tcPr>
          <w:p>
            <w:pPr>
              <w:ind w:left="540"/>
              <w:spacing w:after="0" w:line="196" w:lineRule="exact"/>
              <w:rPr>
                <w:sz w:val="20"/>
                <w:szCs w:val="20"/>
                <w:color w:val="auto"/>
              </w:rPr>
            </w:pPr>
            <w:r>
              <w:rPr>
                <w:rFonts w:ascii="Arial" w:cs="Arial" w:eastAsia="Arial" w:hAnsi="Arial"/>
                <w:sz w:val="18"/>
                <w:szCs w:val="18"/>
                <w:i w:val="1"/>
                <w:iCs w:val="1"/>
                <w:color w:val="auto"/>
              </w:rPr>
              <w:t>President, Chief Executive Officer, and Director</w:t>
            </w:r>
          </w:p>
        </w:tc>
        <w:tc>
          <w:tcPr>
            <w:tcW w:w="232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35"/>
        </w:trPr>
        <w:tc>
          <w:tcPr>
            <w:tcW w:w="860" w:type="dxa"/>
            <w:vAlign w:val="bottom"/>
          </w:tcPr>
          <w:p>
            <w:pPr>
              <w:spacing w:after="0"/>
              <w:rPr>
                <w:sz w:val="19"/>
                <w:szCs w:val="19"/>
                <w:color w:val="auto"/>
              </w:rPr>
            </w:pPr>
          </w:p>
        </w:tc>
        <w:tc>
          <w:tcPr>
            <w:tcW w:w="3700" w:type="dxa"/>
            <w:vAlign w:val="bottom"/>
            <w:tcBorders>
              <w:bottom w:val="single" w:sz="8" w:color="auto"/>
            </w:tcBorders>
            <w:gridSpan w:val="3"/>
            <w:vMerge w:val="continue"/>
          </w:tcPr>
          <w:p>
            <w:pPr>
              <w:spacing w:after="0"/>
              <w:rPr>
                <w:sz w:val="19"/>
                <w:szCs w:val="19"/>
                <w:color w:val="auto"/>
              </w:rPr>
            </w:pPr>
          </w:p>
        </w:tc>
        <w:tc>
          <w:tcPr>
            <w:tcW w:w="4360" w:type="dxa"/>
            <w:vAlign w:val="bottom"/>
            <w:gridSpan w:val="3"/>
          </w:tcPr>
          <w:p>
            <w:pPr>
              <w:ind w:left="300"/>
              <w:spacing w:after="0"/>
              <w:rPr>
                <w:sz w:val="20"/>
                <w:szCs w:val="20"/>
                <w:color w:val="auto"/>
              </w:rPr>
            </w:pPr>
            <w:r>
              <w:rPr>
                <w:rFonts w:ascii="Arial" w:cs="Arial" w:eastAsia="Arial" w:hAnsi="Arial"/>
                <w:sz w:val="18"/>
                <w:szCs w:val="18"/>
                <w:i w:val="1"/>
                <w:iCs w:val="1"/>
                <w:color w:val="auto"/>
              </w:rPr>
              <w:t>(Principal Executive Officer)</w:t>
            </w:r>
          </w:p>
        </w:tc>
        <w:tc>
          <w:tcPr>
            <w:tcW w:w="2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Leonard S. Schleifer, M.D., Ph.D.</w:t>
            </w:r>
          </w:p>
        </w:tc>
        <w:tc>
          <w:tcPr>
            <w:tcW w:w="4360" w:type="dxa"/>
            <w:vAlign w:val="bottom"/>
            <w:gridSpan w:val="3"/>
            <w:vMerge w:val="restart"/>
          </w:tcPr>
          <w:p>
            <w:pPr>
              <w:ind w:left="540"/>
              <w:spacing w:after="0"/>
              <w:rPr>
                <w:sz w:val="20"/>
                <w:szCs w:val="20"/>
                <w:color w:val="auto"/>
              </w:rPr>
            </w:pPr>
            <w:r>
              <w:rPr>
                <w:rFonts w:ascii="Arial" w:cs="Arial" w:eastAsia="Arial" w:hAnsi="Arial"/>
                <w:sz w:val="18"/>
                <w:szCs w:val="18"/>
                <w:i w:val="1"/>
                <w:iCs w:val="1"/>
                <w:color w:val="auto"/>
              </w:rPr>
              <w:t>Executive Vice President, Finance and Chief</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700" w:type="dxa"/>
            <w:vAlign w:val="bottom"/>
            <w:gridSpan w:val="3"/>
            <w:vMerge w:val="restart"/>
          </w:tcPr>
          <w:p>
            <w:pPr>
              <w:ind w:left="460"/>
              <w:spacing w:after="0"/>
              <w:rPr>
                <w:sz w:val="20"/>
                <w:szCs w:val="20"/>
                <w:color w:val="auto"/>
              </w:rPr>
            </w:pPr>
            <w:r>
              <w:rPr>
                <w:rFonts w:ascii="Arial" w:cs="Arial" w:eastAsia="Arial" w:hAnsi="Arial"/>
                <w:sz w:val="18"/>
                <w:szCs w:val="18"/>
                <w:color w:val="auto"/>
              </w:rPr>
              <w:t>/s/ ROBERT E. LANDRY</w:t>
            </w:r>
          </w:p>
        </w:tc>
        <w:tc>
          <w:tcPr>
            <w:tcW w:w="4360" w:type="dxa"/>
            <w:vAlign w:val="bottom"/>
            <w:gridSpan w:val="3"/>
            <w:vMerge w:val="continue"/>
          </w:tcPr>
          <w:p>
            <w:pPr>
              <w:spacing w:after="0"/>
              <w:rPr>
                <w:sz w:val="15"/>
                <w:szCs w:val="15"/>
                <w:color w:val="auto"/>
              </w:rPr>
            </w:pPr>
          </w:p>
        </w:tc>
        <w:tc>
          <w:tcPr>
            <w:tcW w:w="232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19"/>
                <w:szCs w:val="19"/>
                <w:color w:val="auto"/>
              </w:rPr>
            </w:pPr>
          </w:p>
        </w:tc>
        <w:tc>
          <w:tcPr>
            <w:tcW w:w="3700" w:type="dxa"/>
            <w:vAlign w:val="bottom"/>
            <w:tcBorders>
              <w:bottom w:val="single" w:sz="8" w:color="auto"/>
            </w:tcBorders>
            <w:gridSpan w:val="3"/>
            <w:vMerge w:val="continue"/>
          </w:tcPr>
          <w:p>
            <w:pPr>
              <w:spacing w:after="0"/>
              <w:rPr>
                <w:sz w:val="19"/>
                <w:szCs w:val="19"/>
                <w:color w:val="auto"/>
              </w:rPr>
            </w:pPr>
          </w:p>
        </w:tc>
        <w:tc>
          <w:tcPr>
            <w:tcW w:w="4360" w:type="dxa"/>
            <w:vAlign w:val="bottom"/>
            <w:gridSpan w:val="3"/>
          </w:tcPr>
          <w:p>
            <w:pPr>
              <w:ind w:left="300"/>
              <w:spacing w:after="0"/>
              <w:rPr>
                <w:sz w:val="20"/>
                <w:szCs w:val="20"/>
                <w:color w:val="auto"/>
              </w:rPr>
            </w:pPr>
            <w:r>
              <w:rPr>
                <w:rFonts w:ascii="Arial" w:cs="Arial" w:eastAsia="Arial" w:hAnsi="Arial"/>
                <w:sz w:val="18"/>
                <w:szCs w:val="18"/>
                <w:i w:val="1"/>
                <w:iCs w:val="1"/>
                <w:color w:val="auto"/>
              </w:rPr>
              <w:t>Financial Officer (Principal Financial Officer)</w:t>
            </w:r>
          </w:p>
        </w:tc>
        <w:tc>
          <w:tcPr>
            <w:tcW w:w="2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Robert E. Landry</w:t>
            </w:r>
          </w:p>
        </w:tc>
        <w:tc>
          <w:tcPr>
            <w:tcW w:w="4360" w:type="dxa"/>
            <w:vAlign w:val="bottom"/>
            <w:gridSpan w:val="3"/>
            <w:vMerge w:val="restart"/>
          </w:tcPr>
          <w:p>
            <w:pPr>
              <w:ind w:left="540"/>
              <w:spacing w:after="0"/>
              <w:rPr>
                <w:sz w:val="20"/>
                <w:szCs w:val="20"/>
                <w:color w:val="auto"/>
              </w:rPr>
            </w:pPr>
            <w:r>
              <w:rPr>
                <w:rFonts w:ascii="Arial" w:cs="Arial" w:eastAsia="Arial" w:hAnsi="Arial"/>
                <w:sz w:val="18"/>
                <w:szCs w:val="18"/>
                <w:i w:val="1"/>
                <w:iCs w:val="1"/>
                <w:color w:val="auto"/>
              </w:rPr>
              <w:t>Senior Vice President, Controller (Principal</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700" w:type="dxa"/>
            <w:vAlign w:val="bottom"/>
            <w:gridSpan w:val="3"/>
            <w:vMerge w:val="restart"/>
          </w:tcPr>
          <w:p>
            <w:pPr>
              <w:ind w:left="460"/>
              <w:spacing w:after="0"/>
              <w:rPr>
                <w:sz w:val="20"/>
                <w:szCs w:val="20"/>
                <w:color w:val="auto"/>
              </w:rPr>
            </w:pPr>
            <w:r>
              <w:rPr>
                <w:rFonts w:ascii="Arial" w:cs="Arial" w:eastAsia="Arial" w:hAnsi="Arial"/>
                <w:sz w:val="18"/>
                <w:szCs w:val="18"/>
                <w:color w:val="auto"/>
              </w:rPr>
              <w:t>/s/ CHRISTOPHER R. FENIMORE</w:t>
            </w:r>
          </w:p>
        </w:tc>
        <w:tc>
          <w:tcPr>
            <w:tcW w:w="4360" w:type="dxa"/>
            <w:vAlign w:val="bottom"/>
            <w:gridSpan w:val="3"/>
            <w:vMerge w:val="continue"/>
          </w:tcPr>
          <w:p>
            <w:pPr>
              <w:spacing w:after="0"/>
              <w:rPr>
                <w:sz w:val="15"/>
                <w:szCs w:val="15"/>
                <w:color w:val="auto"/>
              </w:rPr>
            </w:pPr>
          </w:p>
        </w:tc>
        <w:tc>
          <w:tcPr>
            <w:tcW w:w="232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35"/>
        </w:trPr>
        <w:tc>
          <w:tcPr>
            <w:tcW w:w="860" w:type="dxa"/>
            <w:vAlign w:val="bottom"/>
          </w:tcPr>
          <w:p>
            <w:pPr>
              <w:spacing w:after="0"/>
              <w:rPr>
                <w:sz w:val="19"/>
                <w:szCs w:val="19"/>
                <w:color w:val="auto"/>
              </w:rPr>
            </w:pPr>
          </w:p>
        </w:tc>
        <w:tc>
          <w:tcPr>
            <w:tcW w:w="3700" w:type="dxa"/>
            <w:vAlign w:val="bottom"/>
            <w:tcBorders>
              <w:bottom w:val="single" w:sz="8" w:color="auto"/>
            </w:tcBorders>
            <w:gridSpan w:val="3"/>
            <w:vMerge w:val="continue"/>
          </w:tcPr>
          <w:p>
            <w:pPr>
              <w:spacing w:after="0"/>
              <w:rPr>
                <w:sz w:val="19"/>
                <w:szCs w:val="19"/>
                <w:color w:val="auto"/>
              </w:rPr>
            </w:pPr>
          </w:p>
        </w:tc>
        <w:tc>
          <w:tcPr>
            <w:tcW w:w="4360" w:type="dxa"/>
            <w:vAlign w:val="bottom"/>
            <w:gridSpan w:val="3"/>
          </w:tcPr>
          <w:p>
            <w:pPr>
              <w:ind w:left="300"/>
              <w:spacing w:after="0"/>
              <w:rPr>
                <w:sz w:val="20"/>
                <w:szCs w:val="20"/>
                <w:color w:val="auto"/>
              </w:rPr>
            </w:pPr>
            <w:r>
              <w:rPr>
                <w:rFonts w:ascii="Arial" w:cs="Arial" w:eastAsia="Arial" w:hAnsi="Arial"/>
                <w:sz w:val="18"/>
                <w:szCs w:val="18"/>
                <w:i w:val="1"/>
                <w:iCs w:val="1"/>
                <w:color w:val="auto"/>
              </w:rPr>
              <w:t>Accounting Officer)</w:t>
            </w:r>
          </w:p>
        </w:tc>
        <w:tc>
          <w:tcPr>
            <w:tcW w:w="2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Christopher R. Fenimore</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GEORGE D. YANCOPOULOS</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President, Chief Scientific Officer, and 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George D. Yancopoulos, M.D., Ph.D.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P. ROY VAGELOS</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Chair of the Board of Directors</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P. Roy Vagelos,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BONNIE L. BASSLER</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Bonnie L. Bassler, Ph.D.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MICHAEL S. BROWN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Michael S. Brown,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N. ANTHONY COLES</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N. Anthony Coles,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JOSEPH L. GOLDSTEIN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Joseph L. Goldstein,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CHRISTINE A. POON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Christine A. Poon</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ARTHUR F. RYAN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Arthur F. Ryan</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GEORGE L. SING</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George L. Sing</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MARC TESSIER-LAVIGNE</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Marc Tessier-Lavigne, Ph.D.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HUDA Y. ZOGHBI</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Huda Y. Zoghbi,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ind w:left="92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INDEX TO FINANCIAL STATEMENTS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Page Numbers</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40" w:type="dxa"/>
            <w:vAlign w:val="bottom"/>
            <w:gridSpan w:val="4"/>
            <w:shd w:val="clear" w:color="auto" w:fill="CCEEFF"/>
          </w:tcPr>
          <w:p>
            <w:pPr>
              <w:spacing w:after="0" w:line="189" w:lineRule="exact"/>
              <w:rPr>
                <w:rFonts w:ascii="Arial" w:cs="Arial" w:eastAsia="Arial" w:hAnsi="Arial"/>
                <w:sz w:val="18"/>
                <w:szCs w:val="18"/>
                <w:color w:val="0000FF"/>
                <w:w w:val="92"/>
              </w:rPr>
            </w:pPr>
            <w:hyperlink w:anchor="page105">
              <w:r>
                <w:rPr>
                  <w:rFonts w:ascii="Arial" w:cs="Arial" w:eastAsia="Arial" w:hAnsi="Arial"/>
                  <w:sz w:val="18"/>
                  <w:szCs w:val="18"/>
                  <w:color w:val="0000FF"/>
                  <w:w w:val="92"/>
                </w:rPr>
                <w:t xml:space="preserve">Report of Independent Registered Public Accounting Firm (PCAOB ID </w:t>
              </w:r>
            </w:hyperlink>
            <w:r>
              <w:rPr>
                <w:rFonts w:ascii="Arial" w:cs="Arial" w:eastAsia="Arial" w:hAnsi="Arial"/>
                <w:sz w:val="18"/>
                <w:szCs w:val="18"/>
                <w:color w:val="0000FF"/>
                <w:w w:val="92"/>
              </w:rPr>
              <w:t>238)</w:t>
            </w:r>
          </w:p>
        </w:tc>
        <w:tc>
          <w:tcPr>
            <w:tcW w:w="2940" w:type="dxa"/>
            <w:vAlign w:val="bottom"/>
            <w:gridSpan w:val="4"/>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rFonts w:ascii="Arial" w:cs="Arial" w:eastAsia="Arial" w:hAnsi="Arial"/>
                <w:sz w:val="18"/>
                <w:szCs w:val="18"/>
                <w:color w:val="0000FF"/>
                <w:w w:val="88"/>
              </w:rPr>
            </w:pPr>
            <w:hyperlink w:anchor="page105">
              <w:r>
                <w:rPr>
                  <w:rFonts w:ascii="Arial" w:cs="Arial" w:eastAsia="Arial" w:hAnsi="Arial"/>
                  <w:sz w:val="18"/>
                  <w:szCs w:val="18"/>
                  <w:color w:val="0000FF"/>
                  <w:w w:val="88"/>
                </w:rPr>
                <w:t>F-2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4"/>
          </w:tcPr>
          <w:p>
            <w:pPr>
              <w:spacing w:after="0" w:line="189" w:lineRule="exact"/>
              <w:rPr>
                <w:rFonts w:ascii="Arial" w:cs="Arial" w:eastAsia="Arial" w:hAnsi="Arial"/>
                <w:sz w:val="18"/>
                <w:szCs w:val="18"/>
                <w:color w:val="0000FF"/>
              </w:rPr>
            </w:pPr>
            <w:hyperlink w:anchor="page107">
              <w:r>
                <w:rPr>
                  <w:rFonts w:ascii="Arial" w:cs="Arial" w:eastAsia="Arial" w:hAnsi="Arial"/>
                  <w:sz w:val="18"/>
                  <w:szCs w:val="18"/>
                  <w:color w:val="0000FF"/>
                </w:rPr>
                <w:t>Consolidated Balance Sheets as of December 31, 2021 and 2020</w:t>
              </w:r>
            </w:hyperlink>
          </w:p>
        </w:tc>
        <w:tc>
          <w:tcPr>
            <w:tcW w:w="2940" w:type="dxa"/>
            <w:vAlign w:val="bottom"/>
            <w:gridSpan w:val="4"/>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rFonts w:ascii="Arial" w:cs="Arial" w:eastAsia="Arial" w:hAnsi="Arial"/>
                <w:sz w:val="18"/>
                <w:szCs w:val="18"/>
                <w:color w:val="0000FF"/>
                <w:w w:val="88"/>
              </w:rPr>
            </w:pPr>
            <w:hyperlink w:anchor="page107">
              <w:r>
                <w:rPr>
                  <w:rFonts w:ascii="Arial" w:cs="Arial" w:eastAsia="Arial" w:hAnsi="Arial"/>
                  <w:sz w:val="18"/>
                  <w:szCs w:val="18"/>
                  <w:color w:val="0000FF"/>
                  <w:w w:val="88"/>
                </w:rPr>
                <w:t>F-4</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8"/>
            <w:shd w:val="clear" w:color="auto" w:fill="CCEEFF"/>
          </w:tcPr>
          <w:p>
            <w:pPr>
              <w:spacing w:after="0" w:line="189"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Consolidated Statements of Operations and Comprehensive Income for the Years Ended December 31, 2021, 2020,</w:t>
              </w:r>
            </w:hyperlink>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rFonts w:ascii="Arial" w:cs="Arial" w:eastAsia="Arial" w:hAnsi="Arial"/>
                <w:sz w:val="18"/>
                <w:szCs w:val="18"/>
                <w:color w:val="0000FF"/>
                <w:w w:val="88"/>
              </w:rPr>
            </w:pPr>
            <w:hyperlink w:anchor="page108">
              <w:r>
                <w:rPr>
                  <w:rFonts w:ascii="Arial" w:cs="Arial" w:eastAsia="Arial" w:hAnsi="Arial"/>
                  <w:sz w:val="18"/>
                  <w:szCs w:val="18"/>
                  <w:color w:val="0000FF"/>
                  <w:w w:val="88"/>
                </w:rPr>
                <w:t>F-5</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830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and 2019</w:t>
              </w:r>
            </w:hyperlink>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gridSpan w:val="8"/>
          </w:tcPr>
          <w:p>
            <w:pPr>
              <w:spacing w:after="0" w:line="189" w:lineRule="exact"/>
              <w:rPr>
                <w:rFonts w:ascii="Arial" w:cs="Arial" w:eastAsia="Arial" w:hAnsi="Arial"/>
                <w:sz w:val="18"/>
                <w:szCs w:val="18"/>
                <w:color w:val="0000FF"/>
                <w:w w:val="99"/>
              </w:rPr>
            </w:pPr>
            <w:hyperlink w:anchor="page109">
              <w:r>
                <w:rPr>
                  <w:rFonts w:ascii="Arial" w:cs="Arial" w:eastAsia="Arial" w:hAnsi="Arial"/>
                  <w:sz w:val="18"/>
                  <w:szCs w:val="18"/>
                  <w:color w:val="0000FF"/>
                  <w:w w:val="99"/>
                </w:rPr>
                <w:t>Consolidated Statements of Stockholders' Equity for the Years Ended December 31, 2021, 2020, and 2019</w:t>
              </w:r>
            </w:hyperlink>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rFonts w:ascii="Arial" w:cs="Arial" w:eastAsia="Arial" w:hAnsi="Arial"/>
                <w:sz w:val="18"/>
                <w:szCs w:val="18"/>
                <w:color w:val="0000FF"/>
                <w:w w:val="88"/>
              </w:rPr>
            </w:pPr>
            <w:hyperlink w:anchor="page109">
              <w:r>
                <w:rPr>
                  <w:rFonts w:ascii="Arial" w:cs="Arial" w:eastAsia="Arial" w:hAnsi="Arial"/>
                  <w:sz w:val="18"/>
                  <w:szCs w:val="18"/>
                  <w:color w:val="0000FF"/>
                  <w:w w:val="88"/>
                </w:rPr>
                <w:t>F-6</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8"/>
            <w:shd w:val="clear" w:color="auto" w:fill="CCEEFF"/>
          </w:tcPr>
          <w:p>
            <w:pPr>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Consolidated Statements of Cash Flows for the Years Ended December 31, 2021, 2020, and 2019</w:t>
              </w:r>
            </w:hyperlink>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rFonts w:ascii="Arial" w:cs="Arial" w:eastAsia="Arial" w:hAnsi="Arial"/>
                <w:sz w:val="18"/>
                <w:szCs w:val="18"/>
                <w:color w:val="0000FF"/>
                <w:w w:val="88"/>
              </w:rPr>
            </w:pPr>
            <w:hyperlink w:anchor="page111">
              <w:r>
                <w:rPr>
                  <w:rFonts w:ascii="Arial" w:cs="Arial" w:eastAsia="Arial" w:hAnsi="Arial"/>
                  <w:sz w:val="18"/>
                  <w:szCs w:val="18"/>
                  <w:color w:val="0000FF"/>
                  <w:w w:val="88"/>
                </w:rPr>
                <w:t>F-8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5"/>
          </w:tcPr>
          <w:p>
            <w:pPr>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Notes to Consolidated Financial Statements</w:t>
              </w:r>
            </w:hyperlink>
          </w:p>
        </w:tc>
        <w:tc>
          <w:tcPr>
            <w:tcW w:w="148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6"/>
          </w:tcPr>
          <w:p>
            <w:pPr>
              <w:jc w:val="center"/>
              <w:ind w:right="300"/>
              <w:spacing w:after="0" w:line="189" w:lineRule="exact"/>
              <w:rPr>
                <w:rFonts w:ascii="Arial" w:cs="Arial" w:eastAsia="Arial" w:hAnsi="Arial"/>
                <w:sz w:val="18"/>
                <w:szCs w:val="18"/>
                <w:color w:val="0000FF"/>
                <w:w w:val="92"/>
              </w:rPr>
            </w:pPr>
            <w:hyperlink w:anchor="page112">
              <w:r>
                <w:rPr>
                  <w:rFonts w:ascii="Arial" w:cs="Arial" w:eastAsia="Arial" w:hAnsi="Arial"/>
                  <w:sz w:val="18"/>
                  <w:szCs w:val="18"/>
                  <w:color w:val="0000FF"/>
                  <w:w w:val="92"/>
                </w:rPr>
                <w:t xml:space="preserve">F-9 </w:t>
              </w:r>
            </w:hyperlink>
            <w:r>
              <w:rPr>
                <w:rFonts w:ascii="Arial" w:cs="Arial" w:eastAsia="Arial" w:hAnsi="Arial"/>
                <w:sz w:val="18"/>
                <w:szCs w:val="18"/>
                <w:color w:val="0000FF"/>
                <w:w w:val="92"/>
              </w:rPr>
              <w:t xml:space="preserve">to </w:t>
            </w:r>
            <w:hyperlink w:anchor="page145">
              <w:r>
                <w:rPr>
                  <w:rFonts w:ascii="Arial" w:cs="Arial" w:eastAsia="Arial" w:hAnsi="Arial"/>
                  <w:sz w:val="18"/>
                  <w:szCs w:val="18"/>
                  <w:color w:val="0000FF"/>
                  <w:w w:val="92"/>
                </w:rPr>
                <w:t>F-42</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73" w:right="97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Regeneron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Regeneron Pharmaceuticals, Inc. and its subsidiaries (the "Company") as of December 31, 2021 and 2020, and the related consolidated statements of operations and comprehensive income,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Other Operating Income related to Research and Development Up-front and Milestone Payments</w:t>
      </w:r>
    </w:p>
    <w:p>
      <w:pPr>
        <w:spacing w:after="0" w:line="23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described in Note 1 to the consolidated financial statements, other operating income related to collaboration arrangements where the Company satisfies obligations during the development phase over time is typically recognized using an input method on the basis of research and development costs incurred relative to the total expected costs which determines the extent of progress towards completion of the obligation. Other operating income for non-refundable up-front payments and development milestones for which management used an input method, was $42.5 million for the year ended December 31, 2021. As of December 31, 2021, $322.5 million was included in other liabilities representing the amount of previously deferred non-refundable up-front and development milestones expected to be recognized in other operating income over time. Management has disclosed that there is variability in the scope of activities and length of time necessary to develop a drug product, potential delays in development programs, changes to development plans and budgets as programs progress, and uncertainty in the ultimate requirements to obtain governmental approval for commercialization related to these estimates.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accounting for other operating income related to research and development up-front and milestone payments is a critical audit matter are the significant judgment by management when determining the estimate of total expected research and development costs to complete the obligation, which in turn led to a high degree of auditor judgment, subjectivity and effort in performing procedures and evaluating evidence to assess the reasonableness of the estimates of the costs to complete.</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accounting for other operating income related to research and development up-front and milestone payments, including controls over the determination of the estimate of total expected research and development costs to complete the obligation. These procedures also included, among others, evaluating and testing management’s process for determining the estimate of total expected research and development costs at completion for a sample of contracts, which included evaluating the reasonableness of actual costs incurred and estimated costs to complete. Evaluating the reasonableness of estimated costs to complete involved assessing management’s ability to reasonably estimate costs to complete the obligation by (i) obtaining supporting evidence for expected development activities; (ii) evaluating the identification of circumstances that may warrant a modification to estimated costs to complete; and (iii) agreeing estimates of total budgeted costs to contracts or other agreements with collaboration partners.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80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840" w:type="dxa"/>
            <w:vAlign w:val="bottom"/>
          </w:tcPr>
          <w:p>
            <w:pPr>
              <w:jc w:val="center"/>
              <w:ind w:left="199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4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4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88"/>
              </w:rPr>
              <w:t>(In millions, except share data)</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40" w:type="dxa"/>
            <w:vAlign w:val="bottom"/>
            <w:shd w:val="clear" w:color="auto" w:fill="CCEEFF"/>
          </w:tcPr>
          <w:p>
            <w:pPr>
              <w:jc w:val="center"/>
              <w:ind w:left="1990"/>
              <w:spacing w:after="0"/>
              <w:rPr>
                <w:sz w:val="20"/>
                <w:szCs w:val="20"/>
                <w:color w:val="auto"/>
              </w:rPr>
            </w:pPr>
            <w:r>
              <w:rPr>
                <w:rFonts w:ascii="Arial" w:cs="Arial" w:eastAsia="Arial" w:hAnsi="Arial"/>
                <w:sz w:val="18"/>
                <w:szCs w:val="18"/>
                <w:b w:val="1"/>
                <w:bCs w:val="1"/>
                <w:color w:val="auto"/>
                <w:w w:val="94"/>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14,014.9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9,779.1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40" w:type="dxa"/>
            <w:vAlign w:val="bottom"/>
          </w:tcPr>
          <w:p>
            <w:pPr>
              <w:jc w:val="center"/>
              <w:ind w:left="201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Finance lease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2,697.4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8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0"/>
              </w:rPr>
              <w:t>Class A Stock, convertible, $.001 par value; 40,000,000 shares authorized; shares issued and outstanding</w:t>
            </w:r>
          </w:p>
        </w:tc>
        <w:tc>
          <w:tcPr>
            <w:tcW w:w="3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- 1,823,283 in 2021 and 1,848,970 in 2020</w:t>
            </w: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8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89"/>
              </w:rPr>
              <w:t>Common Stock, $.001 par value; 320,000,000 shares authorized; shares issued - 126,244,444 in 2021 and</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121,533,460 in 2020</w:t>
            </w: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6,716.2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Stock, at cost; 19,392,961 shares in 2021 and 16,431,520 shares in 2020</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862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43180</wp:posOffset>
            </wp:positionV>
            <wp:extent cx="69862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41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83"/>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72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380" w:type="dxa"/>
            <w:vAlign w:val="bottom"/>
            <w:gridSpan w:val="8"/>
          </w:tcPr>
          <w:p>
            <w:pPr>
              <w:jc w:val="center"/>
              <w:ind w:left="470"/>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780" w:type="dxa"/>
            <w:vAlign w:val="bottom"/>
            <w:gridSpan w:val="4"/>
          </w:tcPr>
          <w:p>
            <w:pPr>
              <w:jc w:val="center"/>
              <w:ind w:right="74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product sales</w:t>
            </w:r>
          </w:p>
        </w:tc>
        <w:tc>
          <w:tcPr>
            <w:tcW w:w="2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4,834.4</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Sanofi collaboration revenue</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403.6</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collaboration revenue</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1,145.6</w:t>
            </w:r>
          </w:p>
        </w:tc>
      </w:tr>
      <w:tr>
        <w:trPr>
          <w:trHeight w:val="229"/>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revenue</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r>
      <w:tr>
        <w:trPr>
          <w:trHeight w:val="223"/>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6,557.6</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2,450.0</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Cost of goods sold</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362.3</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Cost of collaboration and contract manufacturing</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29"/>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operating (income) expense, net</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249.5</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2,429.1</w:t>
            </w:r>
          </w:p>
        </w:tc>
      </w:tr>
      <w:tr>
        <w:trPr>
          <w:trHeight w:val="216"/>
        </w:trPr>
        <w:tc>
          <w:tcPr>
            <w:tcW w:w="120" w:type="dxa"/>
            <w:vAlign w:val="bottom"/>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8,075.3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2,115.8</w:t>
            </w:r>
          </w:p>
        </w:tc>
      </w:tr>
      <w:tr>
        <w:trPr>
          <w:trHeight w:val="20"/>
        </w:trPr>
        <w:tc>
          <w:tcPr>
            <w:tcW w:w="1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Net income per share - basic</w:t>
            </w:r>
          </w:p>
        </w:tc>
        <w:tc>
          <w:tcPr>
            <w:tcW w:w="2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120" w:type="dxa"/>
            <w:vAlign w:val="bottom"/>
          </w:tcPr>
          <w:p>
            <w:pPr>
              <w:spacing w:after="0"/>
              <w:rPr>
                <w:sz w:val="18"/>
                <w:szCs w:val="18"/>
                <w:color w:val="auto"/>
              </w:rPr>
            </w:pPr>
          </w:p>
        </w:tc>
        <w:tc>
          <w:tcPr>
            <w:tcW w:w="398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16"/>
        </w:trPr>
        <w:tc>
          <w:tcPr>
            <w:tcW w:w="120" w:type="dxa"/>
            <w:vAlign w:val="bottom"/>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Unrealized (loss) gain on debt securities</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Unrealized gain (loss) on cash flow hedges</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1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78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9">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43180</wp:posOffset>
            </wp:positionV>
            <wp:extent cx="6978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0">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256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60" w:type="dxa"/>
            <w:vAlign w:val="bottom"/>
            <w:gridSpan w:val="11"/>
          </w:tcPr>
          <w:p>
            <w:pPr>
              <w:jc w:val="center"/>
              <w:ind w:right="10"/>
              <w:spacing w:after="0"/>
              <w:rPr>
                <w:sz w:val="20"/>
                <w:szCs w:val="20"/>
                <w:color w:val="auto"/>
              </w:rPr>
            </w:pPr>
            <w:r>
              <w:rPr>
                <w:rFonts w:ascii="Arial" w:cs="Arial" w:eastAsia="Arial" w:hAnsi="Arial"/>
                <w:sz w:val="18"/>
                <w:szCs w:val="18"/>
                <w:b w:val="1"/>
                <w:bCs w:val="1"/>
                <w:color w:val="auto"/>
              </w:rPr>
              <w:t>REGENERON PHARMACEUTICALS, INC.</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0" w:type="dxa"/>
            <w:vAlign w:val="bottom"/>
            <w:gridSpan w:val="16"/>
          </w:tcPr>
          <w:p>
            <w:pPr>
              <w:jc w:val="center"/>
              <w:ind w:left="5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gridSpan w:val="14"/>
          </w:tcPr>
          <w:p>
            <w:pPr>
              <w:jc w:val="center"/>
              <w:ind w:right="520"/>
              <w:spacing w:after="0"/>
              <w:rPr>
                <w:sz w:val="20"/>
                <w:szCs w:val="20"/>
                <w:color w:val="auto"/>
              </w:rPr>
            </w:pPr>
            <w:r>
              <w:rPr>
                <w:rFonts w:ascii="Arial" w:cs="Arial" w:eastAsia="Arial" w:hAnsi="Arial"/>
                <w:sz w:val="18"/>
                <w:szCs w:val="18"/>
                <w:b w:val="1"/>
                <w:bCs w:val="1"/>
                <w:color w:val="auto"/>
                <w:w w:val="90"/>
              </w:rPr>
              <w:t>For the Years Ended December 31, 2021, 2020, and 2019</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jc w:val="center"/>
              <w:ind w:left="150"/>
              <w:spacing w:after="0"/>
              <w:rPr>
                <w:sz w:val="20"/>
                <w:szCs w:val="20"/>
                <w:color w:val="auto"/>
              </w:rPr>
            </w:pPr>
            <w:r>
              <w:rPr>
                <w:rFonts w:ascii="Arial" w:cs="Arial" w:eastAsia="Arial" w:hAnsi="Arial"/>
                <w:sz w:val="18"/>
                <w:szCs w:val="18"/>
                <w:b w:val="1"/>
                <w:bCs w:val="1"/>
                <w:i w:val="1"/>
                <w:iCs w:val="1"/>
                <w:color w:val="auto"/>
                <w:w w:val="93"/>
              </w:rPr>
              <w:t>(In millions)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3"/>
              </w:rPr>
              <w:t>Additional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0"/>
              </w:rPr>
              <w:t>Accumulated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w w:val="94"/>
              </w:rPr>
              <w:t>Class A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95"/>
              </w:rPr>
              <w:t>Common Stock</w:t>
            </w:r>
          </w:p>
        </w:tc>
        <w:tc>
          <w:tcPr>
            <w:tcW w:w="80" w:type="dxa"/>
            <w:vAlign w:val="bottom"/>
            <w:vMerge w:val="restart"/>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5"/>
              </w:rPr>
              <w:t>Other</w:t>
            </w:r>
          </w:p>
        </w:tc>
        <w:tc>
          <w:tcPr>
            <w:tcW w:w="144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w w:val="98"/>
              </w:rPr>
              <w:t>Treasury Stock</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60" w:type="dxa"/>
            <w:vAlign w:val="bottom"/>
            <w:gridSpan w:val="2"/>
            <w:vMerge w:val="restart"/>
          </w:tcPr>
          <w:p>
            <w:pPr>
              <w:ind w:left="160"/>
              <w:spacing w:after="0" w:line="176" w:lineRule="exact"/>
              <w:rPr>
                <w:sz w:val="20"/>
                <w:szCs w:val="20"/>
                <w:color w:val="auto"/>
              </w:rPr>
            </w:pPr>
            <w:r>
              <w:rPr>
                <w:rFonts w:ascii="Arial" w:cs="Arial" w:eastAsia="Arial" w:hAnsi="Arial"/>
                <w:sz w:val="18"/>
                <w:szCs w:val="18"/>
                <w:b w:val="1"/>
                <w:bCs w:val="1"/>
                <w:color w:val="auto"/>
              </w:rPr>
              <w:t>Paid-in</w:t>
            </w:r>
          </w:p>
        </w:tc>
        <w:tc>
          <w:tcPr>
            <w:tcW w:w="880" w:type="dxa"/>
            <w:vAlign w:val="bottom"/>
            <w:gridSpan w:val="2"/>
            <w:vMerge w:val="restart"/>
          </w:tcPr>
          <w:p>
            <w:pPr>
              <w:ind w:left="40"/>
              <w:spacing w:after="0" w:line="176" w:lineRule="exact"/>
              <w:rPr>
                <w:sz w:val="20"/>
                <w:szCs w:val="20"/>
                <w:color w:val="auto"/>
              </w:rPr>
            </w:pPr>
            <w:r>
              <w:rPr>
                <w:rFonts w:ascii="Arial" w:cs="Arial" w:eastAsia="Arial" w:hAnsi="Arial"/>
                <w:sz w:val="18"/>
                <w:szCs w:val="18"/>
                <w:b w:val="1"/>
                <w:bCs w:val="1"/>
                <w:color w:val="auto"/>
              </w:rPr>
              <w:t>Retained</w:t>
            </w:r>
          </w:p>
        </w:tc>
        <w:tc>
          <w:tcPr>
            <w:tcW w:w="1320" w:type="dxa"/>
            <w:vAlign w:val="bottom"/>
            <w:gridSpan w:val="3"/>
            <w:vMerge w:val="restart"/>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gridSpan w:val="2"/>
            <w:vMerge w:val="restart"/>
          </w:tcPr>
          <w:p>
            <w:pPr>
              <w:jc w:val="center"/>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640" w:type="dxa"/>
            <w:vAlign w:val="bottom"/>
            <w:vMerge w:val="restart"/>
          </w:tcPr>
          <w:p>
            <w:pPr>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w:t>
            </w:r>
          </w:p>
        </w:tc>
        <w:tc>
          <w:tcPr>
            <w:tcW w:w="96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Income (Loss)</w:t>
            </w: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3,911.6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$ 5,254.3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(396.4)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w w:val="99"/>
              </w:rPr>
              <w:t>Issuance of Common Stock for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equity awards granted under</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213.2</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long-term incentive plans</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Common Stock tendered upon</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exercise of stock options and</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vesting of restricted stock for</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tax obligations</w:t>
            </w:r>
          </w:p>
        </w:tc>
        <w:tc>
          <w:tcPr>
            <w:tcW w:w="6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rPr>
              <w:t>Issuance/distribution of</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Common Stock for 401(k)</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Savings Plan</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Repurchases of Common Stock</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w w:val="99"/>
              </w:rPr>
              <w:t>Conversion of Class A Stock to</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Common Stock</w:t>
            </w: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Stock-based compensation</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charges</w:t>
            </w:r>
          </w:p>
        </w:tc>
        <w:tc>
          <w:tcPr>
            <w:tcW w:w="6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rPr>
              <w:t>Adjustment upon adoption of</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new accounting standard</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income,</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net of tax</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11,089.7</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480" w:type="dxa"/>
            <w:vAlign w:val="bottom"/>
            <w:gridSpan w:val="2"/>
          </w:tcPr>
          <w:p>
            <w:pPr>
              <w:spacing w:after="0" w:line="156" w:lineRule="exact"/>
              <w:rPr>
                <w:sz w:val="20"/>
                <w:szCs w:val="20"/>
                <w:color w:val="auto"/>
              </w:rPr>
            </w:pPr>
            <w:r>
              <w:rPr>
                <w:rFonts w:ascii="Arial" w:cs="Arial" w:eastAsia="Arial" w:hAnsi="Arial"/>
                <w:sz w:val="18"/>
                <w:szCs w:val="18"/>
                <w:color w:val="auto"/>
                <w:w w:val="99"/>
              </w:rPr>
              <w:t>Issuance of Common Stock for</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equity awards granted under</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2,576.4</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2,576.4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long-term incentive plans</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Common Stock tendered upon</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exercise of stock options and</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vesting of restricted stock for</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tax obligations</w:t>
            </w:r>
          </w:p>
        </w:tc>
        <w:tc>
          <w:tcPr>
            <w:tcW w:w="6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rPr>
              <w:t>Issuance/distribution of</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Common Stock for 401(k)</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Savings Plan</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Repurchases of Common Stock</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(5,880.9)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rPr>
              <w:t>Stock-based compensation</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442.9</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charges</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income,</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net of tax</w:t>
            </w: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10,893.0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CONSOLIDATED STATEMENTS OF STOCKHOLDERS' EQUITY </w:t>
      </w:r>
      <w:r>
        <w:rPr>
          <w:rFonts w:ascii="Arial" w:cs="Arial" w:eastAsia="Arial" w:hAnsi="Arial"/>
          <w:sz w:val="17"/>
          <w:szCs w:val="17"/>
          <w:b w:val="1"/>
          <w:bCs w:val="1"/>
          <w:i w:val="1"/>
          <w:iCs w:val="1"/>
          <w:color w:val="auto"/>
        </w:rPr>
        <w:t>(continued)</w:t>
      </w:r>
    </w:p>
    <w:p>
      <w:pPr>
        <w:sectPr>
          <w:pgSz w:w="11900" w:h="16838" w:orient="portrait"/>
          <w:cols w:equalWidth="0" w:num="1">
            <w:col w:w="11180"/>
          </w:cols>
          <w:pgMar w:left="320" w:top="373" w:right="399" w:bottom="1440" w:gutter="0" w:footer="0" w:header="0"/>
        </w:sectPr>
      </w:pP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3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6"/>
              </w:rPr>
              <w:t>Class A Stock</w:t>
            </w:r>
          </w:p>
        </w:tc>
        <w:tc>
          <w:tcPr>
            <w:tcW w:w="8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5"/>
              </w:rPr>
              <w:t>Common Stock</w:t>
            </w:r>
          </w:p>
        </w:tc>
        <w:tc>
          <w:tcPr>
            <w:tcW w:w="0" w:type="dxa"/>
            <w:vAlign w:val="bottom"/>
          </w:tcPr>
          <w:p>
            <w:pPr>
              <w:spacing w:after="0"/>
              <w:rPr>
                <w:sz w:val="1"/>
                <w:szCs w:val="1"/>
                <w:color w:val="auto"/>
              </w:rPr>
            </w:pPr>
          </w:p>
        </w:tc>
      </w:tr>
      <w:tr>
        <w:trPr>
          <w:trHeight w:val="237"/>
        </w:trPr>
        <w:tc>
          <w:tcPr>
            <w:tcW w:w="2420" w:type="dxa"/>
            <w:vAlign w:val="bottom"/>
            <w:vMerge w:val="restart"/>
          </w:tcPr>
          <w:p>
            <w:pPr>
              <w:spacing w:after="0"/>
              <w:rPr>
                <w:sz w:val="20"/>
                <w:szCs w:val="20"/>
                <w:color w:val="auto"/>
              </w:rPr>
            </w:pPr>
            <w:r>
              <w:rPr>
                <w:rFonts w:ascii="Arial" w:cs="Arial" w:eastAsia="Arial" w:hAnsi="Arial"/>
                <w:sz w:val="18"/>
                <w:szCs w:val="18"/>
                <w:color w:val="auto"/>
                <w:w w:val="97"/>
              </w:rPr>
              <w:t>Issuance of Common Stock for</w:t>
            </w: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99"/>
              </w:rPr>
              <w:t>Shares</w:t>
            </w: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w w:val="98"/>
              </w:rPr>
              <w:t>equity awards granted under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long-term incentive plans</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w w:val="98"/>
              </w:rPr>
              <w:t>Common Stock tendered upon</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w w:val="96"/>
              </w:rPr>
              <w:t>exercise of stock options and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w w:val="97"/>
              </w:rPr>
              <w:t>vesting of restricted stock for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employee tax obligations</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rPr>
              <w:t>Issuance/distribution of</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rPr>
              <w:t>Common Stock for 401(k)</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Savings Plan</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w w:val="94"/>
              </w:rPr>
              <w:t>Repurchases of Common Stock</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rPr>
              <w:t>Stock-based compensation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charges</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w w:val="98"/>
              </w:rPr>
              <w:t>Other comprehensive loss, net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160"/>
              <w:spacing w:after="0"/>
              <w:rPr>
                <w:sz w:val="20"/>
                <w:szCs w:val="20"/>
                <w:color w:val="auto"/>
              </w:rPr>
            </w:pPr>
            <w:r>
              <w:rPr>
                <w:rFonts w:ascii="Arial" w:cs="Arial" w:eastAsia="Arial" w:hAnsi="Arial"/>
                <w:sz w:val="18"/>
                <w:szCs w:val="18"/>
                <w:color w:val="auto"/>
              </w:rPr>
              <w:t>of tax</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b w:val="1"/>
                <w:bCs w:val="1"/>
                <w:color w:val="auto"/>
                <w:w w:val="99"/>
              </w:rPr>
              <w:t>Balance, December 31, 2021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9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Other</w:t>
            </w:r>
          </w:p>
        </w:tc>
        <w:tc>
          <w:tcPr>
            <w:tcW w:w="1480" w:type="dxa"/>
            <w:vAlign w:val="bottom"/>
            <w:gridSpan w:val="3"/>
            <w:vMerge w:val="restart"/>
          </w:tcPr>
          <w:p>
            <w:pPr>
              <w:jc w:val="right"/>
              <w:ind w:right="70"/>
              <w:spacing w:after="0"/>
              <w:rPr>
                <w:sz w:val="20"/>
                <w:szCs w:val="20"/>
                <w:color w:val="auto"/>
              </w:rPr>
            </w:pPr>
            <w:r>
              <w:rPr>
                <w:rFonts w:ascii="Arial" w:cs="Arial" w:eastAsia="Arial" w:hAnsi="Arial"/>
                <w:sz w:val="18"/>
                <w:szCs w:val="18"/>
                <w:b w:val="1"/>
                <w:bCs w:val="1"/>
                <w:color w:val="auto"/>
                <w:w w:val="99"/>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940" w:type="dxa"/>
            <w:vAlign w:val="bottom"/>
            <w:gridSpan w:val="2"/>
          </w:tcPr>
          <w:p>
            <w:pPr>
              <w:jc w:val="center"/>
              <w:ind w:right="100"/>
              <w:spacing w:after="0" w:line="149" w:lineRule="exact"/>
              <w:rPr>
                <w:sz w:val="20"/>
                <w:szCs w:val="20"/>
                <w:color w:val="auto"/>
              </w:rPr>
            </w:pPr>
            <w:r>
              <w:rPr>
                <w:rFonts w:ascii="Arial" w:cs="Arial" w:eastAsia="Arial" w:hAnsi="Arial"/>
                <w:sz w:val="17"/>
                <w:szCs w:val="17"/>
                <w:b w:val="1"/>
                <w:bCs w:val="1"/>
                <w:color w:val="auto"/>
                <w:w w:val="98"/>
              </w:rPr>
              <w:t>Paid-in</w:t>
            </w:r>
          </w:p>
        </w:tc>
        <w:tc>
          <w:tcPr>
            <w:tcW w:w="920" w:type="dxa"/>
            <w:vAlign w:val="bottom"/>
            <w:gridSpan w:val="2"/>
          </w:tcPr>
          <w:p>
            <w:pPr>
              <w:ind w:left="80"/>
              <w:spacing w:after="0" w:line="149" w:lineRule="exact"/>
              <w:rPr>
                <w:sz w:val="20"/>
                <w:szCs w:val="20"/>
                <w:color w:val="auto"/>
              </w:rPr>
            </w:pPr>
            <w:r>
              <w:rPr>
                <w:rFonts w:ascii="Arial" w:cs="Arial" w:eastAsia="Arial" w:hAnsi="Arial"/>
                <w:sz w:val="17"/>
                <w:szCs w:val="17"/>
                <w:b w:val="1"/>
                <w:bCs w:val="1"/>
                <w:color w:val="auto"/>
              </w:rPr>
              <w:t>Retained</w:t>
            </w: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7"/>
                <w:szCs w:val="17"/>
                <w:b w:val="1"/>
                <w:bCs w:val="1"/>
                <w:color w:val="auto"/>
                <w:w w:val="94"/>
              </w:rPr>
              <w:t>Comprehensive</w:t>
            </w:r>
          </w:p>
        </w:tc>
        <w:tc>
          <w:tcPr>
            <w:tcW w:w="148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4"/>
              </w:rPr>
              <w:t>Stockholders'</w:t>
            </w:r>
          </w:p>
        </w:tc>
        <w:tc>
          <w:tcPr>
            <w:tcW w:w="0" w:type="dxa"/>
            <w:vAlign w:val="bottom"/>
          </w:tcPr>
          <w:p>
            <w:pPr>
              <w:spacing w:after="0"/>
              <w:rPr>
                <w:sz w:val="1"/>
                <w:szCs w:val="1"/>
                <w:color w:val="auto"/>
              </w:rPr>
            </w:pPr>
          </w:p>
        </w:tc>
      </w:tr>
      <w:tr>
        <w:trPr>
          <w:trHeight w:val="237"/>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8"/>
              </w:rPr>
              <w:t>Earnings</w:t>
            </w: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Income (Loss)</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Shares</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561"/>
        </w:trPr>
        <w:tc>
          <w:tcPr>
            <w:tcW w:w="860" w:type="dxa"/>
            <w:vAlign w:val="bottom"/>
          </w:tcPr>
          <w:p>
            <w:pPr>
              <w:jc w:val="right"/>
              <w:spacing w:after="0"/>
              <w:rPr>
                <w:sz w:val="20"/>
                <w:szCs w:val="20"/>
                <w:color w:val="auto"/>
              </w:rPr>
            </w:pPr>
            <w:r>
              <w:rPr>
                <w:rFonts w:ascii="Arial" w:cs="Arial" w:eastAsia="Arial" w:hAnsi="Arial"/>
                <w:sz w:val="18"/>
                <w:szCs w:val="18"/>
                <w:color w:val="auto"/>
              </w:rPr>
              <w:t>1,676.0</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756"/>
        </w:trPr>
        <w:tc>
          <w:tcPr>
            <w:tcW w:w="860" w:type="dxa"/>
            <w:vAlign w:val="bottom"/>
          </w:tcPr>
          <w:p>
            <w:pPr>
              <w:jc w:val="right"/>
              <w:spacing w:after="0"/>
              <w:rPr>
                <w:sz w:val="20"/>
                <w:szCs w:val="20"/>
                <w:color w:val="auto"/>
              </w:rPr>
            </w:pPr>
            <w:r>
              <w:rPr>
                <w:rFonts w:ascii="Arial" w:cs="Arial" w:eastAsia="Arial" w:hAnsi="Arial"/>
                <w:sz w:val="18"/>
                <w:szCs w:val="18"/>
                <w:color w:val="auto"/>
              </w:rPr>
              <w:t>(944.6)</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580"/>
        </w:trPr>
        <w:tc>
          <w:tcPr>
            <w:tcW w:w="86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(1,655.0)</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404"/>
        </w:trPr>
        <w:tc>
          <w:tcPr>
            <w:tcW w:w="860" w:type="dxa"/>
            <w:vAlign w:val="bottom"/>
          </w:tcPr>
          <w:p>
            <w:pPr>
              <w:jc w:val="right"/>
              <w:spacing w:after="0"/>
              <w:rPr>
                <w:sz w:val="20"/>
                <w:szCs w:val="20"/>
                <w:color w:val="auto"/>
              </w:rPr>
            </w:pPr>
            <w:r>
              <w:rPr>
                <w:rFonts w:ascii="Arial" w:cs="Arial" w:eastAsia="Arial" w:hAnsi="Arial"/>
                <w:sz w:val="18"/>
                <w:szCs w:val="18"/>
                <w:color w:val="auto"/>
              </w:rPr>
              <w:t>599.2</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30"/>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8,075.3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8,075.3</w:t>
            </w:r>
          </w:p>
        </w:tc>
        <w:tc>
          <w:tcPr>
            <w:tcW w:w="0" w:type="dxa"/>
            <w:vAlign w:val="bottom"/>
          </w:tcPr>
          <w:p>
            <w:pPr>
              <w:spacing w:after="0"/>
              <w:rPr>
                <w:sz w:val="1"/>
                <w:szCs w:val="1"/>
                <w:color w:val="auto"/>
              </w:rPr>
            </w:pPr>
          </w:p>
        </w:tc>
      </w:tr>
      <w:tr>
        <w:trPr>
          <w:trHeight w:val="405"/>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8,087.5</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$ 18,968.3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(8,260.9)</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18,768.8</w:t>
            </w:r>
          </w:p>
        </w:tc>
        <w:tc>
          <w:tcPr>
            <w:tcW w:w="0" w:type="dxa"/>
            <w:vAlign w:val="bottom"/>
          </w:tcPr>
          <w:p>
            <w:pPr>
              <w:spacing w:after="0"/>
              <w:rPr>
                <w:sz w:val="1"/>
                <w:szCs w:val="1"/>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-2211070</wp:posOffset>
            </wp:positionV>
            <wp:extent cx="7054850" cy="368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3">
                      <a:extLst>
                        <a:ext uri="{28A0092B-C50C-407E-A947-70E740481C1C}"/>
                      </a:extLst>
                    </a:blip>
                    <a:srcRect/>
                    <a:stretch>
                      <a:fillRect/>
                    </a:stretch>
                  </pic:blipFill>
                  <pic:spPr bwMode="auto">
                    <a:xfrm>
                      <a:off x="0" y="0"/>
                      <a:ext cx="7054850" cy="36830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-1362710</wp:posOffset>
            </wp:positionV>
            <wp:extent cx="7054850" cy="368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4">
                      <a:extLst>
                        <a:ext uri="{28A0092B-C50C-407E-A947-70E740481C1C}"/>
                      </a:extLst>
                    </a:blip>
                    <a:srcRect/>
                    <a:stretch>
                      <a:fillRect/>
                    </a:stretch>
                  </pic:blipFill>
                  <pic:spPr bwMode="auto">
                    <a:xfrm>
                      <a:off x="0" y="0"/>
                      <a:ext cx="7054850" cy="36893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-848360</wp:posOffset>
            </wp:positionV>
            <wp:extent cx="7054850"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5">
                      <a:extLst>
                        <a:ext uri="{28A0092B-C50C-407E-A947-70E740481C1C}"/>
                      </a:extLst>
                    </a:blip>
                    <a:srcRect/>
                    <a:stretch>
                      <a:fillRect/>
                    </a:stretch>
                  </pic:blipFill>
                  <pic:spPr bwMode="auto">
                    <a:xfrm>
                      <a:off x="0" y="0"/>
                      <a:ext cx="7054850" cy="25717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-445135</wp:posOffset>
            </wp:positionV>
            <wp:extent cx="7054850"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6">
                      <a:extLst>
                        <a:ext uri="{28A0092B-C50C-407E-A947-70E740481C1C}"/>
                      </a:extLst>
                    </a:blip>
                    <a:srcRect/>
                    <a:stretch>
                      <a:fillRect/>
                    </a:stretch>
                  </pic:blipFill>
                  <pic:spPr bwMode="auto">
                    <a:xfrm>
                      <a:off x="0" y="0"/>
                      <a:ext cx="7054850" cy="25717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260" w:space="80"/>
            <w:col w:w="5840"/>
          </w:cols>
          <w:pgMar w:left="320" w:top="373"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31750</wp:posOffset>
            </wp:positionV>
            <wp:extent cx="70548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7">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57785</wp:posOffset>
            </wp:positionV>
            <wp:extent cx="70548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73" w:right="39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83"/>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710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rPr>
              <w:t>REGENERON PHARMACEUTICALS,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10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tcPr>
          <w:p>
            <w:pPr>
              <w:jc w:val="center"/>
              <w:ind w:left="3230"/>
              <w:spacing w:after="0"/>
              <w:rPr>
                <w:sz w:val="20"/>
                <w:szCs w:val="20"/>
                <w:color w:val="auto"/>
              </w:rPr>
            </w:pPr>
            <w:r>
              <w:rPr>
                <w:rFonts w:ascii="Arial" w:cs="Arial" w:eastAsia="Arial" w:hAnsi="Arial"/>
                <w:sz w:val="18"/>
                <w:szCs w:val="18"/>
                <w:b w:val="1"/>
                <w:bCs w:val="1"/>
                <w:i w:val="1"/>
                <w:iCs w:val="1"/>
                <w:color w:val="auto"/>
                <w:w w:val="93"/>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09"/>
        </w:trPr>
        <w:tc>
          <w:tcPr>
            <w:tcW w:w="120" w:type="dxa"/>
            <w:vAlign w:val="bottom"/>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8,075.3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2,115.8</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210.3</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Non-cash compensation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29"/>
        </w:trPr>
        <w:tc>
          <w:tcPr>
            <w:tcW w:w="1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Arial" w:cs="Arial" w:eastAsia="Arial" w:hAnsi="Arial"/>
                <w:sz w:val="18"/>
                <w:szCs w:val="18"/>
                <w:color w:val="auto"/>
              </w:rPr>
              <w:t>Gains on marketable and other securities,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non-cash items,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680"/>
              <w:spacing w:after="0"/>
              <w:rPr>
                <w:sz w:val="20"/>
                <w:szCs w:val="20"/>
                <w:color w:val="auto"/>
              </w:rPr>
            </w:pPr>
            <w:r>
              <w:rPr>
                <w:rFonts w:ascii="Arial" w:cs="Arial" w:eastAsia="Arial" w:hAnsi="Arial"/>
                <w:sz w:val="18"/>
                <w:szCs w:val="18"/>
                <w:color w:val="auto"/>
              </w:rPr>
              <w:t>Increase in 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(523.7)</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Increase in inventories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r>
      <w:tr>
        <w:trPr>
          <w:trHeight w:val="229"/>
        </w:trPr>
        <w:tc>
          <w:tcPr>
            <w:tcW w:w="120" w:type="dxa"/>
            <w:vAlign w:val="bottom"/>
          </w:tcPr>
          <w:p>
            <w:pPr>
              <w:spacing w:after="0"/>
              <w:rPr>
                <w:sz w:val="19"/>
                <w:szCs w:val="19"/>
                <w:color w:val="auto"/>
              </w:rPr>
            </w:pPr>
          </w:p>
        </w:tc>
        <w:tc>
          <w:tcPr>
            <w:tcW w:w="6660" w:type="dxa"/>
            <w:vAlign w:val="bottom"/>
            <w:gridSpan w:val="2"/>
          </w:tcPr>
          <w:p>
            <w:pPr>
              <w:ind w:left="680"/>
              <w:spacing w:after="0"/>
              <w:rPr>
                <w:sz w:val="20"/>
                <w:szCs w:val="20"/>
                <w:color w:val="auto"/>
              </w:rPr>
            </w:pPr>
            <w:r>
              <w:rPr>
                <w:rFonts w:ascii="Arial" w:cs="Arial" w:eastAsia="Arial" w:hAnsi="Arial"/>
                <w:sz w:val="18"/>
                <w:szCs w:val="18"/>
                <w:color w:val="auto"/>
              </w:rPr>
              <w:t>(Increase) decrease in prepaid expenses and other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(Decrease) increase in deferred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29"/>
        </w:trPr>
        <w:tc>
          <w:tcPr>
            <w:tcW w:w="120" w:type="dxa"/>
            <w:vAlign w:val="bottom"/>
          </w:tcPr>
          <w:p>
            <w:pPr>
              <w:spacing w:after="0"/>
              <w:rPr>
                <w:sz w:val="19"/>
                <w:szCs w:val="19"/>
                <w:color w:val="auto"/>
              </w:rPr>
            </w:pPr>
          </w:p>
        </w:tc>
        <w:tc>
          <w:tcPr>
            <w:tcW w:w="66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w:t>
            </w:r>
          </w:p>
        </w:tc>
      </w:tr>
      <w:tr>
        <w:trPr>
          <w:trHeight w:val="223"/>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r>
      <w:tr>
        <w:trPr>
          <w:trHeight w:val="223"/>
        </w:trPr>
        <w:tc>
          <w:tcPr>
            <w:tcW w:w="120" w:type="dxa"/>
            <w:vAlign w:val="bottom"/>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2,430.0</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Purchases of marketable and other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(3,202.4)</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Sales or maturities of marketable and other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1,604.2</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r>
      <w:tr>
        <w:trPr>
          <w:trHeight w:val="223"/>
        </w:trPr>
        <w:tc>
          <w:tcPr>
            <w:tcW w:w="120" w:type="dxa"/>
            <w:vAlign w:val="bottom"/>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(2,027.8)</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w w:val="96"/>
              </w:rPr>
              <w:t>Payments in connection with Common Stock tendered for employee tax obligations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bridge loan facility</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Repayment of bridge loan facility</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0" w:type="dxa"/>
            <w:vAlign w:val="bottom"/>
          </w:tcPr>
          <w:p>
            <w:pPr>
              <w:spacing w:after="0"/>
              <w:rPr>
                <w:sz w:val="19"/>
                <w:szCs w:val="19"/>
                <w:color w:val="auto"/>
              </w:rPr>
            </w:pPr>
          </w:p>
        </w:tc>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16"/>
        </w:trPr>
        <w:tc>
          <w:tcPr>
            <w:tcW w:w="120" w:type="dxa"/>
            <w:vAlign w:val="bottom"/>
          </w:tcPr>
          <w:p>
            <w:pPr>
              <w:spacing w:after="0"/>
              <w:rPr>
                <w:sz w:val="18"/>
                <w:szCs w:val="18"/>
                <w:color w:val="auto"/>
              </w:rPr>
            </w:pPr>
          </w:p>
        </w:tc>
        <w:tc>
          <w:tcPr>
            <w:tcW w:w="6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5"/>
        </w:trPr>
        <w:tc>
          <w:tcPr>
            <w:tcW w:w="12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20"/>
        </w:trPr>
        <w:tc>
          <w:tcPr>
            <w:tcW w:w="120" w:type="dxa"/>
            <w:vAlign w:val="bottom"/>
          </w:tcPr>
          <w:p>
            <w:pPr>
              <w:spacing w:after="0" w:line="20" w:lineRule="exact"/>
              <w:rPr>
                <w:sz w:val="1"/>
                <w:szCs w:val="1"/>
                <w:color w:val="auto"/>
              </w:rPr>
            </w:pPr>
          </w:p>
        </w:tc>
        <w:tc>
          <w:tcPr>
            <w:tcW w:w="66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r>
    </w:tbl>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78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43180</wp:posOffset>
            </wp:positionV>
            <wp:extent cx="6978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1">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 and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Regeneron Pharmaceuticals, Inc. and its subsidiaries ("Regeneron," "Company," "we," "us," and "our")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 We currently have nine products that have received marketing approval by the U.S. Food and Drug Administration ("FDA"). In addition, REGEN-COV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has not been approved by the FDA, but has been authorized under an Emergency Use Authorization ("EUA") (see Note 3 and Note 6 for additional information). The Company is a party to collaboration agreements to develop and commercialize, as applicable, certain products and product candidates (see Note 3).</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in one business segment, which includes all activities related to the discovery, development, and commercialization of medicines for serious diseases. The Company's business is subject to certain risks including, but not limited to, uncertainties relating to conducting research activities, product development, obtaining regulatory approvals, competition, and obtaining and enforcing patents.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include the accounts of Regeneron and its wholly-owned subsidiaries. Intercompany balances and transactions are eliminated in consolidation. Certain reclassifications have been made to prior period amounts to conform with the current period's presentation.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The extent to which the COVID-19 pandemic may directly or indirectly impact our business, financial condition, and results of operations is highly uncertain and subject to change. We considered the potential impact of the COVID-19 pandemic on our estimates and assumptions and, other than the inventory write-offs and reserves recorded related to REGEN-COV (see Note 6), there was not a material impact to our consolidated financial statements as of and for the year ended December 31, 2021; however, actual results could differ from those estimates and there may be changes to our estimates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Financial instruments which potentially expose the Company to concentrations of credit risk consist of cash, cash equivalents, certain investments, and accounts receivable. In accordance with the Company's policies, the Company mandates asset diversification and monitors exposure with its counterparties.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Concentrations of credit risk with respect to customer and collaborator accounts receivable are significant. As of December 31, 2021, three individual customers accounted for 91% (including 29% related to the U.S. government) of the Company's net trade accounts receivable balances. Three individual customers accounted for 93% of the Company's net trade accounts receivable balances as of December 31, 2020. The Company has contractual payment terms with each of its collaborators and customers, and the Company monitors their financial performance and credit worthiness so that it can properly assess and respond to any changes in their credit profile. As of December 31, 2021 and 2020, there were no write-offs and allowances of accounts receivable related to credit risk for our collaborators or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Securities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an investment policy that includes guidelines on acceptable investment securities, minimum credit quality, maturity parameters, and diversification. We invest our cash primarily in debt securities. We consider our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investments in equity securities that are carried at fair value with changes in fair value recognized within other income (expense), net. We have elected to measure certain equity investments we hold that do not have readily determinable fair values at cost less impairment, if any, and adjust for observable price changes in orderly transactions for identical or similar investments of the same issuer within other income (expense), net.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trade accounts receivable arise from product sales and represent amounts due from its customers, which are all located in the United States.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or net realizable value. The Company determines the cost of inventory using the first-in, first-out, or FIFO, method.</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analyzes its inventory levels to identify inventory that may expire prior to expected sale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inventory to its estimated realizable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income (loss) from operations. The estimated useful lives of property, plant, and equipment are as follows:</w:t>
      </w:r>
    </w:p>
    <w:p>
      <w:pPr>
        <w:spacing w:after="0" w:line="246" w:lineRule="exact"/>
        <w:rPr>
          <w:sz w:val="20"/>
          <w:szCs w:val="20"/>
          <w:color w:val="auto"/>
        </w:rPr>
      </w:pPr>
    </w:p>
    <w:tbl>
      <w:tblPr>
        <w:tblLayout w:type="fixed"/>
        <w:tblInd w:w="3520" w:type="dxa"/>
        <w:tblCellMar>
          <w:top w:w="0" w:type="dxa"/>
          <w:left w:w="0" w:type="dxa"/>
          <w:bottom w:w="0" w:type="dxa"/>
          <w:right w:w="0" w:type="dxa"/>
        </w:tblCellMar>
      </w:tblP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10–50 years</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Laboratory and other equipment</w:t>
            </w:r>
          </w:p>
        </w:tc>
        <w:tc>
          <w:tcPr>
            <w:tcW w:w="1560" w:type="dxa"/>
            <w:vAlign w:val="bottom"/>
          </w:tcPr>
          <w:p>
            <w:pPr>
              <w:ind w:left="340"/>
              <w:spacing w:after="0"/>
              <w:rPr>
                <w:sz w:val="20"/>
                <w:szCs w:val="20"/>
                <w:color w:val="auto"/>
              </w:rPr>
            </w:pPr>
            <w:r>
              <w:rPr>
                <w:rFonts w:ascii="Arial" w:cs="Arial" w:eastAsia="Arial" w:hAnsi="Arial"/>
                <w:sz w:val="18"/>
                <w:szCs w:val="18"/>
                <w:color w:val="auto"/>
              </w:rPr>
              <w:t>3–10 years</w:t>
            </w: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The Company's lease terms may include options to extend or terminate a lease when it is reasonably certain that it will exercise that option. The Company accounts for lease components (e.g., rental payments) separately from non-lease components (e.g., common area maintenance costs).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Right-of-use assets and lease liabilities are recognized at the lease commencement date based on the present value of lease payments over the lease term, unless there is a transfer of title or purchase option we are reasonably certain to exercise. For leases where an implicit rate is not readily determinable, we use our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Product Revenue</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product sales is recognized at a point in time when our customer is deemed to have obtained control of the product, which generally occurs upon receipt or acceptance by our customer.</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125" w:lineRule="exact"/>
        <w:rPr>
          <w:sz w:val="20"/>
          <w:szCs w:val="20"/>
          <w:color w:val="auto"/>
        </w:rPr>
      </w:pPr>
    </w:p>
    <w:p>
      <w:pPr>
        <w:jc w:val="both"/>
        <w:ind w:left="660" w:hanging="328"/>
        <w:spacing w:after="0" w:line="25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The Company’s rebates include amounts paid to managed care organizations, group purchasing organizations, state Medicaid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rebate programs. The Company estimates reductions to product sales for each type of rebate and records an allowance for rebates in the same period in which the related product sales are recognized. The Company’s liability for rebates consists of estimates for claims related to the current and prior periods that have not been paid and estimates for claims that will be made related to inventory that exists in the distribution channel at the end of the period.</w:t>
      </w:r>
    </w:p>
    <w:p>
      <w:pPr>
        <w:spacing w:after="0" w:line="3"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Chargebacks and Discounts: </w:t>
      </w:r>
      <w:r>
        <w:rPr>
          <w:rFonts w:ascii="Arial" w:cs="Arial" w:eastAsia="Arial" w:hAnsi="Arial"/>
          <w:sz w:val="17"/>
          <w:szCs w:val="17"/>
          <w:color w:val="auto"/>
        </w:rPr>
        <w:t>The Company's reserves related to discounted pricing to eligible physicians, Veterans' Administration ("VA"), Public</w:t>
      </w:r>
      <w:r>
        <w:rPr>
          <w:rFonts w:ascii="Arial" w:cs="Arial" w:eastAsia="Arial" w:hAnsi="Arial"/>
          <w:sz w:val="17"/>
          <w:szCs w:val="17"/>
          <w:i w:val="1"/>
          <w:iCs w:val="1"/>
          <w:color w:val="auto"/>
        </w:rPr>
        <w:t xml:space="preserve"> </w:t>
      </w:r>
      <w:r>
        <w:rPr>
          <w:rFonts w:ascii="Arial" w:cs="Arial" w:eastAsia="Arial" w:hAnsi="Arial"/>
          <w:sz w:val="17"/>
          <w:szCs w:val="17"/>
          <w:color w:val="auto"/>
        </w:rPr>
        <w:t>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discounted selling price to the qualified healthcare providers. The Company estimates reductions to product sales for each type of chargeback and records an allowance for chargebacks in the same period that the related product sales are recognized. The Company's reserve for chargebacks consists of amounts for which we expect to issue credit based on expected sales by our customers to qualified healthcare providers and chargebacks that customers have claimed but for which we have not yet issued credit.</w:t>
      </w:r>
    </w:p>
    <w:p>
      <w:pPr>
        <w:spacing w:after="0" w:line="1"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records distribution and related fees due to its customers generally based on gross sales.</w:t>
      </w:r>
    </w:p>
    <w:p>
      <w:pPr>
        <w:ind w:left="660" w:hanging="328"/>
        <w:spacing w:after="0" w:line="323" w:lineRule="auto"/>
        <w:tabs>
          <w:tab w:leader="none" w:pos="655"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Other Sales-Related Deductions</w:t>
      </w:r>
      <w:r>
        <w:rPr>
          <w:rFonts w:ascii="Arial" w:cs="Arial" w:eastAsia="Arial" w:hAnsi="Arial"/>
          <w:sz w:val="16"/>
          <w:szCs w:val="16"/>
          <w:color w:val="auto"/>
        </w:rPr>
        <w:t>: The Company's other sales-related deductions include co-pay assistance programs and product returns.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estimates and records other sales-related deductions generally based on gross sales, written contracts, and other relevant factors.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industry practice, the Company offers its customers a limited right to return product purchased directly from the Company, which is principally based upon the 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various collaborative arrangements to research, develop, manufacture, and commercialize products and/or product candidates.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arrangements where we do not deem our collaborator to be our customer, payments to and from our collaborator are presented in our statement of operations based on the nature of our business operations, the nature of the arrangement, including the contractual terms, and the nature of the payments, as summarized in the table and further described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ind w:left="1820"/>
              <w:spacing w:after="0"/>
              <w:rPr>
                <w:sz w:val="20"/>
                <w:szCs w:val="20"/>
                <w:color w:val="auto"/>
              </w:rPr>
            </w:pPr>
            <w:r>
              <w:rPr>
                <w:rFonts w:ascii="Arial" w:cs="Arial" w:eastAsia="Arial" w:hAnsi="Arial"/>
                <w:sz w:val="18"/>
                <w:szCs w:val="18"/>
                <w:b w:val="1"/>
                <w:bCs w:val="1"/>
                <w:color w:val="auto"/>
              </w:rPr>
              <w:t>Nature/Type of Payment</w:t>
            </w:r>
          </w:p>
        </w:tc>
        <w:tc>
          <w:tcPr>
            <w:tcW w:w="5300" w:type="dxa"/>
            <w:vAlign w:val="bottom"/>
          </w:tcPr>
          <w:p>
            <w:pPr>
              <w:ind w:left="1200"/>
              <w:spacing w:after="0"/>
              <w:rPr>
                <w:sz w:val="20"/>
                <w:szCs w:val="20"/>
                <w:color w:val="auto"/>
              </w:rPr>
            </w:pPr>
            <w:r>
              <w:rPr>
                <w:rFonts w:ascii="Arial" w:cs="Arial" w:eastAsia="Arial" w:hAnsi="Arial"/>
                <w:sz w:val="18"/>
                <w:szCs w:val="18"/>
                <w:b w:val="1"/>
                <w:bCs w:val="1"/>
                <w:color w:val="auto"/>
              </w:rPr>
              <w:t>Statement of Operations Presentation</w:t>
            </w:r>
          </w:p>
        </w:tc>
      </w:tr>
      <w:tr>
        <w:trPr>
          <w:trHeight w:val="169"/>
        </w:trPr>
        <w:tc>
          <w:tcPr>
            <w:tcW w:w="55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1"/>
              </w:rPr>
              <w:t>Regeneron's share of profits or losses in connection with commercialization</w:t>
            </w:r>
          </w:p>
        </w:tc>
        <w:tc>
          <w:tcPr>
            <w:tcW w:w="120" w:type="dxa"/>
            <w:vAlign w:val="bottom"/>
            <w:tcBorders>
              <w:top w:val="single" w:sz="8" w:color="CCEEFF"/>
            </w:tcBorders>
            <w:shd w:val="clear" w:color="auto" w:fill="CCEEFF"/>
          </w:tcPr>
          <w:p>
            <w:pPr>
              <w:spacing w:after="0"/>
              <w:rPr>
                <w:sz w:val="14"/>
                <w:szCs w:val="14"/>
                <w:color w:val="auto"/>
              </w:rPr>
            </w:pPr>
          </w:p>
        </w:tc>
        <w:tc>
          <w:tcPr>
            <w:tcW w:w="53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Collaboration revenue</w:t>
            </w:r>
          </w:p>
        </w:tc>
      </w:tr>
      <w:tr>
        <w:trPr>
          <w:trHeight w:val="229"/>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products</w:t>
            </w:r>
          </w:p>
        </w:tc>
        <w:tc>
          <w:tcPr>
            <w:tcW w:w="5300" w:type="dxa"/>
            <w:vAlign w:val="bottom"/>
            <w:shd w:val="clear" w:color="auto" w:fill="CCEEFF"/>
          </w:tcPr>
          <w:p>
            <w:pPr>
              <w:spacing w:after="0"/>
              <w:rPr>
                <w:sz w:val="19"/>
                <w:szCs w:val="19"/>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Reimbursement for manufacturing of commercial supplies</w:t>
            </w:r>
          </w:p>
        </w:tc>
        <w:tc>
          <w:tcPr>
            <w:tcW w:w="5300" w:type="dxa"/>
            <w:vAlign w:val="bottom"/>
          </w:tcPr>
          <w:p>
            <w:pPr>
              <w:ind w:left="20"/>
              <w:spacing w:after="0"/>
              <w:rPr>
                <w:sz w:val="20"/>
                <w:szCs w:val="20"/>
                <w:color w:val="auto"/>
              </w:rPr>
            </w:pPr>
            <w:r>
              <w:rPr>
                <w:rFonts w:ascii="Arial" w:cs="Arial" w:eastAsia="Arial" w:hAnsi="Arial"/>
                <w:sz w:val="18"/>
                <w:szCs w:val="18"/>
                <w:color w:val="auto"/>
              </w:rPr>
              <w:t>Collaboration revenue</w:t>
            </w:r>
          </w:p>
        </w:tc>
      </w:tr>
      <w:tr>
        <w:trPr>
          <w:trHeight w:val="22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Royalties and/or sales-based milestones earned</w:t>
            </w:r>
          </w:p>
        </w:tc>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Reimbursement of Regeneron's research and development expenses</w:t>
            </w:r>
          </w:p>
        </w:tc>
        <w:tc>
          <w:tcPr>
            <w:tcW w:w="5300" w:type="dxa"/>
            <w:vAlign w:val="bottom"/>
          </w:tcPr>
          <w:p>
            <w:pPr>
              <w:ind w:left="20"/>
              <w:spacing w:after="0"/>
              <w:rPr>
                <w:sz w:val="20"/>
                <w:szCs w:val="20"/>
                <w:color w:val="auto"/>
              </w:rPr>
            </w:pPr>
            <w:r>
              <w:rPr>
                <w:rFonts w:ascii="Arial" w:cs="Arial" w:eastAsia="Arial" w:hAnsi="Arial"/>
                <w:sz w:val="18"/>
                <w:szCs w:val="18"/>
                <w:color w:val="auto"/>
              </w:rPr>
              <w:t>Reduction to Research and development expenses</w:t>
            </w:r>
          </w:p>
        </w:tc>
      </w:tr>
      <w:tr>
        <w:trPr>
          <w:trHeight w:val="175"/>
        </w:trPr>
        <w:tc>
          <w:tcPr>
            <w:tcW w:w="5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Regeneron's obligation for its share of collaborator's research and</w:t>
            </w:r>
          </w:p>
        </w:tc>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Research and development expense</w:t>
            </w:r>
          </w:p>
        </w:tc>
      </w:tr>
      <w:tr>
        <w:trPr>
          <w:trHeight w:val="23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expenses</w:t>
            </w:r>
          </w:p>
        </w:tc>
        <w:tc>
          <w:tcPr>
            <w:tcW w:w="5300" w:type="dxa"/>
            <w:vAlign w:val="bottom"/>
            <w:shd w:val="clear" w:color="auto" w:fill="CCEEFF"/>
          </w:tcPr>
          <w:p>
            <w:pPr>
              <w:spacing w:after="0"/>
              <w:rPr>
                <w:sz w:val="19"/>
                <w:szCs w:val="19"/>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Up-front and development milestone payments to collaborators</w:t>
            </w:r>
          </w:p>
        </w:tc>
        <w:tc>
          <w:tcPr>
            <w:tcW w:w="530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r>
      <w:tr>
        <w:trPr>
          <w:trHeight w:val="22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Reimbursement of Regeneron's commercialization-related expenses</w:t>
            </w:r>
          </w:p>
        </w:tc>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Selling, general, and administrative expense</w:t>
            </w:r>
          </w:p>
        </w:tc>
      </w:tr>
      <w:tr>
        <w:trPr>
          <w:trHeight w:val="176"/>
        </w:trPr>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Regeneron's obligation for its share of collaborator's commercialization-</w:t>
            </w:r>
          </w:p>
        </w:tc>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 expense</w:t>
            </w:r>
          </w:p>
        </w:tc>
      </w:tr>
      <w:tr>
        <w:trPr>
          <w:trHeight w:val="229"/>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related expenses</w:t>
            </w:r>
          </w:p>
        </w:tc>
        <w:tc>
          <w:tcPr>
            <w:tcW w:w="5300" w:type="dxa"/>
            <w:vAlign w:val="bottom"/>
          </w:tcPr>
          <w:p>
            <w:pPr>
              <w:spacing w:after="0"/>
              <w:rPr>
                <w:sz w:val="19"/>
                <w:szCs w:val="19"/>
                <w:color w:val="auto"/>
              </w:rPr>
            </w:pPr>
          </w:p>
        </w:tc>
      </w:tr>
      <w:tr>
        <w:trPr>
          <w:trHeight w:val="176"/>
        </w:trPr>
        <w:tc>
          <w:tcPr>
            <w:tcW w:w="5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Regeneron's obligation to pay collaborator for its share of gross profits</w:t>
            </w:r>
          </w:p>
        </w:tc>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w:t>
            </w:r>
          </w:p>
        </w:tc>
      </w:tr>
      <w:tr>
        <w:trPr>
          <w:trHeight w:val="229"/>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when Regeneron is deemed to be the principal</w:t>
            </w:r>
          </w:p>
        </w:tc>
        <w:tc>
          <w:tcPr>
            <w:tcW w:w="5300" w:type="dxa"/>
            <w:vAlign w:val="bottom"/>
            <w:shd w:val="clear" w:color="auto" w:fill="CCEEFF"/>
          </w:tcPr>
          <w:p>
            <w:pPr>
              <w:spacing w:after="0"/>
              <w:rPr>
                <w:sz w:val="19"/>
                <w:szCs w:val="19"/>
                <w:color w:val="auto"/>
              </w:rPr>
            </w:pPr>
          </w:p>
        </w:tc>
      </w:tr>
      <w:tr>
        <w:trPr>
          <w:trHeight w:val="176"/>
        </w:trPr>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Up-front and development milestones earned (when we have a combined</w:t>
            </w:r>
          </w:p>
        </w:tc>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Other operating income</w:t>
            </w:r>
          </w:p>
        </w:tc>
      </w:tr>
      <w:tr>
        <w:trPr>
          <w:trHeight w:val="175"/>
        </w:trPr>
        <w:tc>
          <w:tcPr>
            <w:tcW w:w="56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unit of account which includes a license and providing research and</w:t>
            </w:r>
          </w:p>
        </w:tc>
        <w:tc>
          <w:tcPr>
            <w:tcW w:w="5300" w:type="dxa"/>
            <w:vAlign w:val="bottom"/>
          </w:tcPr>
          <w:p>
            <w:pPr>
              <w:spacing w:after="0"/>
              <w:rPr>
                <w:sz w:val="15"/>
                <w:szCs w:val="15"/>
                <w:color w:val="auto"/>
              </w:rPr>
            </w:pPr>
          </w:p>
        </w:tc>
      </w:tr>
      <w:tr>
        <w:trPr>
          <w:trHeight w:val="230"/>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development services)</w:t>
            </w:r>
          </w:p>
        </w:tc>
        <w:tc>
          <w:tcPr>
            <w:tcW w:w="530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agreements involving multiple goods or services promised to be transferred to our collaborator, we must assess, at the inception of the contract, whether each promise represents a separate obligation (i.e.,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(i.e.,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We recognized other operating income in connection with non-refundable up-front and development milestones previously received, for which we used an input method, of $42.5 million and $276.7 million for the years ended December 31, 2021 and 2020, respectively. As of December 31, 2021, $322.5 million was included in other liabilities representing the amount of previously deferred non-refundable up-front and development milestones expected to be recognized in other operating income over time.</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are entitled to reimbursement of all or a portion of the expenses (e.g., research and development expenses) that we incur under a collaboration, we record those reimbursable amounts in the period in which such costs are incurred.</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collaborator performs research and development work or commercialization-related activities and share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left="660" w:right="20" w:hanging="328"/>
        <w:spacing w:after="0" w:line="255"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each quarter. The estimates are revised, if necessary, in subsequent periods if our actual share of profits or losses differ from those estimates.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expenses include costs attributable to the conduct of research and development programs, including the cost of salaries, payroll taxes, employee benefits, materials, supplies, depreciation on and maintenance of research equipment, costs related to research collaboration and licensing agreements, clinical trial expenses, the cost of services provided by outside contractors, including services related to the Company's clinical trials, the full cost of manufacturing drug for use in research and development, amounts that the Company is obligated to reimburse to collaborators for research and development expenses that they incur, and the allocable portions of facility costs. Costs associated with research and development are expensed.</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clinical trial that we conduct, certain clinical trial costs are expensed immediately, while others are expensed over time based on the expected total number of patients in the trial, the rate at which patients enter and remain in the trial, and/or the period over which clinical investigators, contract research organizations ("CROs"), or other third-party service providers are expected to provide services. In the event of early termination of a clinical trial, we accrue and recognize expenses in an amount based on our estimate of the remaining noncancelable obligations associated with the winding-down of the clinical trial, including any applicable penalties.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stock-based compensation expense for equity grants under the Company's long-term incentive plans to employees and non-employee members of the Company's board of directors (as applicable) based on the grant-date fair value of those awards. The grant-date fair value of an award is generally recognized as compensation expense over the award's requisite service period.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stock option awards is estimated using the Black-Scholes model.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performance-based restricted stock units which are subject to vesting based on the Company’s attainment of pre-established market performance goals is estimated using a Monte Carlo simulation. The probability of the number of actual shares expected to be earned is considered in the grant-date valuation, and therefore, stock-based compensation expense is not adjusted at the vesting date to reflect the actual number of shares earned.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income taxes includes U.S. federal, state, local, and foreign taxes. Income taxes are accounted for under the liability method. Deferred tax assets and liabilities for the expected future tax consequences of events that have been included in the financial statements or tax returns, including deferred tax assets and liabilities for expected amounts of global intangible low-taxed income ("GILTI") inclusions, are recognized on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Uncertain tax positions, for which management's assessment is that there is more than a 50% probability that the position will be sustained upon examination by a taxing authority based upon its technical merits, are subjected to certain recognition and measurement criteria. The Company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amount of the liability to reflect any subsequent changes in the relevant facts and circumstances surrounding the uncertain positions. The Company recognizes interest and penalties related to income tax matters in income tax expense.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 Share Data</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(i) outstanding stock options and unvested restricted stock under the Company's long-term incentive plans, which are included under the treasury stock method when dilutive, and (ii) Common Stock that would be issued upon the achievement of certain market conditions, which are included under the treasury stock method when dilutive.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w:t>
      </w:r>
    </w:p>
    <w:p>
      <w:pPr>
        <w:spacing w:after="0" w:line="275"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5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Product Sales in the United States</w:t>
            </w:r>
          </w:p>
        </w:tc>
        <w:tc>
          <w:tcPr>
            <w:tcW w:w="320" w:type="dxa"/>
            <w:vAlign w:val="bottom"/>
          </w:tcPr>
          <w:p>
            <w:pPr>
              <w:spacing w:after="0"/>
              <w:rPr>
                <w:sz w:val="15"/>
                <w:szCs w:val="15"/>
                <w:color w:val="auto"/>
              </w:rPr>
            </w:pPr>
          </w:p>
        </w:tc>
        <w:tc>
          <w:tcPr>
            <w:tcW w:w="9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29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4,644.2</w:t>
            </w:r>
          </w:p>
        </w:tc>
      </w:tr>
      <w:tr>
        <w:trPr>
          <w:trHeight w:val="230"/>
        </w:trPr>
        <w:tc>
          <w:tcPr>
            <w:tcW w:w="20" w:type="dxa"/>
            <w:vAlign w:val="bottom"/>
          </w:tcPr>
          <w:p>
            <w:pPr>
              <w:spacing w:after="0"/>
              <w:rPr>
                <w:sz w:val="19"/>
                <w:szCs w:val="19"/>
                <w:color w:val="auto"/>
              </w:rPr>
            </w:pPr>
          </w:p>
        </w:tc>
        <w:tc>
          <w:tcPr>
            <w:tcW w:w="3580" w:type="dxa"/>
            <w:vAlign w:val="bottom"/>
            <w:gridSpan w:val="2"/>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2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80" w:type="dxa"/>
            <w:vAlign w:val="bottom"/>
            <w:gridSpan w:val="2"/>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12,117.2</w:t>
            </w: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900" w:right="2000" w:firstLine="9"/>
        <w:spacing w:after="0" w:line="215" w:lineRule="auto"/>
        <w:tabs>
          <w:tab w:leader="none" w:pos="1999"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Effective April 1, 2020, the Company became solely responsible for the development and commercialization of Praluent in the United States and records net product sales of Praluent in the United States. Previously, Sanofi recorded net product sales of Praluent in the United States. See Note 3 for further details.</w:t>
      </w:r>
    </w:p>
    <w:p>
      <w:pPr>
        <w:spacing w:after="0" w:line="15" w:lineRule="exact"/>
        <w:rPr>
          <w:sz w:val="20"/>
          <w:szCs w:val="20"/>
          <w:color w:val="auto"/>
        </w:rPr>
      </w:pPr>
    </w:p>
    <w:p>
      <w:pPr>
        <w:ind w:left="1900" w:right="2040" w:firstLine="9"/>
        <w:spacing w:after="0" w:line="197" w:lineRule="auto"/>
        <w:tabs>
          <w:tab w:leader="none" w:pos="2057" w:val="left"/>
        </w:tabs>
        <w:numPr>
          <w:ilvl w:val="0"/>
          <w:numId w:val="47"/>
        </w:numPr>
        <w:rPr>
          <w:rFonts w:ascii="Arial" w:cs="Arial" w:eastAsia="Arial" w:hAnsi="Arial"/>
          <w:sz w:val="23"/>
          <w:szCs w:val="23"/>
          <w:color w:val="auto"/>
          <w:vertAlign w:val="superscript"/>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9" w:lineRule="exact"/>
        <w:rPr>
          <w:rFonts w:ascii="Arial" w:cs="Arial" w:eastAsia="Arial" w:hAnsi="Arial"/>
          <w:sz w:val="23"/>
          <w:szCs w:val="23"/>
          <w:color w:val="auto"/>
          <w:vertAlign w:val="superscript"/>
        </w:rPr>
      </w:pPr>
    </w:p>
    <w:p>
      <w:pPr>
        <w:ind w:left="1900" w:right="1840" w:firstLine="9"/>
        <w:spacing w:after="0" w:line="197" w:lineRule="auto"/>
        <w:tabs>
          <w:tab w:leader="none" w:pos="2116" w:val="left"/>
        </w:tabs>
        <w:numPr>
          <w:ilvl w:val="0"/>
          <w:numId w:val="48"/>
        </w:numPr>
        <w:rPr>
          <w:rFonts w:ascii="Arial" w:cs="Arial" w:eastAsia="Arial" w:hAnsi="Arial"/>
          <w:sz w:val="23"/>
          <w:szCs w:val="23"/>
          <w:color w:val="auto"/>
          <w:vertAlign w:val="superscript"/>
        </w:rPr>
      </w:pPr>
      <w:r>
        <w:rPr>
          <w:rFonts w:ascii="Arial" w:cs="Arial" w:eastAsia="Arial" w:hAnsi="Arial"/>
          <w:sz w:val="16"/>
          <w:szCs w:val="16"/>
          <w:color w:val="auto"/>
        </w:rPr>
        <w:t>Net product sales of REGEN-COV in the United States relate to product sold in connection with our agreements with the U.S. government. See Note 3 for further details.</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and 2020, the Company had $5.059 billion and $3.112 billion, respectively, of trade accounts receivable that were recorded within Accounts receivable, net.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each of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2020, and 2019. Sales to each of these customers as a percentage of the Company's total gross product revenue are as follows:</w:t>
      </w:r>
    </w:p>
    <w:p>
      <w:pPr>
        <w:spacing w:after="0" w:line="284"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55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 Corporation</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57 %</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260" w:type="dxa"/>
            <w:vAlign w:val="bottom"/>
          </w:tcPr>
          <w:p>
            <w:pPr>
              <w:ind w:left="860"/>
              <w:spacing w:after="0"/>
              <w:rPr>
                <w:sz w:val="20"/>
                <w:szCs w:val="20"/>
                <w:color w:val="auto"/>
              </w:rPr>
            </w:pPr>
            <w:r>
              <w:rPr>
                <w:rFonts w:ascii="Arial" w:cs="Arial" w:eastAsia="Arial" w:hAnsi="Arial"/>
                <w:sz w:val="18"/>
                <w:szCs w:val="18"/>
                <w:color w:val="auto"/>
                <w:w w:val="92"/>
              </w:rPr>
              <w:t>33 %</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54" w:lineRule="exact"/>
        <w:rPr>
          <w:sz w:val="20"/>
          <w:szCs w:val="20"/>
          <w:color w:val="auto"/>
        </w:rPr>
      </w:pPr>
    </w:p>
    <w:p>
      <w:pPr>
        <w:ind w:left="1200" w:hanging="108"/>
        <w:spacing w:after="0"/>
        <w:tabs>
          <w:tab w:leader="none" w:pos="12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Sales to the U.S. government represented less than 10% of total gross product revenue during the period</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The following table summarizes the provisions, and credits/payments, for sales-related deductions.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7"/>
                <w:szCs w:val="17"/>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Distribution-</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9"/>
              </w:rPr>
              <w:t>Chargebacks,</w:t>
            </w:r>
          </w:p>
        </w:tc>
        <w:tc>
          <w:tcPr>
            <w:tcW w:w="1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5"/>
                <w:szCs w:val="15"/>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and Discounts</w:t>
            </w: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Related Fees</w:t>
            </w:r>
          </w:p>
        </w:tc>
        <w:tc>
          <w:tcPr>
            <w:tcW w:w="20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1,561.1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Other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Statement of Operations</w:t>
            </w: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Classification</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w w:val="95"/>
              </w:rPr>
              <w:t>Regeneron's share of profits in connection with</w:t>
            </w: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209.3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commercialization of antibodies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Sales-based milestones earned</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Sanofi collaboration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Reimbursement for manufacturing of</w:t>
            </w: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216.0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commercial supplies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Reimbursement of research and development</w:t>
            </w:r>
          </w:p>
        </w:tc>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w w:val="99"/>
              </w:rPr>
              <w:t>Regeneron's obligation for its share of Sanofi</w:t>
            </w: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Research and development expense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research and development expenses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Reimbursement of commercialization-related</w:t>
            </w:r>
          </w:p>
        </w:tc>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w w:val="94"/>
              </w:rPr>
              <w:t>Regeneron's share of losses in connection with</w:t>
            </w: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tcPr>
          <w:p>
            <w:pPr>
              <w:ind w:left="380"/>
              <w:spacing w:after="0" w:line="176" w:lineRule="exact"/>
              <w:rPr>
                <w:sz w:val="20"/>
                <w:szCs w:val="20"/>
                <w:color w:val="auto"/>
              </w:rPr>
            </w:pPr>
            <w:r>
              <w:rPr>
                <w:rFonts w:ascii="Arial" w:cs="Arial" w:eastAsia="Arial" w:hAnsi="Arial"/>
                <w:sz w:val="18"/>
                <w:szCs w:val="18"/>
                <w:color w:val="auto"/>
              </w:rPr>
              <w:t>commercialization of Libtayo outside the</w:t>
            </w:r>
          </w:p>
        </w:tc>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for manufacturing of</w:t>
            </w:r>
          </w:p>
        </w:tc>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commercial supplies</w:t>
            </w: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w w:val="97"/>
              </w:rPr>
              <w:t>Reimbursement of research and development</w:t>
            </w: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163.0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Reimbursement of commercialization-related</w:t>
            </w:r>
          </w:p>
        </w:tc>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w w:val="99"/>
              </w:rPr>
              <w:t>Regeneron's obligation for its share of Sanofi</w:t>
            </w: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Selling, general, and administrative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commercial expenses</w:t>
            </w: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obligation for Sanofi's share of</w:t>
            </w:r>
          </w:p>
        </w:tc>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Libtayo U.S. gross profits</w:t>
            </w: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Amounts recognized in connection with up-</w:t>
            </w: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operating income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92.7</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front payments received</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F-15</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is party to a global, strategic collaboration with Sanofi to research, develop, and commercialize fully human monoclonal antibodies (the "Antibody Collaboration"), which currently consists of Dupixent</w:t>
      </w:r>
      <w:r>
        <w:rPr>
          <w:rFonts w:ascii="Arial" w:cs="Arial" w:eastAsia="Arial" w:hAnsi="Arial"/>
          <w:sz w:val="20"/>
          <w:szCs w:val="20"/>
          <w:color w:val="auto"/>
          <w:vertAlign w:val="superscript"/>
        </w:rPr>
        <w:t>®</w:t>
      </w:r>
      <w:r>
        <w:rPr>
          <w:rFonts w:ascii="Arial" w:cs="Arial" w:eastAsia="Arial" w:hAnsi="Arial"/>
          <w:sz w:val="16"/>
          <w:szCs w:val="16"/>
          <w:color w:val="auto"/>
        </w:rPr>
        <w:t>, Kevzara</w:t>
      </w:r>
      <w:r>
        <w:rPr>
          <w:rFonts w:ascii="Arial" w:cs="Arial" w:eastAsia="Arial" w:hAnsi="Arial"/>
          <w:sz w:val="20"/>
          <w:szCs w:val="20"/>
          <w:color w:val="auto"/>
          <w:vertAlign w:val="superscript"/>
        </w:rPr>
        <w:t>®</w:t>
      </w:r>
      <w:r>
        <w:rPr>
          <w:rFonts w:ascii="Arial" w:cs="Arial" w:eastAsia="Arial" w:hAnsi="Arial"/>
          <w:sz w:val="16"/>
          <w:szCs w:val="16"/>
          <w:color w:val="auto"/>
        </w:rPr>
        <w:t>, and itepekimab</w:t>
      </w:r>
      <w:r>
        <w:rPr>
          <w:rFonts w:ascii="Arial" w:cs="Arial" w:eastAsia="Arial" w:hAnsi="Arial"/>
          <w:sz w:val="18"/>
          <w:szCs w:val="18"/>
          <w:i w:val="1"/>
          <w:iCs w:val="1"/>
          <w:color w:val="auto"/>
        </w:rPr>
        <w:t>.</w:t>
      </w:r>
      <w:r>
        <w:rPr>
          <w:rFonts w:ascii="Arial" w:cs="Arial" w:eastAsia="Arial" w:hAnsi="Arial"/>
          <w:sz w:val="16"/>
          <w:szCs w:val="16"/>
          <w:color w:val="auto"/>
        </w:rPr>
        <w:t xml:space="preserve"> Under the terms of the Antibody License and Collaboration Agreement ("LCA"), Sanofi is generally responsible for funding 80%–100% of agreed-upon development costs. We are obligated to reimburse Sanofi for 30%–50% of worldwide development expenses that were funded by Sanofi (collectively, the "development balance") based on our share of collaboration profits from commercialization of collaboration products. However, we are only required to apply 10% of our share of the profits from the Antibody Collaboration in any calendar quarter to reimburse Sanofi for these development costs. The Company's contingent reimbursement obligation (development balance) to Sanofi under the Antibody Collaboration was approximately $3.152 billion as of December 31, 2021.</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2018, the Company and Sanofi entered into a letter agreement (the "Letter Agreement") in connection with, among other matters, the allocation of additional funds to certain activities relating to dupilumab and itepekimab (collectively, the "Dupilumab/Itepekimab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 and Note 11 for additional information regarding shares purchased by us from Sanofi.</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Sanofi leads commercialization activities for products under the Antibody Collaboration, subject to the Company's right to co-commercialize such products. The Company co-commercializes Dupixent in the United States and in certain countries outside the United States.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profit and loss sharing, the Company is entitled to receive sales milestone payments from Sanofi. In each of 2020 and 2021, the Company earned, and recognized as revenue, a $50.0 million sales-based milestone from Sanofi, upon aggregate annual sales of antibodies outside the United States (including Praluent) exceeding $1.0 billion and $1.5 billion, respectively, on a rolling twelve-month basis. We are entitled to receive up to an aggregate of $150.0 million in additional sales milestone payments from Sanofi, which includes the next sales milestone payment of $50.0 million that would be earned when such sales outside the United States exceed $2.0 billion on a rolling twelve-month basis.</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became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15 for discussion of legal proceedings related to Praluent.</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significant promised goods and services in connection with the Antibody Collaboration consist of providing research and development services, including the manufacturing of clinical supplies, and providing commercial-related services, including the manufacturing of commercial supplies. We recognize amounts in connection with the Antibody Collaboration based on the amount we have the right to invoice and such amount corresponds directly with our performance to date; therefore, we do not disclose the value of the transaction price (i.e., the amount of consideration we expect to be entitled to) allocated to our remaining unsatisfied obligations.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181"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party to a collaboration with Sanofi to research,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the Company. Pursuant to the 2015 IO Discovery Agreement, the Company was to identify and validate potential immuno-oncology targets and develop therapeutic antibodies against such targets through clinical proof-of-concept.</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obligated to reimburse Sanofi for half of the development costs it funded that are attributable to clinical development of antibody product candidates from our share of future profits from commercialized IO Collaboration products. However, the Company is only required to apply 10% of its share of the profits from IO Collaboration products in any calendar quarter towards reimbursing Sanofi for these development costs. The Company's contingent reimbursement obligation to Sanofi under the IO Collaboration was approximately $103 million as of December 31, 2021.</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Amended IO Discovery Agreement, the Company was required to conduct development activities with respect to (i) the BCMAxCD3 Program through the earlier of clinical proof-of-concept or the expenditure of $70.0 million and (ii) the MUC16xCD3 Program through the earlier of clinical proof-of-concept or the expenditure of $50.0 million. During the first quarter of 2021, Sanofi did not exercise its options to license rights to these product candidates; as a result, we retain the exclusive right to develop and commercialize such product candidates and Sanofi will receive a royalty on sales (if any). In addition, the Company has no further obligations to develop drug product candidates under the Amended IO Discovery Agreement.</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execution of the IO License and Collaboration Agreement in 2015, Sanofi made a $375.0 million non-refundable up-front payment to the Company. Under the terms of the IO License and Collaboration Agreement, the parties are co-developing and co-commercializing Libtayo (cemiplimab). The parties share equally, on an ongoing basis, agreed-upon development and commercialization expenses for Libtayo. Pursuant to the Letter Agreement, the Libtayo development budget was increased and the Company allowed Sanofi to satisfy in whole or in part its funding obligations with respect to the Libtayo development and Dupilumab/Itepekimab Eligible Investments incurred in periods through September 30, 2020 by selling certain shares of our Common Stock owned by Sanofi; if Sanofi desired to sell such shares, we were able to elect to purchase, in whole or in part, such shares from Sanofi. See Note 11 for additional information regarding shares purchased by us from Sanofi.</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principal control over the development of Libtayo and leads commercialization activities in the United States (see Note 2 for related product sales information), while Sanofi leads commercialization activities outside of the United States. Sanofi co-commercializes Libtayo in the United States. Each party has the right to co-commercialize licensed products in countries where it is not the lead commercialization party. The parties share equally in profits and losses in connection with the commercialization of Libtayo. In addition, the Company will be entitled to a milestone payment of $375.0 million in the event that global sales of Libtayo equal or exceed $2.0 billion in any consecutive twelve-month period.</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we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we and Sanofi made an up-front payment of $20.0 million and are obligated to pay royalties of 8.0% on worldwide sales of Libtayo through December 31, 2023, and royalties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1" w:name="page122"/>
    <w:bookmarkEnd w:id="1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of 2.5% from January 1, 2024 through December 31, 2026. The up-front payment was shared, and the royalties are shared, equally by us and Sanofi.</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combined unit of account. Consequently, the $640.0 million in aggregate up-front payments made by Sanofi during 2015 in connection with the execution of the IO Collaboration was recorded within other liabilities and has been included in the transaction price.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we updated our estimate of the total research and development costs expected to be incurred (which resulted in a change to the estimate of the stage of completion) in connection with the IO Collaboration, and, as a result, recorded a cumulative catch-up adjustment of $66.9 million as a reduction to other operating income. During 2020, we updated our estimate of the total research and development costs expected to be incurred (which resulted in a change to the estimate of the stage of completion) in connection with the Sanofi IO Collaboration, and, as a result, recorded a cumulative catch-up adjustment of $135.4 million as an increase to other operating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181"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December 31, 2021 was $570.3 million. This amount is expected to be recognized over the remaining period in which the Company is obligated to satisfy its obligation in connection with performing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and aflibercept 8 mg outside the United States. All agreed-upon development expenses incurred by the Company and Bayer are shared equally. The Company is also obligated to use commercially reasonable efforts to supply clinical and commercial bulk product.</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Bayer markets EYLEA outside the United States, where, for countries other than Japan, the companies share equally in profits and losses from sales. In Japan, the Company was entitled to receive a tiered percentage of between 33.5% and 40.0% of EYLEA net product sales through 2021, and thereafter, the companies share equally in profits and losses from sales. Within the United States, the Company is responsible for commercialization and retains profits from such sales. The Company is obligated to reimburse Bayer out of its share of the collaboration profits (including the Company's percentage of sales in Japan) for 50% of the agreed 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$282 million as of December 31, 2021.</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Bayer collaboration are as follows:</w:t>
      </w:r>
    </w:p>
    <w:p>
      <w:pPr>
        <w:spacing w:after="0" w:line="208"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540" w:type="dxa"/>
            <w:vAlign w:val="bottom"/>
            <w:gridSpan w:val="2"/>
          </w:tcPr>
          <w:p>
            <w:pPr>
              <w:ind w:left="280"/>
              <w:spacing w:after="0"/>
              <w:rPr>
                <w:sz w:val="20"/>
                <w:szCs w:val="20"/>
                <w:color w:val="auto"/>
              </w:rPr>
            </w:pPr>
            <w:r>
              <w:rPr>
                <w:rFonts w:ascii="Arial" w:cs="Arial" w:eastAsia="Arial" w:hAnsi="Arial"/>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540" w:type="dxa"/>
            <w:vAlign w:val="bottom"/>
            <w:gridSpan w:val="2"/>
          </w:tcPr>
          <w:p>
            <w:pPr>
              <w:ind w:left="700"/>
              <w:spacing w:after="0"/>
              <w:rPr>
                <w:sz w:val="20"/>
                <w:szCs w:val="20"/>
                <w:color w:val="auto"/>
              </w:rPr>
            </w:pPr>
            <w:r>
              <w:rPr>
                <w:rFonts w:ascii="Arial" w:cs="Arial" w:eastAsia="Arial" w:hAnsi="Arial"/>
                <w:sz w:val="18"/>
                <w:szCs w:val="18"/>
                <w:b w:val="1"/>
                <w:bCs w:val="1"/>
                <w:color w:val="auto"/>
              </w:rPr>
              <w:t>Classification</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169"/>
        </w:trPr>
        <w:tc>
          <w:tcPr>
            <w:tcW w:w="400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Regeneron's net profit in connection with</w:t>
            </w:r>
          </w:p>
        </w:tc>
        <w:tc>
          <w:tcPr>
            <w:tcW w:w="24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Other 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rPr>
              <w:t>commercialization of EYLEA outside the United</w:t>
            </w: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collaboration revenue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w:t>
            </w:r>
          </w:p>
        </w:tc>
        <w:tc>
          <w:tcPr>
            <w:tcW w:w="2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2"/>
              </w:rPr>
              <w:t>Regeneron's obligation for its share of Bayer research</w:t>
            </w:r>
          </w:p>
        </w:tc>
        <w:tc>
          <w:tcPr>
            <w:tcW w:w="2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Research and development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and development expenses</w:t>
            </w:r>
          </w:p>
        </w:tc>
        <w:tc>
          <w:tcPr>
            <w:tcW w:w="254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2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our Bayer collaboration:</w:t>
      </w:r>
    </w:p>
    <w:p>
      <w:pPr>
        <w:spacing w:after="0" w:line="181"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In connection with the agreement, Teva made a $250.0 million non-refundable up-front payment in 2016. The Company leads global development activities, and the parties share development costs equally, on an ongoing basis, under a global development plan. The Company is also responsible for the manufacture and supply of fasinumab globally.</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Company had received an aggregate $120.0 million of development milestones from Teva. The Company is entitled to receive up to an aggregate of $340.0 million in additional development milestones and up to an aggregate of $1.890 billion in contingent payments upon achievement of specified annual net sales amounts.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combined unit of account. Consequently, the $250.0 million up-front payment and development milestones received from Teva, as described above, have been recorded within other liabilities and included in the transaction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Teva Collaboration Agreement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540" w:type="dxa"/>
            <w:vAlign w:val="bottom"/>
            <w:gridSpan w:val="2"/>
          </w:tcPr>
          <w:p>
            <w:pPr>
              <w:ind w:left="260"/>
              <w:spacing w:after="0"/>
              <w:rPr>
                <w:sz w:val="20"/>
                <w:szCs w:val="20"/>
                <w:color w:val="auto"/>
              </w:rPr>
            </w:pPr>
            <w:r>
              <w:rPr>
                <w:rFonts w:ascii="Arial" w:cs="Arial" w:eastAsia="Arial" w:hAnsi="Arial"/>
                <w:sz w:val="18"/>
                <w:szCs w:val="18"/>
                <w:b w:val="1"/>
                <w:bCs w:val="1"/>
                <w:color w:val="auto"/>
              </w:rPr>
              <w:t>Statement of Operations</w:t>
            </w:r>
          </w:p>
        </w:tc>
        <w:tc>
          <w:tcPr>
            <w:tcW w:w="220" w:type="dxa"/>
            <w:vAlign w:val="bottom"/>
          </w:tcPr>
          <w:p>
            <w:pPr>
              <w:spacing w:after="0"/>
              <w:rPr>
                <w:sz w:val="20"/>
                <w:szCs w:val="20"/>
                <w:color w:val="auto"/>
              </w:rPr>
            </w:pPr>
          </w:p>
        </w:tc>
        <w:tc>
          <w:tcPr>
            <w:tcW w:w="3920" w:type="dxa"/>
            <w:vAlign w:val="bottom"/>
            <w:gridSpan w:val="8"/>
          </w:tcPr>
          <w:p>
            <w:pPr>
              <w:ind w:left="4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7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Reimbursement of research and development</w:t>
            </w:r>
          </w:p>
        </w:tc>
        <w:tc>
          <w:tcPr>
            <w:tcW w:w="2420" w:type="dxa"/>
            <w:vAlign w:val="bottom"/>
            <w:tcBorders>
              <w:top w:val="single" w:sz="8" w:color="auto"/>
            </w:tcBorders>
            <w:shd w:val="clear" w:color="auto" w:fill="CCEEFF"/>
          </w:tcPr>
          <w:p>
            <w:pPr>
              <w:jc w:val="right"/>
              <w:ind w:right="370"/>
              <w:spacing w:after="0" w:line="169" w:lineRule="exact"/>
              <w:rPr>
                <w:sz w:val="20"/>
                <w:szCs w:val="20"/>
                <w:color w:val="auto"/>
              </w:rPr>
            </w:pPr>
            <w:r>
              <w:rPr>
                <w:rFonts w:ascii="Arial" w:cs="Arial" w:eastAsia="Arial" w:hAnsi="Arial"/>
                <w:sz w:val="18"/>
                <w:szCs w:val="18"/>
                <w:color w:val="auto"/>
                <w:w w:val="88"/>
              </w:rPr>
              <w:t>Reduction of Research and</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6"/>
              </w:rPr>
              <w:t>development expense</w:t>
            </w: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3760" w:type="dxa"/>
            <w:vAlign w:val="bottom"/>
          </w:tcPr>
          <w:p>
            <w:pPr>
              <w:spacing w:after="0" w:line="176" w:lineRule="exact"/>
              <w:rPr>
                <w:sz w:val="20"/>
                <w:szCs w:val="20"/>
                <w:color w:val="auto"/>
              </w:rPr>
            </w:pPr>
            <w:r>
              <w:rPr>
                <w:rFonts w:ascii="Arial" w:cs="Arial" w:eastAsia="Arial" w:hAnsi="Arial"/>
                <w:sz w:val="18"/>
                <w:szCs w:val="18"/>
                <w:color w:val="auto"/>
                <w:w w:val="98"/>
              </w:rPr>
              <w:t>Amounts recognized in connection with up-front</w:t>
            </w:r>
          </w:p>
        </w:tc>
        <w:tc>
          <w:tcPr>
            <w:tcW w:w="2540" w:type="dxa"/>
            <w:vAlign w:val="bottom"/>
            <w:gridSpan w:val="2"/>
          </w:tcPr>
          <w:p>
            <w:pPr>
              <w:jc w:val="right"/>
              <w:ind w:right="820"/>
              <w:spacing w:after="0" w:line="176" w:lineRule="exact"/>
              <w:rPr>
                <w:sz w:val="20"/>
                <w:szCs w:val="20"/>
                <w:color w:val="auto"/>
              </w:rPr>
            </w:pPr>
            <w:r>
              <w:rPr>
                <w:rFonts w:ascii="Arial" w:cs="Arial" w:eastAsia="Arial" w:hAnsi="Arial"/>
                <w:sz w:val="18"/>
                <w:szCs w:val="18"/>
                <w:color w:val="auto"/>
                <w:w w:val="90"/>
              </w:rPr>
              <w:t>Other operating income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ind w:left="44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w w:val="95"/>
              </w:rPr>
              <w:t>and development milestone payments received</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40" w:type="dxa"/>
            <w:vAlign w:val="bottom"/>
            <w:gridSpan w:val="2"/>
          </w:tcPr>
          <w:p>
            <w:pPr>
              <w:ind w:left="900"/>
              <w:spacing w:after="0"/>
              <w:rPr>
                <w:sz w:val="20"/>
                <w:szCs w:val="20"/>
                <w:color w:val="auto"/>
              </w:rPr>
            </w:pPr>
            <w:r>
              <w:rPr>
                <w:rFonts w:ascii="Arial" w:cs="Arial" w:eastAsia="Arial" w:hAnsi="Arial"/>
                <w:sz w:val="18"/>
                <w:szCs w:val="18"/>
                <w:color w:val="auto"/>
              </w:rPr>
              <w:t>F-19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we updated our estimate of the total research and development costs expected to be incurred (which resulted in a change to the estimate of the stage of completion) in connection with the Teva Collaboration Agreement, and, as a result, recognized a cumulative catch-up adjustment of $25.6 million as a reduction to other operating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194"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r>
      <w:tr>
        <w:trPr>
          <w:trHeight w:val="22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66.8</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Teva Collaboration Agreement related to the Company's obligation that was unsatisfied (or partially unsatisfied) as of December 31, 2021 was $87.4 million. This amount is expected to be recognized over the remaining period in which the Company is obligated to satisfy its obligation in connection with performing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Intellia</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The parties collaborate to conduct research for the discovery, development, and commercialization of new therapies,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research and technology development of the CRISPR/Cas9 platform.</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2016 agreement, the parties agreed to a target selection process, whereby the Company may obtain exclusive rights in up to 10 targets to be chosen by the Company during the collaboration term, subject to various adjustments and limitations set forth in the agreement. Certain targets that either we or Intellia select pursuant to the target selection process may be subject to a co-development and co-commercialization arrangement at our option or Intellia’s option, as applicable.</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2020, we expanded our existing collaboration with Intellia to provide us with rights to develop products for additional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CRISPR/Cas9-based therapeutic targets and for the parties to jointly develop potential products for the treatment of hemophilia A and B. In addition, we also received non-exclusive rights to independently develop and commercialize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edited products. In connection with the agreement, we made a $70.0 million up-front payment and purchased shares of Intellia common stock for an aggregate purchase price of $30.0 million. The up-front payment and the amount paid in excess of the fair market value of the shares purchased, or $15.0 million, were recorded to Research and development expense during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U.S. Government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announced an expansion of our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2020, we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1.25 million doses of drug product, which we delivered by June 30, 2021, resulting in payments to the Company of $2.625 billion.</w:t>
      </w:r>
    </w:p>
    <w:p>
      <w:pPr>
        <w:spacing w:after="0" w:line="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2021, the Company announced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Roche supplied a portion of the doses to Regeneron to fulfill our agreement with the U.S. government (see "Roche" below for further details regarding our collaboration agreement with Roche).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4" w:name="page125"/>
    <w:bookmarkEnd w:id="1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completed its final deliveries of drug product under the agreements described above. See Note 2 for REGEN-COV net product sales recognized in connection with these agreements.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Roche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August 2020, we entered into a collaboration agreement (the "Roche Collaboration Agreement") with Roche to develop, manufacture, and distribute the casirivimab and imdevimab antibody cocktail (known as REGEN-COV in the United States and Ronapreve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other countries).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Other collaboration revenue. If Regeneron is to make a true-up payment to Roche, such amount will be recorded to Cost of goods sold.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Roche Collaboration Agreement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0" w:type="dxa"/>
            <w:vAlign w:val="bottom"/>
            <w:gridSpan w:val="2"/>
          </w:tcPr>
          <w:p>
            <w:pPr>
              <w:ind w:left="340"/>
              <w:spacing w:after="0"/>
              <w:rPr>
                <w:sz w:val="20"/>
                <w:szCs w:val="20"/>
                <w:color w:val="auto"/>
              </w:rPr>
            </w:pPr>
            <w:r>
              <w:rPr>
                <w:rFonts w:ascii="Arial" w:cs="Arial" w:eastAsia="Arial" w:hAnsi="Arial"/>
                <w:sz w:val="18"/>
                <w:szCs w:val="18"/>
                <w:b w:val="1"/>
                <w:bCs w:val="1"/>
                <w:color w:val="auto"/>
                <w:w w:val="97"/>
              </w:rPr>
              <w:t>Statement of Operations</w:t>
            </w:r>
          </w:p>
        </w:tc>
        <w:tc>
          <w:tcPr>
            <w:tcW w:w="7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i w:val="1"/>
                <w:iCs w:val="1"/>
                <w:color w:val="auto"/>
              </w:rPr>
              <w:t>(In millions)</w:t>
            </w:r>
          </w:p>
        </w:tc>
        <w:tc>
          <w:tcPr>
            <w:tcW w:w="2400" w:type="dxa"/>
            <w:vAlign w:val="bottom"/>
            <w:gridSpan w:val="2"/>
          </w:tcPr>
          <w:p>
            <w:pPr>
              <w:ind w:left="640"/>
              <w:spacing w:after="0"/>
              <w:rPr>
                <w:sz w:val="20"/>
                <w:szCs w:val="20"/>
                <w:color w:val="auto"/>
              </w:rPr>
            </w:pPr>
            <w:r>
              <w:rPr>
                <w:rFonts w:ascii="Arial" w:cs="Arial" w:eastAsia="Arial" w:hAnsi="Arial"/>
                <w:sz w:val="18"/>
                <w:szCs w:val="18"/>
                <w:b w:val="1"/>
                <w:bCs w:val="1"/>
                <w:color w:val="auto"/>
              </w:rPr>
              <w:t>Classification</w:t>
            </w:r>
          </w:p>
        </w:tc>
        <w:tc>
          <w:tcPr>
            <w:tcW w:w="72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80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8"/>
              </w:rPr>
              <w:t>Global gross profit true-up payment from Roche</w:t>
            </w:r>
          </w:p>
        </w:tc>
        <w:tc>
          <w:tcPr>
            <w:tcW w:w="23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Other collaboration revenue</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380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rPr>
              <w:t>in connection with sales of casirivimab and</w:t>
            </w: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imdevimab</w:t>
            </w:r>
          </w:p>
        </w:tc>
        <w:tc>
          <w:tcPr>
            <w:tcW w:w="2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Reimbursement of research and development</w:t>
            </w:r>
          </w:p>
        </w:tc>
        <w:tc>
          <w:tcPr>
            <w:tcW w:w="24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72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5"/>
                <w:szCs w:val="15"/>
                <w:color w:val="auto"/>
              </w:rPr>
            </w:pP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7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Global gross profit true-up payment to Roche in</w:t>
            </w:r>
          </w:p>
        </w:tc>
        <w:tc>
          <w:tcPr>
            <w:tcW w:w="240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Cost of goods sold</w:t>
            </w:r>
          </w:p>
        </w:tc>
        <w:tc>
          <w:tcPr>
            <w:tcW w:w="7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8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connection with sales of casirivimab and</w:t>
            </w:r>
          </w:p>
        </w:tc>
        <w:tc>
          <w:tcPr>
            <w:tcW w:w="2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imdevimab</w:t>
            </w:r>
          </w:p>
        </w:tc>
        <w:tc>
          <w:tcPr>
            <w:tcW w:w="2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780" w:type="dxa"/>
            <w:vAlign w:val="bottom"/>
            <w:gridSpan w:val="5"/>
          </w:tcPr>
          <w:p>
            <w:pPr>
              <w:jc w:val="right"/>
              <w:spacing w:after="0"/>
              <w:rPr>
                <w:sz w:val="20"/>
                <w:szCs w:val="20"/>
                <w:color w:val="auto"/>
              </w:rPr>
            </w:pPr>
            <w:r>
              <w:rPr>
                <w:rFonts w:ascii="Arial" w:cs="Arial" w:eastAsia="Arial" w:hAnsi="Arial"/>
                <w:sz w:val="18"/>
                <w:szCs w:val="18"/>
                <w:color w:val="auto"/>
                <w:w w:val="91"/>
              </w:rPr>
              <w:t>The following table summarizes contract balances in connection with the Roche Collaboration Agreement: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24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175"/>
        </w:trPr>
        <w:tc>
          <w:tcPr>
            <w:tcW w:w="3020" w:type="dxa"/>
            <w:vAlign w:val="bottom"/>
          </w:tcPr>
          <w:p>
            <w:pPr>
              <w:spacing w:after="0" w:line="176" w:lineRule="exact"/>
              <w:rPr>
                <w:sz w:val="20"/>
                <w:szCs w:val="20"/>
                <w:color w:val="auto"/>
              </w:rPr>
            </w:pPr>
            <w:r>
              <w:rPr>
                <w:rFonts w:ascii="Arial" w:cs="Arial" w:eastAsia="Arial" w:hAnsi="Arial"/>
                <w:sz w:val="18"/>
                <w:szCs w:val="18"/>
                <w:color w:val="auto"/>
              </w:rPr>
              <w:t>Accrued expenses and other current</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58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Alnylam</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which was recorded in Research and development expense during 2019. For each program, we provide Alnylam with a specified amount of funding at program initiation and at lead candidate designation, and Alnylam is eligible to receive up to an aggregate of $200.0 million in clinical proof-of-principle milestones for eye and CNS programs.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collaboration, we also purchased shares of Alnylam common stock for aggregate cash consideration of $400.0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(cemdisiran) and a fully human monoclonal antibody targeting C5 being developed by us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sales milestones.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Other</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collaboration agreements discussed above, the Company has various other collaboration agreements that are not individually significant to its operating results or financial condition at this time. Pursuant to the terms of those agreements, the Company may be required to pay, or it may receive, additional amounts contingent upon the occurrence of various future events (e.g.,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Marketable securities as of December 31, 2021 and 2020 consist of both available-for-sale debt securities of investment grade issuers (see below and Note 5) as well as equity securities of publicly traded companies (see Note 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220" w:type="dxa"/>
            <w:vAlign w:val="bottom"/>
          </w:tcPr>
          <w:p>
            <w:pPr>
              <w:spacing w:after="0"/>
              <w:rPr>
                <w:sz w:val="20"/>
                <w:szCs w:val="20"/>
                <w:color w:val="auto"/>
              </w:rPr>
            </w:pPr>
          </w:p>
        </w:tc>
        <w:tc>
          <w:tcPr>
            <w:tcW w:w="2340" w:type="dxa"/>
            <w:vAlign w:val="bottom"/>
            <w:gridSpan w:val="5"/>
          </w:tcPr>
          <w:p>
            <w:pPr>
              <w:ind w:left="580"/>
              <w:spacing w:after="0"/>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As of December 31, 2021</w:t>
            </w:r>
          </w:p>
        </w:tc>
        <w:tc>
          <w:tcPr>
            <w:tcW w:w="14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Cost Basis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140"/>
              <w:spacing w:after="0" w:line="182" w:lineRule="exact"/>
              <w:rPr>
                <w:sz w:val="20"/>
                <w:szCs w:val="20"/>
                <w:color w:val="auto"/>
              </w:rPr>
            </w:pPr>
            <w:r>
              <w:rPr>
                <w:rFonts w:ascii="Arial" w:cs="Arial" w:eastAsia="Arial" w:hAnsi="Arial"/>
                <w:sz w:val="18"/>
                <w:szCs w:val="18"/>
                <w:b w:val="1"/>
                <w:bCs w:val="1"/>
                <w:color w:val="auto"/>
              </w:rPr>
              <w:t>Gains</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w w:val="96"/>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90"/>
              <w:spacing w:after="0" w:line="182" w:lineRule="exact"/>
              <w:rPr>
                <w:sz w:val="20"/>
                <w:szCs w:val="20"/>
                <w:color w:val="auto"/>
              </w:rPr>
            </w:pPr>
            <w:r>
              <w:rPr>
                <w:rFonts w:ascii="Arial" w:cs="Arial" w:eastAsia="Arial" w:hAnsi="Arial"/>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7,487.7</w:t>
            </w: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439.6</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As of December 31, 2020</w:t>
            </w:r>
          </w:p>
        </w:tc>
        <w:tc>
          <w:tcPr>
            <w:tcW w:w="4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3,090.3</w:t>
            </w: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December 31, 2021 mature at various dates through November 2026. The fair values of available-for-sale debt securities by contractual maturity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1920" w:type="dxa"/>
            <w:vAlign w:val="bottom"/>
          </w:tcPr>
          <w:p>
            <w:pPr>
              <w:spacing w:after="0"/>
              <w:rPr>
                <w:sz w:val="19"/>
                <w:szCs w:val="19"/>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15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900" w:type="dxa"/>
            <w:vAlign w:val="bottom"/>
          </w:tcPr>
          <w:p>
            <w:pPr>
              <w:spacing w:after="0"/>
              <w:rPr>
                <w:sz w:val="19"/>
                <w:szCs w:val="19"/>
                <w:color w:val="auto"/>
              </w:rPr>
            </w:pPr>
          </w:p>
        </w:tc>
      </w:tr>
      <w:tr>
        <w:trPr>
          <w:trHeight w:val="223"/>
        </w:trPr>
        <w:tc>
          <w:tcPr>
            <w:tcW w:w="19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Maturities within one year</w:t>
            </w: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900" w:type="dxa"/>
            <w:vAlign w:val="bottom"/>
          </w:tcPr>
          <w:p>
            <w:pPr>
              <w:spacing w:after="0"/>
              <w:rPr>
                <w:sz w:val="19"/>
                <w:szCs w:val="19"/>
                <w:color w:val="auto"/>
              </w:rPr>
            </w:pPr>
          </w:p>
        </w:tc>
      </w:tr>
      <w:tr>
        <w:trPr>
          <w:trHeight w:val="230"/>
        </w:trPr>
        <w:tc>
          <w:tcPr>
            <w:tcW w:w="1920" w:type="dxa"/>
            <w:vAlign w:val="bottom"/>
          </w:tcPr>
          <w:p>
            <w:pPr>
              <w:spacing w:after="0"/>
              <w:rPr>
                <w:sz w:val="19"/>
                <w:szCs w:val="19"/>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Maturities after one year through five years</w:t>
            </w:r>
          </w:p>
        </w:tc>
        <w:tc>
          <w:tcPr>
            <w:tcW w:w="1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c>
          <w:tcPr>
            <w:tcW w:w="1900" w:type="dxa"/>
            <w:vAlign w:val="bottom"/>
          </w:tcPr>
          <w:p>
            <w:pPr>
              <w:spacing w:after="0"/>
              <w:rPr>
                <w:sz w:val="19"/>
                <w:szCs w:val="19"/>
                <w:color w:val="auto"/>
              </w:rPr>
            </w:pPr>
          </w:p>
        </w:tc>
      </w:tr>
      <w:tr>
        <w:trPr>
          <w:trHeight w:val="248"/>
        </w:trPr>
        <w:tc>
          <w:tcPr>
            <w:tcW w:w="19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1900" w:type="dxa"/>
            <w:vAlign w:val="bottom"/>
          </w:tcPr>
          <w:p>
            <w:pPr>
              <w:spacing w:after="0"/>
              <w:rPr>
                <w:sz w:val="21"/>
                <w:szCs w:val="2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622"/>
        </w:trPr>
        <w:tc>
          <w:tcPr>
            <w:tcW w:w="1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gridSpan w:val="2"/>
          </w:tcPr>
          <w:p>
            <w:pPr>
              <w:jc w:val="right"/>
              <w:ind w:right="1190"/>
              <w:spacing w:after="0"/>
              <w:rPr>
                <w:sz w:val="20"/>
                <w:szCs w:val="20"/>
                <w:color w:val="auto"/>
              </w:rPr>
            </w:pPr>
            <w:r>
              <w:rPr>
                <w:rFonts w:ascii="Arial" w:cs="Arial" w:eastAsia="Arial" w:hAnsi="Arial"/>
                <w:sz w:val="18"/>
                <w:szCs w:val="18"/>
                <w:color w:val="auto"/>
              </w:rPr>
              <w:t>F-22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6" w:name="page127"/>
    <w:bookmarkEnd w:id="1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ind w:left="300"/>
              <w:spacing w:after="0"/>
              <w:rPr>
                <w:sz w:val="20"/>
                <w:szCs w:val="20"/>
                <w:color w:val="auto"/>
              </w:rPr>
            </w:pPr>
            <w:r>
              <w:rPr>
                <w:rFonts w:ascii="Arial" w:cs="Arial" w:eastAsia="Arial" w:hAnsi="Arial"/>
                <w:sz w:val="18"/>
                <w:szCs w:val="18"/>
                <w:b w:val="1"/>
                <w:bCs w:val="1"/>
                <w:color w:val="auto"/>
              </w:rPr>
              <w:t>Less than 12 Months</w:t>
            </w:r>
          </w:p>
        </w:tc>
        <w:tc>
          <w:tcPr>
            <w:tcW w:w="2580" w:type="dxa"/>
            <w:vAlign w:val="bottom"/>
            <w:gridSpan w:val="4"/>
          </w:tcPr>
          <w:p>
            <w:pPr>
              <w:ind w:left="400"/>
              <w:spacing w:after="0"/>
              <w:rPr>
                <w:sz w:val="20"/>
                <w:szCs w:val="20"/>
                <w:color w:val="auto"/>
              </w:rPr>
            </w:pPr>
            <w:r>
              <w:rPr>
                <w:rFonts w:ascii="Arial" w:cs="Arial" w:eastAsia="Arial" w:hAnsi="Arial"/>
                <w:sz w:val="18"/>
                <w:szCs w:val="18"/>
                <w:b w:val="1"/>
                <w:bCs w:val="1"/>
                <w:color w:val="auto"/>
              </w:rPr>
              <w:t>12 Months or Greater</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gridSpan w:val="2"/>
          </w:tcPr>
          <w:p>
            <w:pPr>
              <w:spacing w:after="0" w:line="169" w:lineRule="exact"/>
              <w:rPr>
                <w:sz w:val="20"/>
                <w:szCs w:val="20"/>
                <w:color w:val="auto"/>
              </w:rPr>
            </w:pPr>
            <w:r>
              <w:rPr>
                <w:rFonts w:ascii="Arial" w:cs="Arial" w:eastAsia="Arial" w:hAnsi="Arial"/>
                <w:sz w:val="18"/>
                <w:szCs w:val="18"/>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4"/>
                <w:szCs w:val="14"/>
                <w:color w:val="auto"/>
              </w:rPr>
            </w:pPr>
          </w:p>
        </w:tc>
        <w:tc>
          <w:tcPr>
            <w:tcW w:w="12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Fair Value</w:t>
            </w:r>
          </w:p>
        </w:tc>
        <w:tc>
          <w:tcPr>
            <w:tcW w:w="1180" w:type="dxa"/>
            <w:vAlign w:val="bottom"/>
            <w:tcBorders>
              <w:top w:val="single" w:sz="8" w:color="auto"/>
            </w:tcBorders>
          </w:tcPr>
          <w:p>
            <w:pPr>
              <w:ind w:left="180"/>
              <w:spacing w:after="0" w:line="169"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As of December 31, 2021</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0"/>
              </w:rPr>
              <w:t>Loss</w:t>
            </w:r>
          </w:p>
        </w:tc>
        <w:tc>
          <w:tcPr>
            <w:tcW w:w="1280" w:type="dxa"/>
            <w:vAlign w:val="bottom"/>
            <w:gridSpan w:val="2"/>
            <w:vMerge w:val="continue"/>
          </w:tcPr>
          <w:p>
            <w:pPr>
              <w:spacing w:after="0"/>
              <w:rPr>
                <w:sz w:val="16"/>
                <w:szCs w:val="16"/>
                <w:color w:val="auto"/>
              </w:rPr>
            </w:pPr>
          </w:p>
        </w:tc>
        <w:tc>
          <w:tcPr>
            <w:tcW w:w="1300" w:type="dxa"/>
            <w:vAlign w:val="bottom"/>
            <w:gridSpan w:val="2"/>
          </w:tcPr>
          <w:p>
            <w:pPr>
              <w:ind w:left="420"/>
              <w:spacing w:after="0" w:line="189" w:lineRule="exact"/>
              <w:rPr>
                <w:sz w:val="20"/>
                <w:szCs w:val="20"/>
                <w:color w:val="auto"/>
              </w:rPr>
            </w:pPr>
            <w:r>
              <w:rPr>
                <w:rFonts w:ascii="Arial" w:cs="Arial" w:eastAsia="Arial" w:hAnsi="Arial"/>
                <w:sz w:val="18"/>
                <w:szCs w:val="18"/>
                <w:b w:val="1"/>
                <w:bCs w:val="1"/>
                <w:color w:val="auto"/>
              </w:rPr>
              <w:t>Loss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30"/>
              <w:spacing w:after="0" w:line="189"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gridSpan w:val="2"/>
          </w:tcPr>
          <w:p>
            <w:pPr>
              <w:spacing w:after="0" w:line="176" w:lineRule="exact"/>
              <w:rPr>
                <w:sz w:val="20"/>
                <w:szCs w:val="20"/>
                <w:color w:val="auto"/>
              </w:rPr>
            </w:pPr>
            <w:r>
              <w:rPr>
                <w:rFonts w:ascii="Arial" w:cs="Arial" w:eastAsia="Arial" w:hAnsi="Arial"/>
                <w:sz w:val="18"/>
                <w:szCs w:val="18"/>
                <w:color w:val="auto"/>
              </w:rPr>
              <w:t>U.S. government and government agency</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As of December 31, 2020</w:t>
            </w:r>
          </w:p>
        </w:tc>
        <w:tc>
          <w:tcPr>
            <w:tcW w:w="1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Realized gains and losses on sales of marketable securities were not material for the year ended December 31, 2021. Realized gains on sales of marketable securities were $29.0 million and realized losses were not material for the year ended December 31, 2020. Realized gains on sales of marketable securities were not material and there were no realized losses for the year ended December 31, 2019.</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marketable securities, for the years ended December 31, 2021, 2020, and 2019, amounts reclassified from Accumulated other comprehensive income (loss) into Other income (expense), net were related to realized gains and losses on sales of available-for-sale debt securities.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7" w:name="page128"/>
    <w:bookmarkEnd w:id="1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10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2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26"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1"/>
              </w:rPr>
              <w:t>Fair Value Measurements at Reporting Date</w:t>
            </w:r>
          </w:p>
        </w:tc>
      </w:tr>
      <w:tr>
        <w:trPr>
          <w:trHeight w:val="183"/>
        </w:trPr>
        <w:tc>
          <w:tcPr>
            <w:tcW w:w="20" w:type="dxa"/>
            <w:vAlign w:val="bottom"/>
          </w:tcPr>
          <w:p>
            <w:pPr>
              <w:spacing w:after="0"/>
              <w:rPr>
                <w:sz w:val="15"/>
                <w:szCs w:val="15"/>
                <w:color w:val="auto"/>
              </w:rPr>
            </w:pPr>
          </w:p>
        </w:tc>
        <w:tc>
          <w:tcPr>
            <w:tcW w:w="52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As of December 31, 2021</w:t>
            </w:r>
          </w:p>
        </w:tc>
        <w:tc>
          <w:tcPr>
            <w:tcW w:w="260" w:type="dxa"/>
            <w:vAlign w:val="bottom"/>
          </w:tcPr>
          <w:p>
            <w:pPr>
              <w:spacing w:after="0"/>
              <w:rPr>
                <w:sz w:val="15"/>
                <w:szCs w:val="15"/>
                <w:color w:val="auto"/>
              </w:rPr>
            </w:pPr>
          </w:p>
        </w:tc>
        <w:tc>
          <w:tcPr>
            <w:tcW w:w="1520" w:type="dxa"/>
            <w:vAlign w:val="bottom"/>
            <w:gridSpan w:val="2"/>
          </w:tcPr>
          <w:p>
            <w:pPr>
              <w:ind w:left="160"/>
              <w:spacing w:after="0" w:line="182" w:lineRule="exact"/>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15"/>
                <w:szCs w:val="15"/>
                <w:color w:val="auto"/>
              </w:rPr>
            </w:pPr>
          </w:p>
        </w:tc>
        <w:tc>
          <w:tcPr>
            <w:tcW w:w="1480" w:type="dxa"/>
            <w:vAlign w:val="bottom"/>
            <w:gridSpan w:val="2"/>
          </w:tcPr>
          <w:p>
            <w:pPr>
              <w:ind w:left="240"/>
              <w:spacing w:after="0" w:line="182" w:lineRule="exact"/>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5"/>
                <w:szCs w:val="15"/>
                <w:color w:val="auto"/>
              </w:rPr>
            </w:pPr>
          </w:p>
        </w:tc>
        <w:tc>
          <w:tcPr>
            <w:tcW w:w="13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7,487.7</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Sovereign bonds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r>
      <w:tr>
        <w:trPr>
          <w:trHeight w:val="230"/>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Equity securities (unrestricted)</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9,647.1</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As of December 31, 2020</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3,090.3</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Sovereign bonds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30"/>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(unrestricted)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 securities (restricted)</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certain restricted equity securities as of December 31, 2021 which are subject to transfer restrictions that expire at various dates through 2024.</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2021, 2020, and 2019, we recorded $386.1 million, $196.0 million, and $118.3 million of net unrealized gains, respectively, on equity securities in Other income (expense), net.</w:t>
      </w:r>
    </w:p>
    <w:p>
      <w:pPr>
        <w:spacing w:after="0" w:line="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the investments summarized in the table above, as of December 31, 2021 and 2020, the Company had $40.0 million and $59.2 million, respectively, in equity investments that do not have a readily determinable fair value. These investments are recorded within Other noncurrent assets.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our long-term debt (see Note 9), which was determined based on Level 2 inputs, was estimated to be $1.887 billion and $1.958 billion as of December 31, 2021 and 2020, respectively.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8" w:name="page129"/>
    <w:bookmarkEnd w:id="1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48"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60" w:type="dxa"/>
            <w:vAlign w:val="bottom"/>
            <w:tcBorders>
              <w:bottom w:val="single" w:sz="8" w:color="auto"/>
            </w:tcBorders>
          </w:tcPr>
          <w:p>
            <w:pPr>
              <w:spacing w:after="0"/>
              <w:rPr>
                <w:sz w:val="20"/>
                <w:szCs w:val="20"/>
                <w:color w:val="auto"/>
              </w:rPr>
            </w:pPr>
          </w:p>
        </w:tc>
      </w:tr>
      <w:tr>
        <w:trPr>
          <w:trHeight w:val="22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904.6</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3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costs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Inventory balances in the table above are net of reserves of $510.0 million and $136.4 million as of December 31, 2021 and 2020, respectively. Deferred costs represent the costs of product manufactured and shipped to the Company's collaborators for which recognition of revenue has been deferred. For the years ended December 31, 2021, 2020, and 2019, Cost of goods sold included inventory write-offs and reserves totaling $457.1 million, $39.2 million, and $73.8 million, respectively. Included in the 2021 write-off and reserve amount was a fourth quarter charge of $231.7 million to write down our REGEN-COV inventory as a result of data that showed REGEN-COV was highly unlikely to be active against the Omicron variant and the FDA revision of the EUA for REGEN-COV, pursuant to which REGEN-COV was no longer authorized for use in any U.S. states, territories, or jurisdictions.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7. Property, Plant, and Equipment</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4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2,088.5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1,891.1</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office equipment, and other</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4,880.3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4,352.7</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accumulated depreciation and</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3,482.2</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plant, and equipment in the table above includes leased property under the Company's finance lease at its Tarrytown, New York facility. See Note 10.</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on property, plant, and equipment was $281.1 million, $230.8 million, and $205.2 million for the years ended December 31, 2021, 2020, and 2019, respectively.</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and 2020, $2.684 billion and $2.398 billion, respectively, of the Company's net property, plant, and equipment was located in the United States and $797.8 million and $823.8 million, respectively, was located in Europe (primarily in Ireland).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9" w:name="page130"/>
    <w:bookmarkEnd w:id="1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89"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related costs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Accrued clinical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sales-related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Amounts due to collaborators (see Note 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r>
      <w:tr>
        <w:trPr>
          <w:trHeight w:val="248"/>
        </w:trPr>
        <w:tc>
          <w:tcPr>
            <w:tcW w:w="3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2018,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2021.</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The Company was in compliance with all covenants of the Credit Facility as of December 31,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Facility</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11, in the second quarter of 2020, we purchased shares of our Common Stock from Sanofi in connection with Sanofi's secondary offering of our Common Stock held by Sanofi. This purchase was partially funded with proceeds from loans under a $1.5 billion senior unsecured bridge loan facility (the "Bridge Facility") which was entered into in May 2020. The loans under the Bridge Facility bore interest at a variable interest rate based on either the London Interbank Offered Rate or the alternate base rate, plus an applicable margin that varied with our debt rating and total leverage ratio. The Bridge Facility was repaid in full during the third quarter of 2020 following the closing of the issuance and sale of the Company's senior notes (as described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2020, we issued and sold $1.250 billion aggregate principal amount of senior unsecured notes due 2030 and $750 million aggregate principal amount of senior unsecured notes due 2050 (collectively, the "Notes"). Net proceeds from the issuance and sale of the Notes (after deducting underwriting discounts and offering expenses) were used in part to repay in full the Bridge Facility described above. The underwriting discounts and offering expenses are being amortized as additional interest expense over the period from issuance through maturity.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0" w:name="page131"/>
    <w:bookmarkEnd w:id="1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in connection with our senior unsecured notes, net of underwriting discounts and offering expenses, consists of the following:</w:t>
      </w:r>
    </w:p>
    <w:p>
      <w:pPr>
        <w:spacing w:after="0" w:line="181" w:lineRule="exact"/>
        <w:rPr>
          <w:sz w:val="20"/>
          <w:szCs w:val="20"/>
          <w:color w:val="auto"/>
        </w:rPr>
      </w:pPr>
    </w:p>
    <w:tbl>
      <w:tblPr>
        <w:tblLayout w:type="fixed"/>
        <w:tblInd w:w="174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1.750% Senior Notes due September 2030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2.800% Senior Notes due September 2050</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w:t>
            </w:r>
          </w:p>
        </w:tc>
      </w:tr>
      <w:tr>
        <w:trPr>
          <w:trHeight w:val="248"/>
        </w:trPr>
        <w:tc>
          <w:tcPr>
            <w:tcW w:w="4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Interest on each series of Notes is payable semi-annually in arrears on March 15 and September 15 of each year until their respective maturity 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Notes was $44.4 million and $17.6 million for the years ended December 31, 2021 and 2020, respectively.</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 The Notes also contain certain limitations on the Company’s ability to incur liens and enter into sale and leaseback transactions, as well as customary events of default.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Note 15 for disclosures related to legal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conduct certain of our research, development, and administrative activities at leased facilities. We also lease certain warehouses and vehicles.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recognized in our Consolidated Balance Sheets and Statements of Operations included in this report associated with operating leases were not material. Operating lease right-of-use assets are included within Other noncurrent assets, and lease liabilities are included in Accrued expenses and other current liabilities and Other noncurrent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2017, we entered into a Participation Agreement with BA Leasing BSC, LLC, an affiliate of Banc of America Leasing &amp; Capital LLC ("BAL"), as lessor, and a syndicate of lenders (collectively with BAL, the "Lease Participants"), which provided for $720.0 million of lease financing from the Lease Participants for the acquisition of laboratory and office facilities in Tarrytown, New York (the "Facility"). In March 2017, we also entered into a Lease and Remedies Agreement with BAL, pursuant to which we have leased the Facility from BAL for a five-year term ending in March 2022. The Participation Agreement, the Lease and Remedies Agreement, and certain other related agreements were amended and restated in May 2019, among other things, to revise certain covenants, representations and warranties, and events of default to be substantially similar to those set forth in our Credit Facility (as so amended and restated, the "Participation Agreement" and the "Lease," respectively).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 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1" w:name="page132"/>
    <w:bookmarkEnd w:id="1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2021, we delivered a request to the Lease Participants to potentially exercise the option for a five-year extension of the term of the Lease and the maturity date under the Participation Agreement. In November 2021, the Lease Participants consented to such extension, subject to the satisfaction of certain conditions prior to the expiration of the existing term in March 2022, including the negotiation and execution of satisfactory definitive documentation setting forth the terms and conditions that would apply during such potential extended term. We are negotiating such documentation with the Lease Participants, but there can be no assurance that such extension will become effective.</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Lease is classified as a finance lease as we have the option to purchase the Facility under terms that make it reasonably certain to be exercised. The agreements governing the Lease financing contain financial and operating covenants. The Company was in compliance with all such covenants as of December 31, 2021.</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recognized in the Consolidated Balance Sheet related to the Lease are included in the table below. Other than the Lease described above, we had no leases accounted for as finance leases as of December 31, 2021 and 2020.</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3460" w:type="dxa"/>
            <w:vAlign w:val="bottom"/>
            <w:gridSpan w:val="2"/>
          </w:tcPr>
          <w:p>
            <w:pPr>
              <w:ind w:left="1140"/>
              <w:spacing w:after="0"/>
              <w:rPr>
                <w:sz w:val="20"/>
                <w:szCs w:val="20"/>
                <w:color w:val="auto"/>
              </w:rPr>
            </w:pPr>
            <w:r>
              <w:rPr>
                <w:rFonts w:ascii="Arial" w:cs="Arial" w:eastAsia="Arial" w:hAnsi="Arial"/>
                <w:sz w:val="18"/>
                <w:szCs w:val="18"/>
                <w:b w:val="1"/>
                <w:bCs w:val="1"/>
                <w:color w:val="auto"/>
              </w:rPr>
              <w:t>Classification</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9"/>
                <w:szCs w:val="19"/>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33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Property, plant, and equipment, net</w:t>
            </w:r>
            <w:r>
              <w:rPr>
                <w:rFonts w:ascii="Arial" w:cs="Arial" w:eastAsia="Arial" w:hAnsi="Arial"/>
                <w:sz w:val="23"/>
                <w:szCs w:val="23"/>
                <w:color w:val="auto"/>
                <w:vertAlign w:val="superscript"/>
              </w:rPr>
              <w:t>(1)</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346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719.7</w:t>
            </w:r>
          </w:p>
        </w:tc>
        <w:tc>
          <w:tcPr>
            <w:tcW w:w="12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717.2</w:t>
            </w:r>
          </w:p>
        </w:tc>
      </w:tr>
    </w:tbl>
    <w:p>
      <w:pPr>
        <w:spacing w:after="0" w:line="97" w:lineRule="exact"/>
        <w:rPr>
          <w:sz w:val="20"/>
          <w:szCs w:val="20"/>
          <w:color w:val="auto"/>
        </w:rPr>
      </w:pPr>
    </w:p>
    <w:p>
      <w:pPr>
        <w:ind w:left="800" w:right="760" w:firstLine="2"/>
        <w:spacing w:after="0" w:line="213" w:lineRule="auto"/>
        <w:tabs>
          <w:tab w:leader="none" w:pos="977" w:val="left"/>
        </w:tabs>
        <w:numPr>
          <w:ilvl w:val="0"/>
          <w:numId w:val="51"/>
        </w:numPr>
        <w:rPr>
          <w:rFonts w:ascii="Arial" w:cs="Arial" w:eastAsia="Arial" w:hAnsi="Arial"/>
          <w:sz w:val="21"/>
          <w:szCs w:val="21"/>
          <w:color w:val="auto"/>
          <w:vertAlign w:val="superscript"/>
        </w:rPr>
      </w:pPr>
      <w:r>
        <w:rPr>
          <w:rFonts w:ascii="Arial" w:cs="Arial" w:eastAsia="Arial" w:hAnsi="Arial"/>
          <w:sz w:val="15"/>
          <w:szCs w:val="15"/>
          <w:color w:val="auto"/>
        </w:rPr>
        <w:t>Finance lease right-of-use assets were recorded net of accumulated amortization of $104.9 million and $90.5 million as of December 31, 2021 and 2020,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Finance lease costs consist of the following:</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86"/>
        </w:trPr>
        <w:tc>
          <w:tcPr>
            <w:tcW w:w="26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264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264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264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264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264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3"/>
          </w:tcPr>
          <w:p>
            <w:pPr>
              <w:spacing w:after="0"/>
              <w:rPr>
                <w:sz w:val="20"/>
                <w:szCs w:val="20"/>
                <w:color w:val="auto"/>
              </w:rPr>
            </w:pPr>
            <w:r>
              <w:rPr>
                <w:rFonts w:ascii="Arial" w:cs="Arial" w:eastAsia="Arial" w:hAnsi="Arial"/>
                <w:sz w:val="18"/>
                <w:szCs w:val="18"/>
                <w:color w:val="auto"/>
                <w:w w:val="95"/>
              </w:rPr>
              <w:t>Other information related to our finance lease includes the following:</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99"/>
        </w:trPr>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20" w:type="dxa"/>
            <w:vAlign w:val="bottom"/>
            <w:gridSpan w:val="4"/>
          </w:tcPr>
          <w:p>
            <w:pPr>
              <w:ind w:left="2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2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340" w:type="dxa"/>
            <w:vAlign w:val="bottom"/>
          </w:tcPr>
          <w:p>
            <w:pPr>
              <w:spacing w:after="0"/>
              <w:rPr>
                <w:sz w:val="19"/>
                <w:szCs w:val="19"/>
                <w:color w:val="auto"/>
              </w:rPr>
            </w:pPr>
          </w:p>
        </w:tc>
      </w:tr>
      <w:tr>
        <w:trPr>
          <w:trHeight w:val="223"/>
        </w:trPr>
        <w:tc>
          <w:tcPr>
            <w:tcW w:w="2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Remaining lease term (in years)</w:t>
            </w:r>
          </w:p>
        </w:tc>
        <w:tc>
          <w:tcPr>
            <w:tcW w:w="6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34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Discount rate</w:t>
            </w:r>
          </w:p>
        </w:tc>
        <w:tc>
          <w:tcPr>
            <w:tcW w:w="2100" w:type="dxa"/>
            <w:vAlign w:val="bottom"/>
            <w:gridSpan w:val="3"/>
          </w:tcPr>
          <w:p>
            <w:pPr>
              <w:jc w:val="right"/>
              <w:ind w:right="5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2340" w:type="dxa"/>
            <w:vAlign w:val="bottom"/>
          </w:tcPr>
          <w:p>
            <w:pPr>
              <w:spacing w:after="0"/>
              <w:rPr>
                <w:sz w:val="20"/>
                <w:szCs w:val="20"/>
                <w:color w:val="auto"/>
              </w:rPr>
            </w:pPr>
          </w:p>
        </w:tc>
      </w:tr>
      <w:tr>
        <w:trPr>
          <w:trHeight w:val="445"/>
        </w:trPr>
        <w:tc>
          <w:tcPr>
            <w:tcW w:w="5220" w:type="dxa"/>
            <w:vAlign w:val="bottom"/>
            <w:gridSpan w:val="3"/>
          </w:tcPr>
          <w:p>
            <w:pPr>
              <w:spacing w:after="0"/>
              <w:rPr>
                <w:sz w:val="20"/>
                <w:szCs w:val="20"/>
                <w:color w:val="auto"/>
              </w:rPr>
            </w:pPr>
            <w:r>
              <w:rPr>
                <w:rFonts w:ascii="Arial" w:cs="Arial" w:eastAsia="Arial" w:hAnsi="Arial"/>
                <w:sz w:val="18"/>
                <w:szCs w:val="18"/>
                <w:i w:val="1"/>
                <w:iCs w:val="1"/>
                <w:color w:val="auto"/>
              </w:rPr>
              <w:t>Supplemental information</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65"/>
        </w:trPr>
        <w:tc>
          <w:tcPr>
            <w:tcW w:w="5220" w:type="dxa"/>
            <w:vAlign w:val="bottom"/>
            <w:gridSpan w:val="3"/>
          </w:tcPr>
          <w:p>
            <w:pPr>
              <w:spacing w:after="0"/>
              <w:rPr>
                <w:sz w:val="20"/>
                <w:szCs w:val="20"/>
                <w:color w:val="auto"/>
              </w:rPr>
            </w:pPr>
            <w:r>
              <w:rPr>
                <w:rFonts w:ascii="Arial" w:cs="Arial" w:eastAsia="Arial" w:hAnsi="Arial"/>
                <w:sz w:val="18"/>
                <w:szCs w:val="18"/>
                <w:color w:val="auto"/>
              </w:rPr>
              <w:t>The following is a maturity analysis of our finance lease liabilities: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86"/>
        </w:trPr>
        <w:tc>
          <w:tcPr>
            <w:tcW w:w="2320" w:type="dxa"/>
            <w:vAlign w:val="bottom"/>
          </w:tcPr>
          <w:p>
            <w:pPr>
              <w:spacing w:after="0"/>
              <w:rPr>
                <w:sz w:val="24"/>
                <w:szCs w:val="24"/>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20" w:type="dxa"/>
            <w:vAlign w:val="bottom"/>
            <w:gridSpan w:val="4"/>
          </w:tcPr>
          <w:p>
            <w:pPr>
              <w:ind w:left="320"/>
              <w:spacing w:after="0"/>
              <w:rPr>
                <w:sz w:val="20"/>
                <w:szCs w:val="20"/>
                <w:color w:val="auto"/>
              </w:rPr>
            </w:pPr>
            <w:r>
              <w:rPr>
                <w:rFonts w:ascii="Arial" w:cs="Arial" w:eastAsia="Arial" w:hAnsi="Arial"/>
                <w:sz w:val="18"/>
                <w:szCs w:val="18"/>
                <w:b w:val="1"/>
                <w:bCs w:val="1"/>
                <w:color w:val="auto"/>
              </w:rPr>
              <w:t>As of December 31, 2021</w:t>
            </w:r>
          </w:p>
        </w:tc>
      </w:tr>
      <w:tr>
        <w:trPr>
          <w:trHeight w:val="223"/>
        </w:trPr>
        <w:tc>
          <w:tcPr>
            <w:tcW w:w="2320" w:type="dxa"/>
            <w:vAlign w:val="bottom"/>
          </w:tcPr>
          <w:p>
            <w:pPr>
              <w:spacing w:after="0"/>
              <w:rPr>
                <w:sz w:val="19"/>
                <w:szCs w:val="19"/>
                <w:color w:val="auto"/>
              </w:rPr>
            </w:pPr>
          </w:p>
        </w:tc>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340" w:type="dxa"/>
            <w:vAlign w:val="bottom"/>
            <w:tcBorders>
              <w:left w:val="single" w:sz="8" w:color="CCEEFF"/>
            </w:tcBorders>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9"/>
                <w:szCs w:val="19"/>
                <w:color w:val="auto"/>
              </w:rPr>
            </w:pPr>
          </w:p>
        </w:tc>
      </w:tr>
      <w:tr>
        <w:trPr>
          <w:trHeight w:val="229"/>
        </w:trPr>
        <w:tc>
          <w:tcPr>
            <w:tcW w:w="2320" w:type="dxa"/>
            <w:vAlign w:val="bottom"/>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left w:val="single" w:sz="8" w:color="CCEEFF"/>
            </w:tcBorders>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left w:val="single" w:sz="8" w:color="CCEEFF"/>
            </w:tcBorders>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9"/>
                <w:szCs w:val="19"/>
                <w:color w:val="auto"/>
              </w:rPr>
            </w:pPr>
          </w:p>
        </w:tc>
      </w:tr>
      <w:tr>
        <w:trPr>
          <w:trHeight w:val="223"/>
        </w:trPr>
        <w:tc>
          <w:tcPr>
            <w:tcW w:w="2320" w:type="dxa"/>
            <w:vAlign w:val="bottom"/>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340" w:type="dxa"/>
            <w:vAlign w:val="bottom"/>
            <w:tcBorders>
              <w:left w:val="single" w:sz="8" w:color="CCEEFF"/>
            </w:tcBorders>
          </w:tcPr>
          <w:p>
            <w:pPr>
              <w:spacing w:after="0"/>
              <w:rPr>
                <w:sz w:val="19"/>
                <w:szCs w:val="19"/>
                <w:color w:val="auto"/>
              </w:rPr>
            </w:pPr>
          </w:p>
        </w:tc>
      </w:tr>
      <w:tr>
        <w:trPr>
          <w:trHeight w:val="223"/>
        </w:trPr>
        <w:tc>
          <w:tcPr>
            <w:tcW w:w="23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Imputed interest</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2340" w:type="dxa"/>
            <w:vAlign w:val="bottom"/>
          </w:tcPr>
          <w:p>
            <w:pPr>
              <w:spacing w:after="0"/>
              <w:rPr>
                <w:sz w:val="19"/>
                <w:szCs w:val="19"/>
                <w:color w:val="auto"/>
              </w:rPr>
            </w:pPr>
          </w:p>
        </w:tc>
      </w:tr>
      <w:tr>
        <w:trPr>
          <w:trHeight w:val="229"/>
        </w:trPr>
        <w:tc>
          <w:tcPr>
            <w:tcW w:w="2320" w:type="dxa"/>
            <w:vAlign w:val="bottom"/>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financing costs</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340" w:type="dxa"/>
            <w:vAlign w:val="bottom"/>
            <w:tcBorders>
              <w:left w:val="single" w:sz="8" w:color="CCEEFF"/>
            </w:tcBorders>
          </w:tcPr>
          <w:p>
            <w:pPr>
              <w:spacing w:after="0"/>
              <w:rPr>
                <w:sz w:val="19"/>
                <w:szCs w:val="19"/>
                <w:color w:val="auto"/>
              </w:rPr>
            </w:pPr>
          </w:p>
        </w:tc>
      </w:tr>
      <w:tr>
        <w:trPr>
          <w:trHeight w:val="223"/>
        </w:trPr>
        <w:tc>
          <w:tcPr>
            <w:tcW w:w="23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1200" w:type="dxa"/>
            <w:vAlign w:val="bottom"/>
            <w:gridSpan w:val="2"/>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2340" w:type="dxa"/>
            <w:vAlign w:val="bottom"/>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790"/>
        </w:trPr>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20" w:type="dxa"/>
            <w:vAlign w:val="bottom"/>
            <w:gridSpan w:val="4"/>
          </w:tcPr>
          <w:p>
            <w:pPr>
              <w:ind w:left="240"/>
              <w:spacing w:after="0"/>
              <w:rPr>
                <w:sz w:val="20"/>
                <w:szCs w:val="20"/>
                <w:color w:val="auto"/>
              </w:rPr>
            </w:pPr>
            <w:r>
              <w:rPr>
                <w:rFonts w:ascii="Arial" w:cs="Arial" w:eastAsia="Arial" w:hAnsi="Arial"/>
                <w:sz w:val="18"/>
                <w:szCs w:val="18"/>
                <w:color w:val="auto"/>
              </w:rPr>
              <w:t>F-28</w:t>
            </w: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58"/>
        </w:trPr>
        <w:tc>
          <w:tcPr>
            <w:tcW w:w="2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2" w:name="page133"/>
    <w:bookmarkEnd w:id="1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research and development efforts, we enter into research collaboration and licensing agreements with other companies, universities, and other organizations.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contingent upon the occurrence of various future events (e.g., upon the achievement of various development and commercial milestones). Additionally, we have in-licensed patent and/or technology pursuant to agreements which contain provisions that require the Company to pay royalties, as defined, at rates that range from 0.5% to 10.0%, in the event the Company sells or licenses any proprietary products developed under the respective agreements. The Company also has contingent reimbursement obligations to its collaborators Sanofi and Bayer out of the respective collaboration's profits, if they are sufficient for that purpose. See Note 3 for a more detailed description of collaboration, license, and other agreements.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2020, and 2019, the Company recorded royalty expense (net of reimbursements from collaborators, as applicable) in Cost of goods sold and Cost of collaboration and contract manufacturing of $66.9 million, $56.5 million, and $47.0 million, respectively, based on product sales of commercial products under various licensing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it was authorized to repurchase under the program.</w:t>
      </w:r>
    </w:p>
    <w:p>
      <w:pPr>
        <w:spacing w:after="0" w:line="10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January 2021, our board of directors authorized a share repurchase program to repurchase up to $1.5 billion of our Common Stock. The share repurchase program was approved under terms substantially similar to the November 2019 share repurchase program described above. As of December 31, 2021, the Company had repurchased the entire $1.5 billion of its Common Stock that it was authorized to repurchase under the program.</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our board of directors authorized an additional share repurchase program to repurchase up to $3.0 billion of our Common Stock. The share repurchase program was approved under terms substantially similar to the share repurchase programs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December 31, 2021, $2.845 billion remained available for share repurchases under the November 2021 program.</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shares of our Common Stock we repurchased under the programs described above and the cost of the shares received, which were recorded as Treasury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1540" w:type="dxa"/>
            <w:vAlign w:val="bottom"/>
          </w:tcPr>
          <w:p>
            <w:pPr>
              <w:spacing w:after="0"/>
              <w:rPr>
                <w:sz w:val="19"/>
                <w:szCs w:val="19"/>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540" w:type="dxa"/>
            <w:vAlign w:val="bottom"/>
          </w:tcPr>
          <w:p>
            <w:pPr>
              <w:spacing w:after="0"/>
              <w:rPr>
                <w:sz w:val="19"/>
                <w:szCs w:val="19"/>
                <w:color w:val="auto"/>
              </w:rPr>
            </w:pPr>
          </w:p>
        </w:tc>
      </w:tr>
      <w:tr>
        <w:trPr>
          <w:trHeight w:val="223"/>
        </w:trPr>
        <w:tc>
          <w:tcPr>
            <w:tcW w:w="15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540" w:type="dxa"/>
            <w:vAlign w:val="bottom"/>
          </w:tcPr>
          <w:p>
            <w:pPr>
              <w:spacing w:after="0"/>
              <w:rPr>
                <w:sz w:val="19"/>
                <w:szCs w:val="19"/>
                <w:color w:val="auto"/>
              </w:rPr>
            </w:pPr>
          </w:p>
        </w:tc>
      </w:tr>
      <w:tr>
        <w:trPr>
          <w:trHeight w:val="230"/>
        </w:trPr>
        <w:tc>
          <w:tcPr>
            <w:tcW w:w="154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Total cost of shares received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1,655.0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746.0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254.0</w:t>
            </w:r>
          </w:p>
        </w:tc>
        <w:tc>
          <w:tcPr>
            <w:tcW w:w="1540" w:type="dxa"/>
            <w:vAlign w:val="bottom"/>
          </w:tcPr>
          <w:p>
            <w:pPr>
              <w:spacing w:after="0"/>
              <w:rPr>
                <w:sz w:val="20"/>
                <w:szCs w:val="20"/>
                <w:color w:val="auto"/>
              </w:rPr>
            </w:pPr>
          </w:p>
        </w:tc>
      </w:tr>
      <w:tr>
        <w:trPr>
          <w:trHeight w:val="796"/>
        </w:trPr>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20" w:type="dxa"/>
            <w:vAlign w:val="bottom"/>
            <w:gridSpan w:val="2"/>
          </w:tcPr>
          <w:p>
            <w:pPr>
              <w:jc w:val="center"/>
              <w:ind w:left="650"/>
              <w:spacing w:after="0"/>
              <w:rPr>
                <w:sz w:val="20"/>
                <w:szCs w:val="20"/>
                <w:color w:val="auto"/>
              </w:rPr>
            </w:pPr>
            <w:r>
              <w:rPr>
                <w:rFonts w:ascii="Arial" w:cs="Arial" w:eastAsia="Arial" w:hAnsi="Arial"/>
                <w:sz w:val="18"/>
                <w:szCs w:val="18"/>
                <w:color w:val="auto"/>
                <w:w w:val="91"/>
              </w:rPr>
              <w:t>F-29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8"/>
        </w:trPr>
        <w:tc>
          <w:tcPr>
            <w:tcW w:w="15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3" w:name="page134"/>
    <w:bookmarkEnd w:id="1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3, in 2018, we and Sanofi entered into a Letter Agreement, which, among other things, granted Sanofi a limited waiver of Sanofi's lock-up obligations under the amended and restated investor agreement between us and Sanofi in order to allow Sanofi to satisfy its funding obligations with respect to Libtayo development costs and/or Dupilumab/Itepekimab Eligible Investments for quarterly periods ending on September 30, 2020 by selling our Common Stock owned by Sanofi. During 2020 and 2019, Sanofi elected to sell, and we elected to purchase, shares of our Common Stock to satisfy Sanofi's funding obligation related to such activities. Consequently, we recorded the cost of the shares received, or $135.0 million and $102.7 million, as Treasury Stock during 2020 and 2019,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Purchased from Sanofi</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directly from Sanofi for an aggregate purchase amount of $5.0 billion (the "Stock Purchase"). See Note 9 for additional information. As a result of the Secondary Offering and the Stock Purchase, Sanofi disposed of all of its shares of our Common Stock, other than 400,000 shares that it retained as of the closing of the Secondary Offering and the Stock Purchase (a portion of which Sanofi used for the funding of certain development costs described above).</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the Company entered into an amendment to the amended and restated investor agreement, which provides, among other things, that following the Secondary Offering and Share Purchase, (1) the “standstill” provisions, which contractually prohibit Sanofi from seeking to directly or indirectly exert control of the Company, continue to apply pursuant to their terms and (2) the voting commitments contained in the investor agreement continue to apply to the shares of Common Stock held by Sanofi and its affiliates following the secondary offering and stock repurchase, for so long as such shares are held by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Other Collaborators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license and collaboration agreements with Bayer for the joint development and commercialization outside the United States of antibody product candidates to PDGFR-beta and Ang2, Bayer is bound by certain "standstill" provisions, which contractually prohibit Bayer from seeking to influence the control of the Company or acquiring more than 20% of the Company's outstanding shares of Class A Stock and Common Stock (taken together). With respect to each of these agreements, this prohibition will remain in place until the earliest of (i) the fifth anniversary of the termination of the agreement (which, in the case of the PDGFR-beta license and collaboration agreement, will occur on July 31, 2022, and, in the case of the Ang2 agreement, will occur on November 1, 2023) or (ii) other specified events.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or (ii) other specified events.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Incentive Plans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used long-term incentive plans for the purpose of granting equity awards to employees of the Company, including officers, and non-employees, including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As of the most recent shareholder approval date, the Second Amended and Restated 2014 Incentive Plan provided for the issuance of up to 22.3 million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awards that may be made under the Second Amended and Restated 2014 Incentive Plan include: (a) incentive stock options and non-qualified stock options, (b) restricted stock awards, (c) shares of phantom stock (also referred to as restricted stock units, which may be time- or performance-based), and</w:t>
      </w:r>
    </w:p>
    <w:p>
      <w:pPr>
        <w:ind w:firstLine="8"/>
        <w:spacing w:after="0" w:line="260" w:lineRule="auto"/>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awards. Any award granted may (but is not required to) be subject to vesting based on the attainment by the Company of performance goals pre-established by the Committee.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4" w:name="page135"/>
    <w:bookmarkEnd w:id="1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awards will be transferred to the Company.</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Incentive Plans contain provisions that allow for the Committee to provide for the immediate vesting of awards upon a change in control of the Company, as defined in the Incentive Plans.</w:t>
      </w:r>
    </w:p>
    <w:p>
      <w:pPr>
        <w:spacing w:after="0" w:line="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2021, there were 17.9 million shares available for future grants under the Second Amended and Restated 2014 Incentive Plan. No additional awards may be made under the 2000 Incentive Plan, the Original 2014 Incentive Plan, or the Amended and Restated 2014 Incentive Plan.</w:t>
      </w:r>
    </w:p>
    <w:p>
      <w:pPr>
        <w:spacing w:after="0" w:line="56"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stock option awards during 2021 under the Company's Incentive Plans are summarized in the table below.</w:t>
      </w:r>
    </w:p>
    <w:p>
      <w:pPr>
        <w:spacing w:after="0" w:line="154"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5"/>
                <w:szCs w:val="15"/>
                <w:color w:val="auto"/>
              </w:rPr>
            </w:pP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Exercise</w:t>
            </w:r>
          </w:p>
        </w:tc>
        <w:tc>
          <w:tcPr>
            <w:tcW w:w="13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i w:val="1"/>
                <w:iCs w:val="1"/>
                <w:color w:val="auto"/>
                <w:w w:val="97"/>
              </w:rPr>
              <w:t>(In millions)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(In years)</w:t>
            </w:r>
          </w:p>
        </w:tc>
        <w:tc>
          <w:tcPr>
            <w:tcW w:w="18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379.51</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628.43</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Forfeited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299.23</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3,654.5</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Vested and expected to vest as of December 31,</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431.33</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3,566.6</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2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2021, 2020, and 2019 was $1.707 billion, $2.251 billion, and $558.9 million, respectively. The intrinsic value represents the amount by which the market price of the underlying stock exceeds the exercise price of an option.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5" w:name="page136"/>
    <w:bookmarkEnd w:id="1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weighted-average exercise prices and weighted-average grant-date fair values of options issued during the years ended December 31, 2021, 2020, and 2019.</w:t>
      </w:r>
    </w:p>
    <w:p>
      <w:pPr>
        <w:spacing w:after="0" w:line="99"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7"/>
                <w:szCs w:val="17"/>
                <w:color w:val="auto"/>
              </w:rPr>
            </w:pPr>
          </w:p>
        </w:tc>
        <w:tc>
          <w:tcPr>
            <w:tcW w:w="10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13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13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5"/>
              </w:rPr>
              <w:t>Granted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1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7"/>
              </w:rPr>
              <w:t>(In millions)</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Exercise Price</w:t>
            </w:r>
          </w:p>
        </w:tc>
        <w:tc>
          <w:tcPr>
            <w:tcW w:w="140" w:type="dxa"/>
            <w:vAlign w:val="bottom"/>
          </w:tcPr>
          <w:p>
            <w:pPr>
              <w:spacing w:after="0"/>
              <w:rPr>
                <w:sz w:val="19"/>
                <w:szCs w:val="19"/>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jc w:val="right"/>
              <w:ind w:right="3410"/>
              <w:spacing w:after="0"/>
              <w:rPr>
                <w:sz w:val="20"/>
                <w:szCs w:val="20"/>
                <w:color w:val="auto"/>
              </w:rPr>
            </w:pPr>
            <w:r>
              <w:rPr>
                <w:rFonts w:ascii="Arial" w:cs="Arial" w:eastAsia="Arial" w:hAnsi="Arial"/>
                <w:sz w:val="18"/>
                <w:szCs w:val="18"/>
                <w:color w:val="auto"/>
                <w:w w:val="88"/>
              </w:rPr>
              <w:t>2021:</w:t>
            </w: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jc w:val="right"/>
              <w:ind w:right="990"/>
              <w:spacing w:after="0"/>
              <w:rPr>
                <w:sz w:val="20"/>
                <w:szCs w:val="20"/>
                <w:color w:val="auto"/>
              </w:rPr>
            </w:pPr>
            <w:r>
              <w:rPr>
                <w:rFonts w:ascii="Arial" w:cs="Arial" w:eastAsia="Arial" w:hAnsi="Arial"/>
                <w:sz w:val="18"/>
                <w:szCs w:val="18"/>
                <w:color w:val="auto"/>
                <w:w w:val="97"/>
              </w:rPr>
              <w:t>Exercise price equal to Market Price</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628.43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jc w:val="right"/>
              <w:ind w:right="3410"/>
              <w:spacing w:after="0"/>
              <w:rPr>
                <w:sz w:val="20"/>
                <w:szCs w:val="20"/>
                <w:color w:val="auto"/>
              </w:rPr>
            </w:pPr>
            <w:r>
              <w:rPr>
                <w:rFonts w:ascii="Arial" w:cs="Arial" w:eastAsia="Arial" w:hAnsi="Arial"/>
                <w:sz w:val="18"/>
                <w:szCs w:val="18"/>
                <w:color w:val="auto"/>
                <w:w w:val="88"/>
              </w:rPr>
              <w:t>2020:</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jc w:val="right"/>
              <w:ind w:right="990"/>
              <w:spacing w:after="0"/>
              <w:rPr>
                <w:sz w:val="20"/>
                <w:szCs w:val="20"/>
                <w:color w:val="auto"/>
              </w:rPr>
            </w:pPr>
            <w:r>
              <w:rPr>
                <w:rFonts w:ascii="Arial" w:cs="Arial" w:eastAsia="Arial" w:hAnsi="Arial"/>
                <w:sz w:val="18"/>
                <w:szCs w:val="18"/>
                <w:color w:val="auto"/>
                <w:w w:val="97"/>
              </w:rPr>
              <w:t>Exercise price equal to Market Price</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jc w:val="right"/>
              <w:ind w:right="3410"/>
              <w:spacing w:after="0"/>
              <w:rPr>
                <w:sz w:val="20"/>
                <w:szCs w:val="20"/>
                <w:color w:val="auto"/>
              </w:rPr>
            </w:pPr>
            <w:r>
              <w:rPr>
                <w:rFonts w:ascii="Arial" w:cs="Arial" w:eastAsia="Arial" w:hAnsi="Arial"/>
                <w:sz w:val="18"/>
                <w:szCs w:val="18"/>
                <w:color w:val="auto"/>
                <w:w w:val="88"/>
              </w:rPr>
              <w:t>2019:</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jc w:val="right"/>
              <w:ind w:right="990"/>
              <w:spacing w:after="0"/>
              <w:rPr>
                <w:sz w:val="20"/>
                <w:szCs w:val="20"/>
                <w:color w:val="auto"/>
              </w:rPr>
            </w:pPr>
            <w:r>
              <w:rPr>
                <w:rFonts w:ascii="Arial" w:cs="Arial" w:eastAsia="Arial" w:hAnsi="Arial"/>
                <w:sz w:val="18"/>
                <w:szCs w:val="18"/>
                <w:color w:val="auto"/>
                <w:w w:val="97"/>
              </w:rPr>
              <w:t>Exercise price equal to Market Price</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years ended December 31, 2021, 2020, and 2019, the Company recognized $328.7 million, $329.5 million, and $422.8 million, respectively, of non-cash stock-based compensation expense related to stock option awards (net of amounts capitalized as inventory, which were not material for each of the three years). As of December 31, 2021, there was $515.9 million of stock-based compensation cost related to unvested stock options, net of estimated forfeitures, which had not yet been recognized. The Company expects to recognize this compensation cost over a weighted-average period of 1.8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2021, 2020, and 2019.</w:t>
      </w:r>
    </w:p>
    <w:p>
      <w:pPr>
        <w:spacing w:after="0" w:line="139" w:lineRule="exact"/>
        <w:rPr>
          <w:sz w:val="20"/>
          <w:szCs w:val="20"/>
          <w:color w:val="auto"/>
        </w:rPr>
      </w:pPr>
    </w:p>
    <w:tbl>
      <w:tblPr>
        <w:tblLayout w:type="fixed"/>
        <w:tblInd w:w="2280" w:type="dxa"/>
        <w:tblCellMar>
          <w:top w:w="0" w:type="dxa"/>
          <w:left w:w="0" w:type="dxa"/>
          <w:bottom w:w="0" w:type="dxa"/>
          <w:right w:w="0" w:type="dxa"/>
        </w:tblCellMar>
      </w:tblPr>
      <w:tr>
        <w:trPr>
          <w:trHeight w:val="234"/>
        </w:trPr>
        <w:tc>
          <w:tcPr>
            <w:tcW w:w="3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5.5 years</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5.0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5.0 years</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0.47 %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1.74 %</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20"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 Awards and Time-Based Restricted Stock Units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activity related to restricted stock awards and time-based restricted stock units (excluding performance-based restricted stock units, which are detailed further below) (collectively, "restricted stock") during 2021 is summarized below.</w:t>
      </w:r>
    </w:p>
    <w:p>
      <w:pPr>
        <w:spacing w:after="0" w:line="207"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r>
      <w:tr>
        <w:trPr>
          <w:trHeight w:val="175"/>
        </w:trPr>
        <w:tc>
          <w:tcPr>
            <w:tcW w:w="36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5"/>
              </w:rPr>
              <w:t>Grant</w:t>
            </w:r>
          </w:p>
        </w:tc>
      </w:tr>
      <w:tr>
        <w:trPr>
          <w:trHeight w:val="230"/>
        </w:trPr>
        <w:tc>
          <w:tcPr>
            <w:tcW w:w="36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7"/>
              </w:rPr>
              <w:t>(In millions)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Date Fair Value</w:t>
            </w: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56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87"/>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421.58</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8"/>
                <w:szCs w:val="18"/>
                <w:color w:val="auto"/>
              </w:rPr>
              <w:t>Granted</w:t>
            </w:r>
          </w:p>
        </w:tc>
        <w:tc>
          <w:tcPr>
            <w:tcW w:w="1560" w:type="dxa"/>
            <w:vAlign w:val="bottom"/>
          </w:tcPr>
          <w:p>
            <w:pPr>
              <w:jc w:val="center"/>
              <w:ind w:left="1090"/>
              <w:spacing w:after="0"/>
              <w:rPr>
                <w:sz w:val="20"/>
                <w:szCs w:val="20"/>
                <w:color w:val="auto"/>
              </w:rPr>
            </w:pPr>
            <w:r>
              <w:rPr>
                <w:rFonts w:ascii="Arial" w:cs="Arial" w:eastAsia="Arial" w:hAnsi="Arial"/>
                <w:sz w:val="18"/>
                <w:szCs w:val="18"/>
                <w:color w:val="auto"/>
                <w:w w:val="87"/>
              </w:rPr>
              <w:t>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633.31</w:t>
            </w:r>
          </w:p>
        </w:tc>
      </w:tr>
      <w:tr>
        <w:trPr>
          <w:trHeight w:val="229"/>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1"/>
              </w:rPr>
              <w:t>(0.2)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374.17</w:t>
            </w:r>
          </w:p>
        </w:tc>
      </w:tr>
      <w:tr>
        <w:trPr>
          <w:trHeight w:val="230"/>
        </w:trPr>
        <w:tc>
          <w:tcPr>
            <w:tcW w:w="3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1"/>
              </w:rPr>
              <w:t>(0.1)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440.08</w:t>
            </w: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56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87"/>
              </w:rPr>
              <w:t>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499.85</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non-cash stock-based compensation expense related to restricted stock of $221.0 million, $102.5 million, and $29.7 million in 2021, 2020, and 2019, respectively (net of amounts capitalized as inventory, which were not material for each of the three years). As of December 31, 2021, there was $649.1 million of stock-based compensation cost related to</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6" w:name="page137"/>
    <w:bookmarkEnd w:id="1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unvested restricted stock which had not yet been recognized. The Company expects to recognize this compensation cost over a weighted-average period of 2.4 years.</w:t>
      </w:r>
    </w:p>
    <w:p>
      <w:pPr>
        <w:spacing w:after="0" w:line="89"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Performance-based Restricted Stock Units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Performance-based restricted stock units ("PSUs") have been granted to certain executive officers of the Company. The PSUs will be earned based upon the achievement of predetermined, cumulative total shareholder return goals with respect to the Company's Common Stock price over a specified (generally five-year) period beginning on the grant date. The number of PSUs granted represents the maximum number of units that are eligible to be earned. Depending on the terms of the PSUs and the outcome of the performance goals, a recipient may ultimately earn 0% to 250% (as specified for each PSU grant) of the target number of PSUs granted. As of December 31, 2021 and 2020, 1.3 million PSUs were outstanding with a weighted-average grant date fair value of $209.06 per unit. During the year ended December 31, 2021, the Company did not grant new PSUs and no PSUs were vested, forfeited, or cancelled.</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non-cash stock-based compensation expense related to PSUs of $52.0 million and $11.7 million in 2021 and 2019, respectively. The Company did not recognize non-cash stock-based compensation expense related to PSUs in 2020 (as PSUs granted in 2020 were granted on December 31, 2020 and are expensed over the vesting period). As of December 31, 2021, there was $208.0 million of stock-based compensation cost related to unvested PSUs which had not yet been recognized. The Company expects to recognize this compensation cost on a straight-line basis over a period of 4.0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PSUs that were granted during 2020 and 2019.</w:t>
      </w:r>
    </w:p>
    <w:p>
      <w:pPr>
        <w:spacing w:after="0" w:line="139" w:lineRule="exact"/>
        <w:rPr>
          <w:sz w:val="20"/>
          <w:szCs w:val="20"/>
          <w:color w:val="auto"/>
        </w:rPr>
      </w:pPr>
    </w:p>
    <w:tbl>
      <w:tblPr>
        <w:tblLayout w:type="fixed"/>
        <w:tblInd w:w="2800" w:type="dxa"/>
        <w:tblCellMar>
          <w:top w:w="0" w:type="dxa"/>
          <w:left w:w="0" w:type="dxa"/>
          <w:bottom w:w="0" w:type="dxa"/>
          <w:right w:w="0" w:type="dxa"/>
        </w:tblCellMar>
      </w:tblPr>
      <w:tr>
        <w:trPr>
          <w:trHeight w:val="234"/>
        </w:trPr>
        <w:tc>
          <w:tcPr>
            <w:tcW w:w="33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Savings Plans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as defined, to the accounts of participants under the Savings Plan. The Company also maintains additional employee savings plans outside of the United States, which cover eligible employees.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Expenses recognized by the Company related to contributions to such plans were not material during 2021, 2020, and 2019.</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7" w:name="page138"/>
    <w:bookmarkEnd w:id="1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subject to U.S. federal, state, and foreign income taxes. Components of income before income taxes consist of the following:</w:t>
      </w:r>
    </w:p>
    <w:p>
      <w:pPr>
        <w:spacing w:after="0" w:line="300"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w:t>
            </w:r>
          </w:p>
        </w:tc>
      </w:tr>
      <w:tr>
        <w:trPr>
          <w:trHeight w:val="230"/>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r>
      <w:tr>
        <w:trPr>
          <w:trHeight w:val="248"/>
        </w:trPr>
        <w:tc>
          <w:tcPr>
            <w:tcW w:w="1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2,429.1</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tax expense consist of the following:</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3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444.6</w:t>
            </w: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r>
      <w:tr>
        <w:trPr>
          <w:trHeight w:val="209"/>
        </w:trPr>
        <w:tc>
          <w:tcPr>
            <w:tcW w:w="33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(benefit) expense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23"/>
        </w:trPr>
        <w:tc>
          <w:tcPr>
            <w:tcW w:w="7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Taxation of non-U.S. operations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Foreign-derived intangible income deduction</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89"/>
              </w:rPr>
              <w:t>Sale of non-inventory related assets between foreign subsidiaries</w:t>
            </w:r>
          </w:p>
        </w:tc>
        <w:tc>
          <w:tcPr>
            <w:tcW w:w="1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13.4</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12.9</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55"/>
        </w:trPr>
        <w:tc>
          <w:tcPr>
            <w:tcW w:w="7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00" w:type="dxa"/>
            <w:vAlign w:val="bottom"/>
            <w:gridSpan w:val="2"/>
          </w:tcPr>
          <w:p>
            <w:pPr>
              <w:jc w:val="right"/>
              <w:ind w:right="1050"/>
              <w:spacing w:after="0"/>
              <w:rPr>
                <w:sz w:val="20"/>
                <w:szCs w:val="20"/>
                <w:color w:val="auto"/>
              </w:rPr>
            </w:pPr>
            <w:r>
              <w:rPr>
                <w:rFonts w:ascii="Arial" w:cs="Arial" w:eastAsia="Arial" w:hAnsi="Arial"/>
                <w:sz w:val="18"/>
                <w:szCs w:val="18"/>
                <w:color w:val="auto"/>
                <w:w w:val="91"/>
              </w:rPr>
              <w:t>F-34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8"/>
        </w:trPr>
        <w:tc>
          <w:tcPr>
            <w:tcW w:w="7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8" w:name="page139"/>
    <w:bookmarkEnd w:id="1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02"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4"/>
              </w:rPr>
              <w:t>As of December 31,</w:t>
            </w:r>
          </w:p>
        </w:tc>
      </w:tr>
      <w:tr>
        <w:trPr>
          <w:trHeight w:val="223"/>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466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436.6</w:t>
            </w:r>
          </w:p>
        </w:tc>
      </w:tr>
      <w:tr>
        <w:trPr>
          <w:trHeight w:val="229"/>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30"/>
        </w:trPr>
        <w:tc>
          <w:tcPr>
            <w:tcW w:w="4660" w:type="dxa"/>
            <w:vAlign w:val="bottom"/>
          </w:tcPr>
          <w:p>
            <w:pPr>
              <w:ind w:left="200"/>
              <w:spacing w:after="0"/>
              <w:rPr>
                <w:sz w:val="20"/>
                <w:szCs w:val="20"/>
                <w:color w:val="auto"/>
              </w:rPr>
            </w:pPr>
            <w:r>
              <w:rPr>
                <w:rFonts w:ascii="Arial" w:cs="Arial" w:eastAsia="Arial" w:hAnsi="Arial"/>
                <w:sz w:val="18"/>
                <w:szCs w:val="18"/>
                <w:color w:val="auto"/>
              </w:rPr>
              <w:t>Fixed assets and intangible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r>
      <w:tr>
        <w:trPr>
          <w:trHeight w:val="270"/>
        </w:trPr>
        <w:tc>
          <w:tcPr>
            <w:tcW w:w="4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Unrealized gains on investments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federal income tax returns for 2017 through 2020 remain open to examination by the IRS. The Company's 2017 and 2018 federal income tax returns are currently under audit by the IRS. In general, the Company's state income tax returns from 2016 to 2020 remain open to examination. The Company's income tax returns outside of the United States remain open to examination from 2018 to 2020.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reconciles the beginning and ending amounts of unrecognized tax benefits. The amount of unrecognized tax benefits that, if settled, would impact the effective tax rate is $410.9 million, $267.0 million, and $210.8 million as of December 31, 2021, 2020, and 2019, respectively.</w:t>
      </w:r>
    </w:p>
    <w:p>
      <w:pPr>
        <w:spacing w:after="0" w:line="93"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Gross increases related to current year tax positions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1"/>
              </w:rPr>
              <w:t>Gross increases (decreases) related to prior year tax positions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5"/>
        </w:trPr>
        <w:tc>
          <w:tcPr>
            <w:tcW w:w="4580" w:type="dxa"/>
            <w:vAlign w:val="bottom"/>
          </w:tcPr>
          <w:p>
            <w:pPr>
              <w:spacing w:after="0" w:line="176" w:lineRule="exact"/>
              <w:rPr>
                <w:sz w:val="20"/>
                <w:szCs w:val="20"/>
                <w:color w:val="auto"/>
              </w:rPr>
            </w:pPr>
            <w:r>
              <w:rPr>
                <w:rFonts w:ascii="Arial" w:cs="Arial" w:eastAsia="Arial" w:hAnsi="Arial"/>
                <w:sz w:val="18"/>
                <w:szCs w:val="18"/>
                <w:color w:val="auto"/>
                <w:w w:val="95"/>
              </w:rPr>
              <w:t>Gross decreases due to settlements and lapse of statutes of</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limitations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the decreases in unrecognized tax benefits related to the Company's federal income tax returns for 2015 and 2016, as these audits are closed. In 2021, 2020, and 2019, the increases in unrecognized tax benefits primarily related to the Company's calculation of certain tax credits and other items related to the Company's international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2020, and 2019, interest expense related to unrecognized tax benefits recorded by the Company was not material. The Company does not believe that it is reasonably possible that the resolution of tax exposures within the next twelve months would have a material impact on its unrecognized tax benefits as of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Matters</w:t>
      </w:r>
    </w:p>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December 31, 2021 and 2020, the Company's accruals for loss contingencies were not material. If the Company were unable to prevail in any such proceedings, its consolidated financial position, results of operations, and future cash flows may be materially impacted.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9" w:name="page140"/>
    <w:bookmarkEnd w:id="1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Amgen has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described in greater detail under "Second Jury Trial and Appeal" below, on February 11, 2021, the Federal Circuit (as defined below) affirmed the lower court's decision that certain of Amgen's asserted patent claims are invalid based on lack of enablement.</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First Jury Trial and Appeal. </w:t>
      </w:r>
      <w:r>
        <w:rPr>
          <w:rFonts w:ascii="Arial" w:cs="Arial" w:eastAsia="Arial" w:hAnsi="Arial"/>
          <w:sz w:val="18"/>
          <w:szCs w:val="18"/>
          <w:color w:val="auto"/>
        </w:rPr>
        <w:t>The first jury trial in this litigation (the "First Trial") was held in the United States District Court for the District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Second Jury Trial and Appeal. </w:t>
      </w:r>
      <w:r>
        <w:rPr>
          <w:rFonts w:ascii="Arial" w:cs="Arial" w:eastAsia="Arial" w:hAnsi="Arial"/>
          <w:sz w:val="16"/>
          <w:szCs w:val="16"/>
          <w:color w:val="auto"/>
        </w:rPr>
        <w:t>On January 3, 2019, the District Court held oral argument in the remanded proceedings on the Company and the Sanofi</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motion for judgment on the pleadings regarding Amgen's willful infringement claim. On January 18, 2019, the District Court entered an order</w:t>
      </w:r>
    </w:p>
    <w:p>
      <w:pPr>
        <w:jc w:val="both"/>
        <w:ind w:firstLine="8"/>
        <w:spacing w:after="0" w:line="285" w:lineRule="auto"/>
        <w:tabs>
          <w:tab w:leader="none" w:pos="217"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 An oral hearing before the Federal Circuit was held on December 9, 2020. On February 11, 2021, the Federal Circuit affirmed the District Court's decision that certain of Amgen's asserted patent claims are invalid based on lack of enablement. On April 14, 2021, Amgen filed a petition for a rehearing en banc, which was denied on June 21, 2021. On November 18, 2021, Amgen filed a petition for writ of certiorari with the United States Supreme Court.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Injunctive Relief Proceedings. </w:t>
      </w:r>
      <w:r>
        <w:rPr>
          <w:rFonts w:ascii="Arial" w:cs="Arial" w:eastAsia="Arial" w:hAnsi="Arial"/>
          <w:sz w:val="18"/>
          <w:szCs w:val="18"/>
          <w:color w:val="auto"/>
        </w:rPr>
        <w:t>On March 18, 2019, Amgen filed a renewed motion for a permanent injunction to prohibit the Company and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Amgen has asserted European Patent No. 2,215,124 (the "'124 Patent"), which pertains to PCSK9 monoclonal antibodies, in the countries in Europe discussed below. In October 2020, the '124 Patent claims directed to compositions of matter and medical use relevant to Praluent were ruled invalid based on a lack of inventive step by the Technical Board of Appeal (the "TBA") of the European Patent Office (the "EPO"). This decision impacted each of the infringement proceedings based on the '124 Patent discussed below.</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0" w:name="page141"/>
    <w:bookmarkEnd w:id="1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Amgen filed lawsuits in Germany, the United Kingdom, and France in July 2016, July 2016, and September 2016, respectively, against the Company and certain of Sanofi's affiliated entities for infringement of the relevant designation of the '124 Patent in each such jurisdiction; and these lawsuits were dismissed in November 2020, September 2021, and June 2021, respectively. The dismissal in Germany followed an earlier finding of infringement and granting of an injunction, both of which were subsequently overturned. In December 2019, Amgen also filed lawsuits in the Netherlands, Italy, and Spain for infringement of the relevant designation of the '124 Patent in each such jurisdiction; the Company was not named as a defendant in any of these actions, and each of these lawsuits was dismissed in February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on March 31, 2020, Amgen filed a lawsuit in the Tokyo District Court against Sanofi K.K. seeking damages incurred by Amgen as a result of the earlier finding of infringement of Amgen's Japanese Patent Nos. 5,906,333 and 5,705,288 by the Tokyo District Court Civil Division. The Company has not been named as a defendant in this damages 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March 23, 2017, the Company,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in the United States Patent and Trademark Office ("USPTO") seeking a declaration of invalidity of U.S. Patent No. 8,679,487 (the "'487 Patent") owned by Immunex Corporation relating to antibodies that bind the human interleukin-4 receptor and subsequently filed two additional IPR petitions in the USPTO seeking declarations of invalidity of the '487 Patent based on different grounds (the "Additional IPR Petitions"). The Patent Trial and Appeal Board ("PTAB") of the USPTO issued a final written decision on the Additional IPR Petitions on February 14, 2019, invalidating all 17 claims of the '487 Patent as obvious. This decision was subsequently affirmed by the Federal Circuit and Immunex's petition for writ of certiorari was denied by the United States Supreme Court. The '487 Patent expired in May 2020 following Immunex's filing of a terminal disclaimer with the USPTO.</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The court subsequently granted a joint stipulation by the parties to stay the litigation pending resolution of the appeals of the PTAB's final written decisions on the Additional IPR Petitions discussed above; and, on August 3, 2021, granted a motion to dismiss the lawsuit, dismissing all of Immunex's claims with prejudice.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and an oral hearing before the TBA has been scheduled for March 10–11, 2022. On September 20, 2017 and September 21, 2017, respectively, the Company and Sanofi initiated opposition proceedings in the EPO against Immunex's European Patent No. 2,990,420 (the "'420 Patent"), a divisional patent of the '665 Patent (i.e.,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and an oral hearing before the TBA has been scheduled for March 10– 11, 2022. The original patent term of the Immunex patents expired in May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7, 2021, Chengdu Kanghong Pharmaceutical Group Co., Ltd. ("Chengdu Kanghong") filed an IPR petition in the USPTO against the Company' s U.S. Patent No. 10,464,992 (the "'992 Patent") and a post-grant review ("PGR") petition against the Company's U.S. Patent No. 10,828,345 (the "'345 Patent") seeking declarations of invalidity of the '992 Patent and '345 Patent. On June 23, 2021, Chengdu Kanghong filed motions to dismiss each of these petitions and terminate the respective proceedings, which were granted by the USPTO on June 25, 2021.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1" w:name="page142"/>
    <w:bookmarkEnd w:id="1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February 11, 2020, anonymous parties filed two requests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the Company's U.S. Patent No. 10,406,226 and the '992 Patent, and the USPTO has granted both requests to initiate reexamination proceedings.</w:t>
      </w:r>
    </w:p>
    <w:p>
      <w:pPr>
        <w:spacing w:after="0" w:line="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5, 2021, Mylan Pharmaceuticals Inc. filed IPR petitions in the USPTO against the Company's U.S. Patent Nos. 9,254,338 (the "'338 Patent") and 9,669,069 (the "'069 Patent") seeking declarations of invalidity of the '338 Patent and the '069 Patent. On November 10, 2021, the USPTO issued a decision instituting both IPR proceedings. On December 9, 2021, Apotex Inc. and Celltrion, Inc. each filed two separate IPR petitions against the Company's '338 and '069 Patents requesting that their IPRs be instituted and joined with the IPR proceedings initiated by Mylan concerning the '338 and '069 Patents.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7, 2021, Celltrion, Inc. filed a PGR petition in the USPTO against the Company's U.S. Patent No. 10,857,231 (the "'231 Patent") seeking a declaration of invalidity of the '231 Patent.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On October 26 and October 27, 2021, anonymous parties initiated opposition proceedings in the EPO against the Company's European Patent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2,944,306 (the "'306 Patent") seeking revocation of the '306 Patent in its entirety.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Pre-filled Syringe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(i.e., the period when the President of the United States (or his designee) can disapprove any ITC decision to issue an exclusion order or cease-and-desist order). The ITC instituted the investigation on July 22, 2020 and a trial was scheduled for April 19–23, 2021. On March 26, 2021, the staff attorney appointed by the ITC's Office of Unfair Import Investigations ("OUII")—an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19, 2020, Novartis also filed a patent infringement lawsuit (as amended on August 2, 2021)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July 30, 2020, the court granted the Company's motion to stay these proceedings until a determination in the ITC proceedings discussed above, including any appeals therefrom, becomes final. On June 11, 2021, the court, at the request of Novartis, lifted the stay. On November 5, 2021, the Company filed a motion to stay these proceedings in light of the pending IPR proceeding discussed below. On January 31, 2022, the court denied the Company's motion to stay these proceedings.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 On October 26, 2021, the USPTO issued a decision instituting the IPR proceeding.</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November 5, 2021, the Company filed a motion to stay these proceedings in light of the pending IPR proceeding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2" w:name="page143"/>
    <w:bookmarkEnd w:id="1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discussed above. On January 31, 2022, the court denied the Company's motion to stay these proceedings and granted Novartis and Vetter's motion to dismiss the amended complaint.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Related to "Most Favored Nation" Interim Final Rule</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11, 2020, the Company filed a lawsuit in the United States District Court for the Southern District of New York against the U.S. Department of Health and Human Services, the Secretary of HHS, the Centers for Medicare &amp; Medicaid Services ("CMS"), and the Administrator of CMS seeking declaratory and injunctive relief related to the interim final rule with comment period entitled "Most Favored Nation (MFN) Model" issued on November 20, 2020 by HHS, acting through CMS (the "MFN Rule"). On the same day, the Company filed a motion for a preliminary injunction and temporary restraining order, seeking to prevent implementation of the MFN Rule. On December 22, 2020, the court heard oral argument on the Company's motion for a preliminary injunction and temporary restraining order. On December 31, 2020, the court granted the Company's motion and issued a preliminary injunction. On February 2, 2021, the government stated to the court that the Solicitor General had determined not to appeal the preliminary injunction. On February 10, 2021, the court entered a 90-day stay of the litigation and subsequently extended the stay, with the most recent 60-day extension granted on January 4, 2022. On December 27, 2021, CMS published a final rule that rescinds the MFN Rule effective February 28,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fasinumab</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On May 5, 2021, the court stayed this litigation on terms mutually agreed by the parties.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 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 An oral hearing before the TBA has been scheduled for April 5–6, 2022.</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'711 Patent is also subject to opposition proceedings in the EPO, which were initiated by the Company on May 1, 2018. On January 31, 2019, the Opposition Division of the EPO issued a preliminary, non-binding opinion regarding the validity of the '711 Patent, indicating that it considered the granted patent to be invalid. An oral hearing on the opposition against the '711 Patent was held on December 3, 2019, at which the Opposition Division upheld the validity of the '711 Patent's claims in amended form. The Company filed a notice of appeal to the TBA on December 20, 2019. On January 29, 2021, Teva filed a notice of intervention with the TBA to take part in the appeal proceedings as an intervener. An oral hearing before the TBA was held on July 29, 2021, at which the '711 Patent was revoked in its entirety.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REGEN-COV (casirivimab and imdevimab)</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On October 5, 2020, Allele Biotechnology and Pharmaceuticals, Inc. ("Allele") filed a lawsuit (as amended on April 8, 2021) against the Company in the</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An oral hearing has been scheduled for March 2,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3" w:name="page144"/>
    <w:bookmarkEnd w:id="1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Matters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3"/>
          <w:szCs w:val="23"/>
          <w:color w:val="auto"/>
          <w:vertAlign w:val="superscript"/>
        </w:rPr>
        <w:t>®</w:t>
      </w:r>
      <w:r>
        <w:rPr>
          <w:rFonts w:ascii="Arial" w:cs="Arial" w:eastAsia="Arial" w:hAnsi="Arial"/>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filed against the Company, Regeneron Healthcare Solutions, Inc., and Sanofi-Aventis U.S. LLC by two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plaintiffs (known as relators) purportedly on behalf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plaintiffs filed an amended complaint in this matter. On January 14, 2022, the Company filed a motion to dismiss the amended complaint in its entirety.</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UnitedHealthcare</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17, 2020, UnitedHealthcare Insurance Company and United Healthcare Services, Inc. (collectively, "UHC") filed a lawsuit against the Company in the United States District Court for the Southern District of New York alleging UHC has been damaged by the conduct alleged in the civil complaint filed by the U.S. Attorney's Office for the District of Massachusetts discussed under "Department of Justice Matters" above. UHC alleges causes of action under state law and the federal Racketeer Influenced and Corrupt Organizations Act (the "RICO Act") and seeks monetary damages and equitable relief. On March 1, 2021, the Company filed a motion to dismiss the complaint in its entirety. On March 25, 2021, UHC filed an amended complaint; and, on April 22, 2021, the Company filed a motion to dismiss this amended complaint in its entirety. On December 29, 2021, this lawsuit was stayed pending resolution of the proceedings before the U.S. District Court for the District of Massachusetts discussed under "Department of Justice Matters"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Humana</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July 22, 2021, Humana Inc. ("Humana") filed a lawsuit against the Company in the United States District Court for the Southern District of New York alleging Humana has been damaged by the conduct alleged in the civil complaint filed by the U.S. Attorney's Office for the District of Massachusetts discussed under "Department of Justice Matters" above. Humana alleges causes of action under state law and the RICO Act and seeks monetary damages and equitable relief. On September 27, 2021, the Company filed a motion to dismiss the complaint in its entirety. On December 29, 2021, this lawsuit was stayed pending resolution of the proceedings before the U.S. District Court for the District of Massachusetts discussed under "Department of Justice Matters" above.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Blue Cross and Blue Shield</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December 20, 2021, Blue Cross and Blue Shield of Massachusetts, Inc. and Blue Cross and Blue Shield of Massachusetts HMO Blue, Inc. (collectively, "BCBS") filed a lawsuit against the Company in the U.S. District Court for the District of Massachusetts alleging BCBS has been damaged by the conduct alleged in the civil complaint filed by the U.S. Attorney's Office for the District of Massachusetts discussed under "Department of Justice Matters" above. BCBS alleges causes of action under state law and the RICO Act and seeks monetary damages and equitable relief.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4" w:name="page145"/>
    <w:bookmarkEnd w:id="1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Demand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or about September 30, 2020, the Company's board of directors received a demand letter from a purported shareholder of the Company. The demand alleges that Regeneron and its shareholders have been damaged by the conduct alleged in the civil complaint filed by the U.S. Attorney's Office for the District of Massachusetts discussed under "Department of Justice Matters" above. The demand letter requests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 and has concluded that pursuing the claims alleged in the demand would not be in the Company's best interests at this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Shareholder Derivative Complaint</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24, 2021, the individual defendants moved to dismiss the complaint in its entirety. Also on September 24, 2021, the plaintiff filed a motion to remand the case to the New York Supreme Court.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16. Net Income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6260" w:type="dxa"/>
            <w:vAlign w:val="bottom"/>
            <w:gridSpan w:val="2"/>
          </w:tcPr>
          <w:p>
            <w:pPr>
              <w:spacing w:after="0"/>
              <w:rPr>
                <w:sz w:val="20"/>
                <w:szCs w:val="20"/>
                <w:color w:val="auto"/>
              </w:rPr>
            </w:pPr>
            <w:r>
              <w:rPr>
                <w:rFonts w:ascii="Arial" w:cs="Arial" w:eastAsia="Arial" w:hAnsi="Arial"/>
                <w:sz w:val="18"/>
                <w:szCs w:val="18"/>
                <w:color w:val="auto"/>
              </w:rPr>
              <w:t>The calculations of basic and diluted net income per share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5"/>
        </w:trPr>
        <w:tc>
          <w:tcPr>
            <w:tcW w:w="1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1300" w:type="dxa"/>
            <w:vAlign w:val="bottom"/>
          </w:tcPr>
          <w:p>
            <w:pPr>
              <w:spacing w:after="0"/>
              <w:rPr>
                <w:sz w:val="19"/>
                <w:szCs w:val="19"/>
                <w:color w:val="auto"/>
              </w:rPr>
            </w:pPr>
          </w:p>
        </w:tc>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r>
      <w:tr>
        <w:trPr>
          <w:trHeight w:val="270"/>
        </w:trPr>
        <w:tc>
          <w:tcPr>
            <w:tcW w:w="13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 basic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30"/>
        </w:trPr>
        <w:tc>
          <w:tcPr>
            <w:tcW w:w="13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300" w:type="dxa"/>
            <w:vAlign w:val="bottom"/>
          </w:tcPr>
          <w:p>
            <w:pPr>
              <w:spacing w:after="0"/>
              <w:rPr>
                <w:sz w:val="19"/>
                <w:szCs w:val="19"/>
                <w:color w:val="auto"/>
              </w:rPr>
            </w:pPr>
          </w:p>
        </w:tc>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stock awards and restricted stock units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30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0"/>
        </w:trPr>
        <w:tc>
          <w:tcPr>
            <w:tcW w:w="130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30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30"/>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30"/>
        </w:trPr>
        <w:tc>
          <w:tcPr>
            <w:tcW w:w="130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18.46</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840" w:type="dxa"/>
            <w:vAlign w:val="bottom"/>
            <w:gridSpan w:val="6"/>
          </w:tcPr>
          <w:p>
            <w:pPr>
              <w:jc w:val="center"/>
              <w:ind w:right="172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1740" w:type="dxa"/>
            <w:vAlign w:val="bottom"/>
          </w:tcPr>
          <w:p>
            <w:pPr>
              <w:spacing w:after="0"/>
              <w:rPr>
                <w:sz w:val="19"/>
                <w:szCs w:val="19"/>
                <w:color w:val="auto"/>
              </w:rPr>
            </w:pPr>
          </w:p>
        </w:tc>
        <w:tc>
          <w:tcPr>
            <w:tcW w:w="25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(Shares in millions)</w:t>
            </w:r>
          </w:p>
        </w:tc>
        <w:tc>
          <w:tcPr>
            <w:tcW w:w="2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720" w:type="dxa"/>
            <w:vAlign w:val="bottom"/>
          </w:tcPr>
          <w:p>
            <w:pPr>
              <w:spacing w:after="0"/>
              <w:rPr>
                <w:sz w:val="19"/>
                <w:szCs w:val="19"/>
                <w:color w:val="auto"/>
              </w:rPr>
            </w:pPr>
          </w:p>
        </w:tc>
      </w:tr>
      <w:tr>
        <w:trPr>
          <w:trHeight w:val="223"/>
        </w:trPr>
        <w:tc>
          <w:tcPr>
            <w:tcW w:w="1740" w:type="dxa"/>
            <w:vAlign w:val="bottom"/>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720" w:type="dxa"/>
            <w:vAlign w:val="bottom"/>
          </w:tcPr>
          <w:p>
            <w:pPr>
              <w:spacing w:after="0"/>
              <w:rPr>
                <w:sz w:val="19"/>
                <w:szCs w:val="19"/>
                <w:color w:val="auto"/>
              </w:rPr>
            </w:pPr>
          </w:p>
        </w:tc>
      </w:tr>
      <w:tr>
        <w:trPr>
          <w:trHeight w:val="796"/>
        </w:trPr>
        <w:tc>
          <w:tcPr>
            <w:tcW w:w="1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80" w:type="dxa"/>
            <w:vAlign w:val="bottom"/>
            <w:gridSpan w:val="3"/>
          </w:tcPr>
          <w:p>
            <w:pPr>
              <w:ind w:left="1160"/>
              <w:spacing w:after="0"/>
              <w:rPr>
                <w:sz w:val="20"/>
                <w:szCs w:val="20"/>
                <w:color w:val="auto"/>
              </w:rPr>
            </w:pPr>
            <w:r>
              <w:rPr>
                <w:rFonts w:ascii="Arial" w:cs="Arial" w:eastAsia="Arial" w:hAnsi="Arial"/>
                <w:sz w:val="18"/>
                <w:szCs w:val="18"/>
                <w:color w:val="auto"/>
              </w:rPr>
              <w:t>F-41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8"/>
        </w:trPr>
        <w:tc>
          <w:tcPr>
            <w:tcW w:w="17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5" w:name="page146"/>
    <w:bookmarkEnd w:id="1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Statement of Cash Flows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Consolidated Balance Sheet to the total of the same such amounts shown in the Consolidated Statement of Cash Flows:</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Restricted cash included in Other noncurrent assets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Total cash, cash equivalents, and restricted cash</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shown in the Consolidated Statement of Cash</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2,898.1</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Flows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Included in accounts payable, accrued expenses, and other liabilities as of December 31, 2021, 2020, and 2019 were $74.8 million, $83.6 million, and $133.7 million, respectively, of accrued capital expenditures.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373" w:right="339" w:bottom="1440" w:gutter="0" w:footer="0" w:header="0"/>
        </w:sectPr>
      </w:pPr>
    </w:p>
    <w:bookmarkStart w:id="146" w:name="page147"/>
    <w:bookmarkEnd w:id="146"/>
    <w:p>
      <w:pPr>
        <w:ind w:left="9900"/>
        <w:spacing w:after="0"/>
        <w:rPr>
          <w:sz w:val="20"/>
          <w:szCs w:val="20"/>
          <w:color w:val="auto"/>
        </w:rPr>
      </w:pPr>
      <w:r>
        <w:rPr>
          <w:rFonts w:ascii="Arial" w:cs="Arial" w:eastAsia="Arial" w:hAnsi="Arial"/>
          <w:sz w:val="19"/>
          <w:szCs w:val="19"/>
          <w:color w:val="auto"/>
        </w:rPr>
        <w:t>Exhibit 10.14.4</w:t>
      </w:r>
    </w:p>
    <w:p>
      <w:pPr>
        <w:spacing w:after="0" w:line="240" w:lineRule="exact"/>
        <w:rPr>
          <w:sz w:val="20"/>
          <w:szCs w:val="20"/>
          <w:color w:val="auto"/>
        </w:rPr>
      </w:pPr>
    </w:p>
    <w:p>
      <w:pPr>
        <w:jc w:val="center"/>
        <w:spacing w:after="0" w:line="220"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AMENDED AND RESTATED LICENSE AND COLLABORATION AGREEMENT</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THIS FOURTH AMENDMENT TO AMENDED AND RESTATED LICENSE AND COLLABORATION AGREEMENT (this “</w:t>
      </w:r>
      <w:r>
        <w:rPr>
          <w:rFonts w:ascii="Arial" w:cs="Arial" w:eastAsia="Arial" w:hAnsi="Arial"/>
          <w:sz w:val="19"/>
          <w:szCs w:val="19"/>
          <w:u w:val="single" w:color="auto"/>
          <w:color w:val="auto"/>
        </w:rPr>
        <w:t>Fourth Amendment</w:t>
      </w:r>
      <w:r>
        <w:rPr>
          <w:rFonts w:ascii="Arial" w:cs="Arial" w:eastAsia="Arial" w:hAnsi="Arial"/>
          <w:sz w:val="19"/>
          <w:szCs w:val="19"/>
          <w:color w:val="auto"/>
        </w:rPr>
        <w:t>”), dated as of October 6, 2021 (the “</w:t>
      </w:r>
      <w:r>
        <w:rPr>
          <w:rFonts w:ascii="Arial" w:cs="Arial" w:eastAsia="Arial" w:hAnsi="Arial"/>
          <w:sz w:val="19"/>
          <w:szCs w:val="19"/>
          <w:u w:val="single" w:color="auto"/>
          <w:color w:val="auto"/>
        </w:rPr>
        <w:t>Execution Date</w:t>
      </w:r>
      <w:r>
        <w:rPr>
          <w:rFonts w:ascii="Arial" w:cs="Arial" w:eastAsia="Arial" w:hAnsi="Arial"/>
          <w:sz w:val="19"/>
          <w:szCs w:val="19"/>
          <w:color w:val="auto"/>
        </w:rPr>
        <w:t>”) and effective as of September 30,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by and between Sanofi Biotechnology SAS, a sociéte par actions simplifiée, organized under the laws of France, as successor in interest to Aventis Pharmaceuticals Inc., having a principal place of business at 54, rue La Boétie, 75008 Paris, France (“</w:t>
      </w:r>
      <w:r>
        <w:rPr>
          <w:rFonts w:ascii="Arial" w:cs="Arial" w:eastAsia="Arial" w:hAnsi="Arial"/>
          <w:sz w:val="19"/>
          <w:szCs w:val="19"/>
          <w:u w:val="single" w:color="auto"/>
          <w:color w:val="auto"/>
        </w:rPr>
        <w:t>Sanofi</w:t>
      </w:r>
      <w:r>
        <w:rPr>
          <w:rFonts w:ascii="Arial" w:cs="Arial" w:eastAsia="Arial" w:hAnsi="Arial"/>
          <w:sz w:val="19"/>
          <w:szCs w:val="19"/>
          <w:color w:val="auto"/>
        </w:rPr>
        <w:t>”), Sanofi, a société anonyme organized under the laws of the French Republic with its principal headquarters at 54, rue La Boétie, 75008 Paris, France (“</w:t>
      </w:r>
      <w:r>
        <w:rPr>
          <w:rFonts w:ascii="Arial" w:cs="Arial" w:eastAsia="Arial" w:hAnsi="Arial"/>
          <w:sz w:val="19"/>
          <w:szCs w:val="19"/>
          <w:u w:val="single" w:color="auto"/>
          <w:color w:val="auto"/>
        </w:rPr>
        <w:t>Sanofi Parent</w:t>
      </w:r>
      <w:r>
        <w:rPr>
          <w:rFonts w:ascii="Arial" w:cs="Arial" w:eastAsia="Arial" w:hAnsi="Arial"/>
          <w:sz w:val="19"/>
          <w:szCs w:val="19"/>
          <w:color w:val="auto"/>
        </w:rPr>
        <w:t>”), and Regeneron Pharmaceuticals, Inc., a corporation organized under the laws of the state of New York and having a principal place of business at 777 Old Saw Mill River Road, Tarrytown, New York 10591 (“</w:t>
      </w:r>
      <w:r>
        <w:rPr>
          <w:rFonts w:ascii="Arial" w:cs="Arial" w:eastAsia="Arial" w:hAnsi="Arial"/>
          <w:sz w:val="19"/>
          <w:szCs w:val="19"/>
          <w:u w:val="single" w:color="auto"/>
          <w:color w:val="auto"/>
        </w:rPr>
        <w:t>Regeneron</w:t>
      </w:r>
      <w:r>
        <w:rPr>
          <w:rFonts w:ascii="Arial" w:cs="Arial" w:eastAsia="Arial" w:hAnsi="Arial"/>
          <w:sz w:val="19"/>
          <w:szCs w:val="19"/>
          <w:color w:val="auto"/>
        </w:rPr>
        <w:t>”) (with each of Sanofi and Regeneron being sometimes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WHEREAS, Regeneron, Sanofi and Sanofi Parent are parties to that certain Amended and Restated License and Collaboration Agreement dated as of November 10, 2009, as amended as of May 1, 2013, July 1, 2015, and April 5, 2020 (the “</w:t>
      </w:r>
      <w:r>
        <w:rPr>
          <w:rFonts w:ascii="Arial" w:cs="Arial" w:eastAsia="Arial" w:hAnsi="Arial"/>
          <w:sz w:val="19"/>
          <w:szCs w:val="19"/>
          <w:u w:val="single" w:color="auto"/>
          <w:color w:val="auto"/>
        </w:rPr>
        <w:t>LCA</w:t>
      </w:r>
      <w:r>
        <w:rPr>
          <w:rFonts w:ascii="Arial" w:cs="Arial" w:eastAsia="Arial" w:hAnsi="Arial"/>
          <w:sz w:val="19"/>
          <w:szCs w:val="19"/>
          <w:color w:val="auto"/>
        </w:rPr>
        <w:t>”) for the Development, Manufacture and Commercialization of Licensed Products (as such terms are defined therein); and</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WHEREAS, the Parties desire to amend the LCA to set forth certain terms and conditions regarding the Co-Commercialization by the Parties of the Licensed Product known as dupilumab (“</w:t>
      </w:r>
      <w:r>
        <w:rPr>
          <w:rFonts w:ascii="Arial" w:cs="Arial" w:eastAsia="Arial" w:hAnsi="Arial"/>
          <w:sz w:val="22"/>
          <w:szCs w:val="22"/>
          <w:u w:val="single" w:color="auto"/>
          <w:color w:val="auto"/>
        </w:rPr>
        <w:t>Dupilumab</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7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7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All capitalized terms used in this Fourth Amendment which are not otherwise defined herein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ascribed to them in the LCA.</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The definition of “</w:t>
      </w:r>
      <w:r>
        <w:rPr>
          <w:rFonts w:ascii="Arial" w:cs="Arial" w:eastAsia="Arial" w:hAnsi="Arial"/>
          <w:sz w:val="22"/>
          <w:szCs w:val="22"/>
          <w:u w:val="single" w:color="auto"/>
          <w:color w:val="auto"/>
        </w:rPr>
        <w:t>Commercial Overhead Charge</w:t>
      </w:r>
      <w:r>
        <w:rPr>
          <w:rFonts w:ascii="Arial" w:cs="Arial" w:eastAsia="Arial" w:hAnsi="Arial"/>
          <w:sz w:val="22"/>
          <w:szCs w:val="22"/>
          <w:color w:val="auto"/>
        </w:rPr>
        <w:t>” in Section 1.17 of the LCA is hereby amended by deleting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sentence of such definition and replacing it with the following: “For the avoidance of doubt, ‘Commercial Overhead Charge’ shall not include any amounts otherwise included in Shared Commercial Expenses (unless included solely pursuant to clause (i) thereof) or Other Shared Expenses.”</w:t>
      </w:r>
    </w:p>
    <w:p>
      <w:pPr>
        <w:sectPr>
          <w:pgSz w:w="11900" w:h="16838" w:orient="portrait"/>
          <w:cols w:equalWidth="0" w:num="1">
            <w:col w:w="11240"/>
          </w:cols>
          <w:pgMar w:left="320" w:top="104" w:right="339" w:bottom="1440" w:gutter="0" w:footer="0" w:header="0"/>
        </w:sectPr>
      </w:pPr>
    </w:p>
    <w:bookmarkStart w:id="147" w:name="page148"/>
    <w:bookmarkEnd w:id="147"/>
    <w:p>
      <w:pPr>
        <w:spacing w:after="0" w:line="200" w:lineRule="exact"/>
        <w:rPr>
          <w:sz w:val="20"/>
          <w:szCs w:val="20"/>
          <w:color w:val="auto"/>
        </w:rPr>
      </w:pPr>
    </w:p>
    <w:p>
      <w:pPr>
        <w:spacing w:after="0" w:line="268" w:lineRule="exact"/>
        <w:rPr>
          <w:sz w:val="20"/>
          <w:szCs w:val="20"/>
          <w:color w:val="auto"/>
        </w:rPr>
      </w:pPr>
    </w:p>
    <w:p>
      <w:pPr>
        <w:ind w:left="660" w:hanging="652"/>
        <w:spacing w:after="0" w:line="235" w:lineRule="auto"/>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Acknowledgements and Agreements with respect to Dupilumab. </w:t>
      </w:r>
      <w:r>
        <w:rPr>
          <w:rFonts w:ascii="Arial" w:cs="Arial" w:eastAsia="Arial" w:hAnsi="Arial"/>
          <w:sz w:val="22"/>
          <w:szCs w:val="22"/>
          <w:color w:val="auto"/>
        </w:rPr>
        <w:t>Solely with respect to Dupilumab,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 and agree as follows:</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2.1. Dupilumab Budget</w:t>
      </w:r>
      <w:r>
        <w:rPr>
          <w:rFonts w:ascii="Arial" w:cs="Arial" w:eastAsia="Arial" w:hAnsi="Arial"/>
          <w:sz w:val="19"/>
          <w:szCs w:val="19"/>
          <w:color w:val="auto"/>
        </w:rPr>
        <w:t>. The 2021 Global Commercialization Budget and Country/Region Commercialization Budgets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Dupilumab, which implement the terms of this Fourth Amendment for 2021, are attached as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to the side letter dated as of the date hereof and by and among the same Parties (the “</w:t>
      </w:r>
      <w:r>
        <w:rPr>
          <w:rFonts w:ascii="Arial" w:cs="Arial" w:eastAsia="Arial" w:hAnsi="Arial"/>
          <w:sz w:val="19"/>
          <w:szCs w:val="19"/>
          <w:u w:val="single" w:color="auto"/>
          <w:color w:val="auto"/>
        </w:rPr>
        <w:t>Side Letter</w:t>
      </w:r>
      <w:r>
        <w:rPr>
          <w:rFonts w:ascii="Arial" w:cs="Arial" w:eastAsia="Arial" w:hAnsi="Arial"/>
          <w:sz w:val="19"/>
          <w:szCs w:val="19"/>
          <w:color w:val="auto"/>
        </w:rPr>
        <w:t>”) (collectively, the “</w:t>
      </w:r>
      <w:r>
        <w:rPr>
          <w:rFonts w:ascii="Arial" w:cs="Arial" w:eastAsia="Arial" w:hAnsi="Arial"/>
          <w:sz w:val="19"/>
          <w:szCs w:val="19"/>
          <w:u w:val="single" w:color="auto"/>
          <w:color w:val="auto"/>
        </w:rPr>
        <w:t>2021 Budgets</w:t>
      </w:r>
      <w:r>
        <w:rPr>
          <w:rFonts w:ascii="Arial" w:cs="Arial" w:eastAsia="Arial" w:hAnsi="Arial"/>
          <w:sz w:val="19"/>
          <w:szCs w:val="19"/>
          <w:color w:val="auto"/>
        </w:rPr>
        <w:t>”).</w:t>
      </w:r>
    </w:p>
    <w:p>
      <w:pPr>
        <w:spacing w:after="0" w:line="1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Dupilumab – Rest of World</w:t>
      </w:r>
      <w:r>
        <w:rPr>
          <w:rFonts w:ascii="Arial" w:cs="Arial" w:eastAsia="Arial" w:hAnsi="Arial"/>
          <w:sz w:val="19"/>
          <w:szCs w:val="19"/>
          <w:color w:val="auto"/>
        </w:rPr>
        <w:t>.</w:t>
      </w:r>
    </w:p>
    <w:p>
      <w:pPr>
        <w:spacing w:after="0" w:line="185" w:lineRule="exact"/>
        <w:rPr>
          <w:sz w:val="20"/>
          <w:szCs w:val="20"/>
          <w:color w:val="auto"/>
        </w:rPr>
      </w:pPr>
    </w:p>
    <w:p>
      <w:pPr>
        <w:jc w:val="both"/>
        <w:ind w:right="20" w:firstLine="1304"/>
        <w:spacing w:after="0" w:line="268" w:lineRule="auto"/>
        <w:tabs>
          <w:tab w:leader="none" w:pos="1941"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Dupilumab [* * *]</w:t>
      </w:r>
      <w:r>
        <w:rPr>
          <w:rFonts w:ascii="Arial" w:cs="Arial" w:eastAsia="Arial" w:hAnsi="Arial"/>
          <w:sz w:val="19"/>
          <w:szCs w:val="19"/>
          <w:color w:val="auto"/>
        </w:rPr>
        <w:t xml:space="preserve">. The Parties agree that the [* * *], as presented to the JSC at the [* * *] JSC meeting, are adopted and approved, and included in the 2021 Global Commercialization Plan and the applicable Country/Region Commercialization Plan, each including the corresponding budget, reflected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to the Side Letter.</w:t>
      </w:r>
    </w:p>
    <w:p>
      <w:pPr>
        <w:spacing w:after="0" w:line="132" w:lineRule="exact"/>
        <w:rPr>
          <w:rFonts w:ascii="Arial" w:cs="Arial" w:eastAsia="Arial" w:hAnsi="Arial"/>
          <w:sz w:val="19"/>
          <w:szCs w:val="19"/>
          <w:color w:val="auto"/>
        </w:rPr>
      </w:pPr>
    </w:p>
    <w:p>
      <w:pPr>
        <w:ind w:left="1940" w:hanging="636"/>
        <w:spacing w:after="0"/>
        <w:tabs>
          <w:tab w:leader="none" w:pos="194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Rest of World Commercial Overhead FTEs for Dupilumab</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22" w:lineRule="auto"/>
        <w:tabs>
          <w:tab w:leader="none" w:pos="1941" w:val="left"/>
        </w:tabs>
        <w:numPr>
          <w:ilvl w:val="1"/>
          <w:numId w:val="59"/>
        </w:numPr>
        <w:rPr>
          <w:rFonts w:ascii="Arial" w:cs="Arial" w:eastAsia="Arial" w:hAnsi="Arial"/>
          <w:sz w:val="21"/>
          <w:szCs w:val="21"/>
          <w:color w:val="auto"/>
        </w:rPr>
      </w:pPr>
      <w:r>
        <w:rPr>
          <w:rFonts w:ascii="Arial" w:cs="Arial" w:eastAsia="Arial" w:hAnsi="Arial"/>
          <w:sz w:val="21"/>
          <w:szCs w:val="21"/>
          <w:color w:val="auto"/>
        </w:rPr>
        <w:t>For so long as each of Germany, the United Kingdom, the Netherlands, and Canada (collectively, the “</w:t>
      </w:r>
      <w:r>
        <w:rPr>
          <w:rFonts w:ascii="Arial" w:cs="Arial" w:eastAsia="Arial" w:hAnsi="Arial"/>
          <w:sz w:val="21"/>
          <w:szCs w:val="21"/>
          <w:u w:val="single" w:color="auto"/>
          <w:color w:val="auto"/>
        </w:rPr>
        <w:t>Current Co-Commercialization Countries</w:t>
      </w:r>
      <w:r>
        <w:rPr>
          <w:rFonts w:ascii="Arial" w:cs="Arial" w:eastAsia="Arial" w:hAnsi="Arial"/>
          <w:sz w:val="21"/>
          <w:szCs w:val="21"/>
          <w:color w:val="auto"/>
        </w:rPr>
        <w:t>”) is a Co-Commercialization Country for Dupilumab, Regeneron will be entitled to [* * *] as follows: (i) in Germany, [* * *]; (ii) in the United Kingdom, [* * *]; (iii) in the Netherlands, [* * *]; and (iv) in Canada, [* * *]. In the event that Regeneron exercises its right to cease Co-Commercializing Dupilumab in a Current Co-Commercialization Country pursuant to Section 6.5(c) of the LCA, Regeneron’s Commercial Overhead FTEs for such Current Co-Commercialization Country will be eliminated accordingly. “</w:t>
      </w:r>
      <w:r>
        <w:rPr>
          <w:rFonts w:ascii="Arial" w:cs="Arial" w:eastAsia="Arial" w:hAnsi="Arial"/>
          <w:sz w:val="21"/>
          <w:szCs w:val="21"/>
          <w:u w:val="single" w:color="auto"/>
          <w:color w:val="auto"/>
        </w:rPr>
        <w:t>Commercial Overhead FTEs</w:t>
      </w:r>
      <w:r>
        <w:rPr>
          <w:rFonts w:ascii="Arial" w:cs="Arial" w:eastAsia="Arial" w:hAnsi="Arial"/>
          <w:sz w:val="21"/>
          <w:szCs w:val="21"/>
          <w:color w:val="auto"/>
        </w:rPr>
        <w:t>” means, with respect to Regeneron for Rest of World Co-Commercialization Countries, [* * *].</w:t>
      </w:r>
    </w:p>
    <w:p>
      <w:pPr>
        <w:spacing w:after="0" w:line="164" w:lineRule="exact"/>
        <w:rPr>
          <w:rFonts w:ascii="Arial" w:cs="Arial" w:eastAsia="Arial" w:hAnsi="Arial"/>
          <w:sz w:val="21"/>
          <w:szCs w:val="21"/>
          <w:color w:val="auto"/>
        </w:rPr>
      </w:pPr>
    </w:p>
    <w:p>
      <w:pPr>
        <w:jc w:val="both"/>
        <w:ind w:firstLine="1952"/>
        <w:spacing w:after="0" w:line="268" w:lineRule="auto"/>
        <w:tabs>
          <w:tab w:leader="none" w:pos="2580" w:val="left"/>
        </w:tabs>
        <w:numPr>
          <w:ilvl w:val="2"/>
          <w:numId w:val="59"/>
        </w:numPr>
        <w:rPr>
          <w:rFonts w:ascii="Arial" w:cs="Arial" w:eastAsia="Arial" w:hAnsi="Arial"/>
          <w:sz w:val="19"/>
          <w:szCs w:val="19"/>
          <w:color w:val="auto"/>
        </w:rPr>
      </w:pPr>
      <w:r>
        <w:rPr>
          <w:rFonts w:ascii="Arial" w:cs="Arial" w:eastAsia="Arial" w:hAnsi="Arial"/>
          <w:sz w:val="19"/>
          <w:szCs w:val="19"/>
          <w:color w:val="auto"/>
        </w:rPr>
        <w:t>In addition to the Commercial Overhead FTEs in the Current Co-Commercialization Countries, the Parties acknowledge and agree that [* * *] (“</w:t>
      </w:r>
      <w:r>
        <w:rPr>
          <w:rFonts w:ascii="Arial" w:cs="Arial" w:eastAsia="Arial" w:hAnsi="Arial"/>
          <w:sz w:val="19"/>
          <w:szCs w:val="19"/>
          <w:u w:val="single" w:color="auto"/>
          <w:color w:val="auto"/>
        </w:rPr>
        <w:t>Dupilumab Global HQ FTEs</w:t>
      </w:r>
      <w:r>
        <w:rPr>
          <w:rFonts w:ascii="Arial" w:cs="Arial" w:eastAsia="Arial" w:hAnsi="Arial"/>
          <w:sz w:val="19"/>
          <w:szCs w:val="19"/>
          <w:color w:val="auto"/>
        </w:rPr>
        <w:t>”) [* * *]. For further clarity, Dupilumab Global HQ FTEs and Commercial Overhead FTEs may be located in any country, including any Co-Commercialization Country.</w:t>
      </w:r>
    </w:p>
    <w:p>
      <w:pPr>
        <w:spacing w:after="0" w:line="132" w:lineRule="exact"/>
        <w:rPr>
          <w:rFonts w:ascii="Arial" w:cs="Arial" w:eastAsia="Arial" w:hAnsi="Arial"/>
          <w:sz w:val="19"/>
          <w:szCs w:val="19"/>
          <w:color w:val="auto"/>
        </w:rPr>
      </w:pPr>
    </w:p>
    <w:p>
      <w:pPr>
        <w:jc w:val="both"/>
        <w:ind w:firstLine="1952"/>
        <w:spacing w:after="0" w:line="218" w:lineRule="auto"/>
        <w:tabs>
          <w:tab w:leader="none" w:pos="2586" w:val="left"/>
        </w:tabs>
        <w:numPr>
          <w:ilvl w:val="2"/>
          <w:numId w:val="59"/>
        </w:numPr>
        <w:rPr>
          <w:rFonts w:ascii="Arial" w:cs="Arial" w:eastAsia="Arial" w:hAnsi="Arial"/>
          <w:sz w:val="22"/>
          <w:szCs w:val="22"/>
          <w:color w:val="auto"/>
        </w:rPr>
      </w:pPr>
      <w:r>
        <w:rPr>
          <w:rFonts w:ascii="Arial" w:cs="Arial" w:eastAsia="Arial" w:hAnsi="Arial"/>
          <w:sz w:val="22"/>
          <w:szCs w:val="22"/>
          <w:color w:val="auto"/>
        </w:rPr>
        <w:t>In any Rest of World Co-Commercialization Country for Dupilumab other than (1) the Current Co-Commercialization Countries and (2) any Sales Force Intensive Country (such countries, “</w:t>
      </w:r>
      <w:r>
        <w:rPr>
          <w:rFonts w:ascii="Arial" w:cs="Arial" w:eastAsia="Arial" w:hAnsi="Arial"/>
          <w:sz w:val="22"/>
          <w:szCs w:val="22"/>
          <w:u w:val="single" w:color="auto"/>
          <w:color w:val="auto"/>
        </w:rPr>
        <w:t>Other Co-Commercialization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Countries</w:t>
      </w:r>
      <w:r>
        <w:rPr>
          <w:rFonts w:ascii="Arial" w:cs="Arial" w:eastAsia="Arial" w:hAnsi="Arial"/>
          <w:sz w:val="22"/>
          <w:szCs w:val="22"/>
          <w:color w:val="auto"/>
        </w:rPr>
        <w:t>”), [* * *]. In any Rest of World Co-Commercialization Country for Dupilumab with [* * *] (such countries, “</w:t>
      </w:r>
      <w:r>
        <w:rPr>
          <w:rFonts w:ascii="Arial" w:cs="Arial" w:eastAsia="Arial" w:hAnsi="Arial"/>
          <w:sz w:val="22"/>
          <w:szCs w:val="22"/>
          <w:u w:val="single" w:color="auto"/>
          <w:color w:val="auto"/>
        </w:rPr>
        <w:t>Sales</w:t>
      </w:r>
      <w:r>
        <w:rPr>
          <w:rFonts w:ascii="Arial" w:cs="Arial" w:eastAsia="Arial" w:hAnsi="Arial"/>
          <w:sz w:val="22"/>
          <w:szCs w:val="22"/>
          <w:color w:val="auto"/>
        </w:rPr>
        <w:t xml:space="preserve"> </w:t>
      </w:r>
      <w:r>
        <w:rPr>
          <w:rFonts w:ascii="Arial" w:cs="Arial" w:eastAsia="Arial" w:hAnsi="Arial"/>
          <w:sz w:val="22"/>
          <w:szCs w:val="22"/>
          <w:u w:val="single" w:color="auto"/>
          <w:color w:val="auto"/>
        </w:rPr>
        <w:t>Force Intensive Countries</w:t>
      </w:r>
      <w:r>
        <w:rPr>
          <w:rFonts w:ascii="Arial" w:cs="Arial" w:eastAsia="Arial" w:hAnsi="Arial"/>
          <w:sz w:val="22"/>
          <w:szCs w:val="22"/>
          <w:color w:val="auto"/>
        </w:rPr>
        <w:t>”), [* * *].</w:t>
      </w:r>
    </w:p>
    <w:p>
      <w:pPr>
        <w:spacing w:after="0" w:line="160" w:lineRule="exact"/>
        <w:rPr>
          <w:rFonts w:ascii="Arial" w:cs="Arial" w:eastAsia="Arial" w:hAnsi="Arial"/>
          <w:sz w:val="22"/>
          <w:szCs w:val="22"/>
          <w:color w:val="auto"/>
        </w:rPr>
      </w:pPr>
    </w:p>
    <w:p>
      <w:pPr>
        <w:jc w:val="both"/>
        <w:ind w:firstLine="1952"/>
        <w:spacing w:after="0" w:line="218" w:lineRule="auto"/>
        <w:tabs>
          <w:tab w:leader="none" w:pos="2592" w:val="left"/>
        </w:tabs>
        <w:numPr>
          <w:ilvl w:val="2"/>
          <w:numId w:val="59"/>
        </w:numPr>
        <w:rPr>
          <w:rFonts w:ascii="Arial" w:cs="Arial" w:eastAsia="Arial" w:hAnsi="Arial"/>
          <w:sz w:val="22"/>
          <w:szCs w:val="22"/>
          <w:color w:val="auto"/>
        </w:rPr>
      </w:pPr>
      <w:r>
        <w:rPr>
          <w:rFonts w:ascii="Arial" w:cs="Arial" w:eastAsia="Arial" w:hAnsi="Arial"/>
          <w:sz w:val="22"/>
          <w:szCs w:val="22"/>
          <w:color w:val="auto"/>
        </w:rPr>
        <w:t>With respect to any Rest of World Co-Commercialization Country for Dupilumab, in accordance with an approved Country/Region Commercialization Plan and beginning no earlier than [* * *], Regeneron may start [* * *]. For the avoidance of doubt, each such FTE is to be engaged in preparations for Co-Commercialization at the time Regeneron includes such costs as a Commercial Overhead Charge.</w:t>
      </w:r>
    </w:p>
    <w:p>
      <w:pPr>
        <w:spacing w:after="0" w:line="160" w:lineRule="exact"/>
        <w:rPr>
          <w:rFonts w:ascii="Arial" w:cs="Arial" w:eastAsia="Arial" w:hAnsi="Arial"/>
          <w:sz w:val="22"/>
          <w:szCs w:val="22"/>
          <w:color w:val="auto"/>
        </w:rPr>
      </w:pPr>
    </w:p>
    <w:p>
      <w:pPr>
        <w:jc w:val="both"/>
        <w:ind w:firstLine="1952"/>
        <w:spacing w:after="0" w:line="218" w:lineRule="auto"/>
        <w:tabs>
          <w:tab w:leader="none" w:pos="2580"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number of Commercial Overhead FTEs allocated [* * *] for (x) Current Co-Commercialization Countries pursuant to clause (i) above, (y) Other Co-Commercialization Countries pursuant to clause (iii) above, and (z) Sales Force Intensive Countries pursuant to clause (iii) above, shall be referred to as the “</w:t>
      </w:r>
      <w:r>
        <w:rPr>
          <w:rFonts w:ascii="Arial" w:cs="Arial" w:eastAsia="Arial" w:hAnsi="Arial"/>
          <w:sz w:val="22"/>
          <w:szCs w:val="22"/>
          <w:u w:val="single" w:color="auto"/>
          <w:color w:val="auto"/>
        </w:rPr>
        <w:t>Commercial Overhead</w:t>
      </w:r>
      <w:r>
        <w:rPr>
          <w:rFonts w:ascii="Arial" w:cs="Arial" w:eastAsia="Arial" w:hAnsi="Arial"/>
          <w:sz w:val="22"/>
          <w:szCs w:val="22"/>
          <w:color w:val="auto"/>
        </w:rPr>
        <w:t xml:space="preserve"> </w:t>
      </w:r>
      <w:r>
        <w:rPr>
          <w:rFonts w:ascii="Arial" w:cs="Arial" w:eastAsia="Arial" w:hAnsi="Arial"/>
          <w:sz w:val="22"/>
          <w:szCs w:val="22"/>
          <w:u w:val="single" w:color="auto"/>
          <w:color w:val="auto"/>
        </w:rPr>
        <w:t>Allocation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74" w:lineRule="exact"/>
        <w:rPr>
          <w:sz w:val="20"/>
          <w:szCs w:val="20"/>
          <w:color w:val="auto"/>
        </w:rPr>
      </w:pPr>
    </w:p>
    <w:p>
      <w:pPr>
        <w:ind w:left="1940" w:hanging="636"/>
        <w:spacing w:after="0"/>
        <w:tabs>
          <w:tab w:leader="none" w:pos="19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Rest of World Sales Force FTEs for Dupilumab</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16" w:lineRule="auto"/>
        <w:tabs>
          <w:tab w:leader="none" w:pos="25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For so long as any of Germany, the United Kingdom, the Netherlands, and Canada is a Co-Commercialization Country for Dupilumab, Regeneron’s Sales Force FTEs in such country shall be [* * *], unless the Parties agree otherwise; provided that, for the 2021 Budgets, such Regeneron Sales Force FTEs in each Current Co-Commercialization Country shall be as follows, unless the Parties agree otherwise: (i) in Germany, [* * *]; (ii) in the United Kingdom, [* * *]; (iii) in the Netherlands, [* * *]; and (iv) in Canada, [* * *].</w:t>
      </w:r>
    </w:p>
    <w:p>
      <w:pPr>
        <w:spacing w:after="0" w:line="157" w:lineRule="exact"/>
        <w:rPr>
          <w:rFonts w:ascii="Arial" w:cs="Arial" w:eastAsia="Arial" w:hAnsi="Arial"/>
          <w:sz w:val="22"/>
          <w:szCs w:val="22"/>
          <w:color w:val="auto"/>
        </w:rPr>
      </w:pPr>
    </w:p>
    <w:p>
      <w:pPr>
        <w:ind w:firstLine="1952"/>
        <w:spacing w:after="0" w:line="232" w:lineRule="auto"/>
        <w:tabs>
          <w:tab w:leader="none" w:pos="2586"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 accordance with an approved Country/Region Commercialization Plan, [* * *] shall be allocated [* * *]. Such allocation of Out-of-Pocket Costs shall be referred to as the “</w:t>
      </w:r>
      <w:r>
        <w:rPr>
          <w:rFonts w:ascii="Arial" w:cs="Arial" w:eastAsia="Arial" w:hAnsi="Arial"/>
          <w:sz w:val="22"/>
          <w:szCs w:val="22"/>
          <w:u w:val="single" w:color="auto"/>
          <w:color w:val="auto"/>
        </w:rPr>
        <w:t>ROW OOP Allocation</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592" w:val="left"/>
        </w:tabs>
        <w:numPr>
          <w:ilvl w:val="1"/>
          <w:numId w:val="60"/>
        </w:numPr>
        <w:rPr>
          <w:rFonts w:ascii="Arial" w:cs="Arial" w:eastAsia="Arial" w:hAnsi="Arial"/>
          <w:sz w:val="22"/>
          <w:szCs w:val="22"/>
          <w:color w:val="auto"/>
        </w:rPr>
      </w:pPr>
      <w:r>
        <w:rPr>
          <w:rFonts w:ascii="Arial" w:cs="Arial" w:eastAsia="Arial" w:hAnsi="Arial"/>
          <w:sz w:val="22"/>
          <w:szCs w:val="22"/>
          <w:color w:val="auto"/>
        </w:rPr>
        <w:t>With respect to any Rest of World Co-Commercialization Country for Dupilumab, in accordance with an approved Country/Region Commercialization Plan and beginning no earlier [* * *], Regeneron may start [* * *]. For the avoidance of doubt, each such FTE is to be engaged in preparations for Co-Commercialization at the time Regeneron includes such costs as a Shared Commercial Expense.</w:t>
      </w:r>
    </w:p>
    <w:p>
      <w:pPr>
        <w:spacing w:after="0" w:line="160" w:lineRule="exact"/>
        <w:rPr>
          <w:rFonts w:ascii="Arial" w:cs="Arial" w:eastAsia="Arial" w:hAnsi="Arial"/>
          <w:sz w:val="22"/>
          <w:szCs w:val="22"/>
          <w:color w:val="auto"/>
        </w:rPr>
      </w:pPr>
    </w:p>
    <w:p>
      <w:pPr>
        <w:jc w:val="both"/>
        <w:ind w:firstLine="1952"/>
        <w:spacing w:after="0" w:line="212" w:lineRule="auto"/>
        <w:tabs>
          <w:tab w:leader="none" w:pos="25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definition of “Sale Force Cost” in Section 1.108 of the LCA is hereby amended such that, effective as of the Co-Commercialization Effective Date, [* * *]. Such method of calculating the Sales Force Cost shall be referred to as the “</w:t>
      </w:r>
      <w:r>
        <w:rPr>
          <w:rFonts w:ascii="Arial" w:cs="Arial" w:eastAsia="Arial" w:hAnsi="Arial"/>
          <w:sz w:val="22"/>
          <w:szCs w:val="22"/>
          <w:u w:val="single" w:color="auto"/>
          <w:color w:val="auto"/>
        </w:rPr>
        <w:t>Co-Co Sales Force Cost</w:t>
      </w:r>
      <w:r>
        <w:rPr>
          <w:rFonts w:ascii="Arial" w:cs="Arial" w:eastAsia="Arial" w:hAnsi="Arial"/>
          <w:sz w:val="22"/>
          <w:szCs w:val="22"/>
          <w:color w:val="auto"/>
        </w:rPr>
        <w:t>”. The “</w:t>
      </w:r>
      <w:r>
        <w:rPr>
          <w:rFonts w:ascii="Arial" w:cs="Arial" w:eastAsia="Arial" w:hAnsi="Arial"/>
          <w:sz w:val="22"/>
          <w:szCs w:val="22"/>
          <w:u w:val="single" w:color="auto"/>
          <w:color w:val="auto"/>
        </w:rPr>
        <w:t>Co-Commercialization Effective Date</w:t>
      </w:r>
      <w:r>
        <w:rPr>
          <w:rFonts w:ascii="Arial" w:cs="Arial" w:eastAsia="Arial" w:hAnsi="Arial"/>
          <w:sz w:val="22"/>
          <w:szCs w:val="22"/>
          <w:color w:val="auto"/>
        </w:rPr>
        <w:t>” means the date of commencement of Co-Commercialization of Dupilumab in such Co-Commercialization Country as indicated in the Co-Commercialization notice provided to Sanofi from Regeneron pursuant to Section 6.5(a) of the LCA, unless otherwise agreed by the Parties; provided that, for clarity, such date shall be [* * *] in the case of any Current Co-Commercialization Country, unless otherwise agreed by the Parties.</w:t>
      </w:r>
    </w:p>
    <w:p>
      <w:pPr>
        <w:spacing w:after="0" w:line="163" w:lineRule="exact"/>
        <w:rPr>
          <w:rFonts w:ascii="Arial" w:cs="Arial" w:eastAsia="Arial" w:hAnsi="Arial"/>
          <w:sz w:val="22"/>
          <w:szCs w:val="22"/>
          <w:color w:val="auto"/>
        </w:rPr>
      </w:pPr>
    </w:p>
    <w:p>
      <w:pPr>
        <w:ind w:firstLine="1952"/>
        <w:spacing w:after="0" w:line="232" w:lineRule="auto"/>
        <w:tabs>
          <w:tab w:leader="none" w:pos="2587"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number of Sales Force FTEs allocated [* * *] for Current Co-Commercialization Countries in clause (i) above shall be referred to as the “</w:t>
      </w:r>
      <w:r>
        <w:rPr>
          <w:rFonts w:ascii="Arial" w:cs="Arial" w:eastAsia="Arial" w:hAnsi="Arial"/>
          <w:sz w:val="22"/>
          <w:szCs w:val="22"/>
          <w:u w:val="single" w:color="auto"/>
          <w:color w:val="auto"/>
        </w:rPr>
        <w:t>REGN Sales Force Allocation</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941"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Commercial Overhead Allocation, REGN Sales Force Allocation, ROW OOP Allocation, and Co-Co Sales Force Cost are reflected in the 2021 Budgets and [* * *].</w:t>
      </w:r>
    </w:p>
    <w:p>
      <w:pPr>
        <w:spacing w:after="0" w:line="158" w:lineRule="exact"/>
        <w:rPr>
          <w:rFonts w:ascii="Arial" w:cs="Arial" w:eastAsia="Arial" w:hAnsi="Arial"/>
          <w:sz w:val="22"/>
          <w:szCs w:val="22"/>
          <w:color w:val="auto"/>
        </w:rPr>
      </w:pPr>
    </w:p>
    <w:p>
      <w:pPr>
        <w:jc w:val="both"/>
        <w:ind w:firstLine="1304"/>
        <w:spacing w:after="0" w:line="222" w:lineRule="auto"/>
        <w:tabs>
          <w:tab w:leader="none" w:pos="1944"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Commercial Plans and Budgets</w:t>
      </w:r>
      <w:r>
        <w:rPr>
          <w:rFonts w:ascii="Arial" w:cs="Arial" w:eastAsia="Arial" w:hAnsi="Arial"/>
          <w:sz w:val="21"/>
          <w:szCs w:val="21"/>
          <w:color w:val="auto"/>
        </w:rPr>
        <w:t>. In accordance with the terms of the LCA, on an annual basis, (a) the Global Commercialization Plan (including the corresponding Global Commercialization Budget) for Dupilumab may be updated jointly by the Parties via the JCC and approved by the JSC, and (b) each Country/Region Commercialization Plan (including the corresponding Country/Region Commercialization Budget) for Dupilumab may be updated jointly by the Parties via the applicable Country/Region Commercialization Committee and approved by the JCC; provided that such Plans and budgets shall be consistent with the Commercial Overhead Allocation, REGN Sales Force Allocation, ROW OOP Allocation, Co-Co Sales Force Cost, and Global HQ FTE Allocation.</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Dupilumab – United States</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32" w:lineRule="auto"/>
        <w:tabs>
          <w:tab w:leader="none" w:pos="1941"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United States Country/Region Commercialization Budget for Dupilumab (the “</w:t>
      </w:r>
      <w:r>
        <w:rPr>
          <w:rFonts w:ascii="Arial" w:cs="Arial" w:eastAsia="Arial" w:hAnsi="Arial"/>
          <w:sz w:val="22"/>
          <w:szCs w:val="22"/>
          <w:u w:val="single" w:color="auto"/>
          <w:color w:val="auto"/>
        </w:rPr>
        <w:t>US Budget</w:t>
      </w:r>
      <w:r>
        <w:rPr>
          <w:rFonts w:ascii="Arial" w:cs="Arial" w:eastAsia="Arial" w:hAnsi="Arial"/>
          <w:sz w:val="22"/>
          <w:szCs w:val="22"/>
          <w:color w:val="auto"/>
        </w:rPr>
        <w:t>”) and the portions of the Global Commercialization Budget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7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Dupilumab covering the United States are reflected in the 2021 Budgets attached as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to the Side Letter, and detailed in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attached to the Side Letter. FTEs for Commercialization of Dupilumab in the United States [* * *] shall be allocated as follows: (A) the aggregate number of FTEs supporting Dupilumab in the United States consisting [* * *] shall be allocated [*</w:t>
      </w:r>
    </w:p>
    <w:p>
      <w:pPr>
        <w:spacing w:after="0" w:line="2" w:lineRule="exact"/>
        <w:rPr>
          <w:sz w:val="20"/>
          <w:szCs w:val="20"/>
          <w:color w:val="auto"/>
        </w:rPr>
      </w:pPr>
    </w:p>
    <w:p>
      <w:pPr>
        <w:ind w:firstLine="8"/>
        <w:spacing w:after="0" w:line="224" w:lineRule="auto"/>
        <w:tabs>
          <w:tab w:leader="none" w:pos="164" w:val="left"/>
        </w:tabs>
        <w:numPr>
          <w:ilvl w:val="0"/>
          <w:numId w:val="62"/>
        </w:numPr>
        <w:rPr>
          <w:rFonts w:ascii="Arial" w:cs="Arial" w:eastAsia="Arial" w:hAnsi="Arial"/>
          <w:sz w:val="22"/>
          <w:szCs w:val="22"/>
          <w:color w:val="auto"/>
        </w:rPr>
      </w:pPr>
      <w:r>
        <w:rPr>
          <w:rFonts w:ascii="Arial" w:cs="Arial" w:eastAsia="Arial" w:hAnsi="Arial"/>
          <w:sz w:val="22"/>
          <w:szCs w:val="22"/>
          <w:color w:val="auto"/>
        </w:rPr>
        <w:t>*], and (B) US Commercial Overhead FTEs shall be allocated [* * *] (such ratios, collectively, as reflected in the updated 2021 US Budget, the “</w:t>
      </w:r>
      <w:r>
        <w:rPr>
          <w:rFonts w:ascii="Arial" w:cs="Arial" w:eastAsia="Arial" w:hAnsi="Arial"/>
          <w:sz w:val="22"/>
          <w:szCs w:val="22"/>
          <w:u w:val="single" w:color="auto"/>
          <w:color w:val="auto"/>
        </w:rPr>
        <w:t>US FTE Allocation</w:t>
      </w:r>
      <w:r>
        <w:rPr>
          <w:rFonts w:ascii="Arial" w:cs="Arial" w:eastAsia="Arial" w:hAnsi="Arial"/>
          <w:sz w:val="22"/>
          <w:szCs w:val="22"/>
          <w:color w:val="auto"/>
        </w:rPr>
        <w:t>”). “</w:t>
      </w:r>
      <w:r>
        <w:rPr>
          <w:rFonts w:ascii="Arial" w:cs="Arial" w:eastAsia="Arial" w:hAnsi="Arial"/>
          <w:sz w:val="22"/>
          <w:szCs w:val="22"/>
          <w:u w:val="single" w:color="auto"/>
          <w:color w:val="auto"/>
        </w:rPr>
        <w:t>US Commercial Overhead FTEs</w:t>
      </w:r>
      <w:r>
        <w:rPr>
          <w:rFonts w:ascii="Arial" w:cs="Arial" w:eastAsia="Arial" w:hAnsi="Arial"/>
          <w:sz w:val="22"/>
          <w:szCs w:val="22"/>
          <w:color w:val="auto"/>
        </w:rPr>
        <w:t>” means those [* * *].</w:t>
      </w:r>
    </w:p>
    <w:p>
      <w:pPr>
        <w:spacing w:after="0" w:line="157" w:lineRule="exact"/>
        <w:rPr>
          <w:rFonts w:ascii="Arial" w:cs="Arial" w:eastAsia="Arial" w:hAnsi="Arial"/>
          <w:sz w:val="22"/>
          <w:szCs w:val="22"/>
          <w:color w:val="auto"/>
        </w:rPr>
      </w:pPr>
    </w:p>
    <w:p>
      <w:pPr>
        <w:ind w:left="1940" w:hanging="636"/>
        <w:spacing w:after="0"/>
        <w:tabs>
          <w:tab w:leader="none" w:pos="1940" w:val="left"/>
        </w:tabs>
        <w:numPr>
          <w:ilvl w:val="1"/>
          <w:numId w:val="62"/>
        </w:numPr>
        <w:rPr>
          <w:rFonts w:ascii="Arial" w:cs="Arial" w:eastAsia="Arial" w:hAnsi="Arial"/>
          <w:sz w:val="19"/>
          <w:szCs w:val="19"/>
          <w:color w:val="auto"/>
        </w:rPr>
      </w:pPr>
      <w:r>
        <w:rPr>
          <w:rFonts w:ascii="Arial" w:cs="Arial" w:eastAsia="Arial" w:hAnsi="Arial"/>
          <w:sz w:val="19"/>
          <w:szCs w:val="19"/>
          <w:color w:val="auto"/>
        </w:rPr>
        <w:t>In addition to the US Commercial Overhead FTEs in the United States, the Parties acknowledge and agree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 [* * *].</w:t>
      </w:r>
    </w:p>
    <w:p>
      <w:pPr>
        <w:spacing w:after="0" w:line="161" w:lineRule="exact"/>
        <w:rPr>
          <w:rFonts w:ascii="Arial" w:cs="Arial" w:eastAsia="Arial" w:hAnsi="Arial"/>
          <w:sz w:val="19"/>
          <w:szCs w:val="19"/>
          <w:color w:val="auto"/>
        </w:rPr>
      </w:pPr>
    </w:p>
    <w:p>
      <w:pPr>
        <w:ind w:left="1940" w:hanging="636"/>
        <w:spacing w:after="0"/>
        <w:tabs>
          <w:tab w:leader="none" w:pos="1940" w:val="left"/>
        </w:tabs>
        <w:numPr>
          <w:ilvl w:val="1"/>
          <w:numId w:val="62"/>
        </w:numPr>
        <w:rPr>
          <w:rFonts w:ascii="Arial" w:cs="Arial" w:eastAsia="Arial" w:hAnsi="Arial"/>
          <w:sz w:val="19"/>
          <w:szCs w:val="19"/>
          <w:color w:val="auto"/>
        </w:rPr>
      </w:pPr>
      <w:r>
        <w:rPr>
          <w:rFonts w:ascii="Arial" w:cs="Arial" w:eastAsia="Arial" w:hAnsi="Arial"/>
          <w:sz w:val="19"/>
          <w:szCs w:val="19"/>
          <w:color w:val="auto"/>
        </w:rPr>
        <w:t>Out-of-Pocket Costs for Commercialization of Dupilumab in the United States [* * *] shall be allocated [*</w:t>
      </w:r>
    </w:p>
    <w:p>
      <w:pPr>
        <w:spacing w:after="0" w:line="15" w:lineRule="exact"/>
        <w:rPr>
          <w:rFonts w:ascii="Arial" w:cs="Arial" w:eastAsia="Arial" w:hAnsi="Arial"/>
          <w:sz w:val="19"/>
          <w:szCs w:val="19"/>
          <w:color w:val="auto"/>
        </w:rPr>
      </w:pPr>
    </w:p>
    <w:p>
      <w:pPr>
        <w:ind w:firstLine="8"/>
        <w:spacing w:after="0" w:line="224" w:lineRule="auto"/>
        <w:tabs>
          <w:tab w:leader="none" w:pos="162" w:val="left"/>
        </w:tabs>
        <w:numPr>
          <w:ilvl w:val="0"/>
          <w:numId w:val="62"/>
        </w:numPr>
        <w:rPr>
          <w:rFonts w:ascii="Arial" w:cs="Arial" w:eastAsia="Arial" w:hAnsi="Arial"/>
          <w:sz w:val="22"/>
          <w:szCs w:val="22"/>
          <w:color w:val="auto"/>
        </w:rPr>
      </w:pPr>
      <w:r>
        <w:rPr>
          <w:rFonts w:ascii="Arial" w:cs="Arial" w:eastAsia="Arial" w:hAnsi="Arial"/>
          <w:sz w:val="22"/>
          <w:szCs w:val="22"/>
          <w:color w:val="auto"/>
        </w:rPr>
        <w:t>*]. Such ratio shall be referred to as the “</w:t>
      </w:r>
      <w:r>
        <w:rPr>
          <w:rFonts w:ascii="Arial" w:cs="Arial" w:eastAsia="Arial" w:hAnsi="Arial"/>
          <w:sz w:val="22"/>
          <w:szCs w:val="22"/>
          <w:u w:val="single" w:color="auto"/>
          <w:color w:val="auto"/>
        </w:rPr>
        <w:t>US OOP Allocation</w:t>
      </w:r>
      <w:r>
        <w:rPr>
          <w:rFonts w:ascii="Arial" w:cs="Arial" w:eastAsia="Arial" w:hAnsi="Arial"/>
          <w:sz w:val="22"/>
          <w:szCs w:val="22"/>
          <w:color w:val="auto"/>
        </w:rPr>
        <w:t xml:space="preserve">”. The Parties hereby adopt and approve the documents attached to the Side Letter as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D</w:t>
      </w:r>
      <w:r>
        <w:rPr>
          <w:rFonts w:ascii="Arial" w:cs="Arial" w:eastAsia="Arial" w:hAnsi="Arial"/>
          <w:sz w:val="22"/>
          <w:szCs w:val="22"/>
          <w:color w:val="auto"/>
        </w:rPr>
        <w:t>. [* * *].</w:t>
      </w:r>
    </w:p>
    <w:p>
      <w:pPr>
        <w:spacing w:after="0" w:line="157"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 * *].</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 * *].</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1"/>
          <w:numId w:val="63"/>
        </w:numPr>
        <w:rPr>
          <w:rFonts w:ascii="Arial" w:cs="Arial" w:eastAsia="Arial" w:hAnsi="Arial"/>
          <w:sz w:val="19"/>
          <w:szCs w:val="19"/>
          <w:color w:val="auto"/>
        </w:rPr>
      </w:pPr>
      <w:r>
        <w:rPr>
          <w:rFonts w:ascii="Arial" w:cs="Arial" w:eastAsia="Arial" w:hAnsi="Arial"/>
          <w:sz w:val="19"/>
          <w:szCs w:val="19"/>
          <w:color w:val="auto"/>
        </w:rPr>
        <w:t>Expenses incurred [* * *] shall be considered Shared Commercial Expenses, as reflected in 2021 US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Budget.</w:t>
      </w:r>
    </w:p>
    <w:p>
      <w:pPr>
        <w:spacing w:after="0" w:line="161" w:lineRule="exact"/>
        <w:rPr>
          <w:rFonts w:ascii="Arial" w:cs="Arial" w:eastAsia="Arial" w:hAnsi="Arial"/>
          <w:sz w:val="19"/>
          <w:szCs w:val="19"/>
          <w:color w:val="auto"/>
        </w:rPr>
      </w:pPr>
    </w:p>
    <w:p>
      <w:pPr>
        <w:jc w:val="both"/>
        <w:ind w:firstLine="1304"/>
        <w:spacing w:after="0" w:line="211" w:lineRule="auto"/>
        <w:tabs>
          <w:tab w:leader="none" w:pos="1939" w:val="left"/>
        </w:tabs>
        <w:numPr>
          <w:ilvl w:val="1"/>
          <w:numId w:val="63"/>
        </w:numPr>
        <w:rPr>
          <w:rFonts w:ascii="Arial" w:cs="Arial" w:eastAsia="Arial" w:hAnsi="Arial"/>
          <w:sz w:val="22"/>
          <w:szCs w:val="22"/>
          <w:color w:val="auto"/>
        </w:rPr>
      </w:pPr>
      <w:r>
        <w:rPr>
          <w:rFonts w:ascii="Arial" w:cs="Arial" w:eastAsia="Arial" w:hAnsi="Arial"/>
          <w:sz w:val="22"/>
          <w:szCs w:val="22"/>
          <w:color w:val="auto"/>
        </w:rPr>
        <w:t>In accordance with the terms of the LCA, on an annual basis, (a) the Global Commercialization Plan (including the corresponding Global Commercialization Budget) for Dupilumab may be updated jointly by the Parties via the JCC and approved by the JSC, and (b) each Country/Region Commercialization Plan (including the corresponding Country/Region Commercialization Budget) for Dupilumab may be updated jointly by the Parties via the applicable Country/Region Commercialization Committee and approved by the JCC. Performance of marketing tactics in the United States shall be shared by the Parties, in accordance with the relevant Plans; provided that, the Party performing any such marketing tactic must comply with Law, the terms of the LCA, and the applicable Plan (including the corresponding budget) as approved in accordance with the terms of the LCA.</w:t>
      </w:r>
    </w:p>
    <w:p>
      <w:pPr>
        <w:spacing w:after="0" w:line="15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2.4. Dupilumab Global HQ FTEs</w:t>
      </w:r>
      <w:r>
        <w:rPr>
          <w:rFonts w:ascii="Arial" w:cs="Arial" w:eastAsia="Arial" w:hAnsi="Arial"/>
          <w:sz w:val="22"/>
          <w:szCs w:val="22"/>
          <w:color w:val="auto"/>
        </w:rPr>
        <w:t>. [* * *]. Such allocation of Dupilumab Global HQ FTEs shall be referred to as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Global HQ FTE Allocation</w:t>
      </w:r>
      <w:r>
        <w:rPr>
          <w:rFonts w:ascii="Arial" w:cs="Arial" w:eastAsia="Arial" w:hAnsi="Arial"/>
          <w:sz w:val="22"/>
          <w:szCs w:val="22"/>
          <w:color w:val="auto"/>
        </w:rPr>
        <w:t>”.</w:t>
      </w:r>
    </w:p>
    <w:p>
      <w:pPr>
        <w:spacing w:after="0" w:line="153" w:lineRule="exact"/>
        <w:rPr>
          <w:sz w:val="20"/>
          <w:szCs w:val="20"/>
          <w:color w:val="auto"/>
        </w:rPr>
      </w:pPr>
    </w:p>
    <w:p>
      <w:pPr>
        <w:ind w:left="660" w:hanging="652"/>
        <w:spacing w:after="0" w:line="235" w:lineRule="auto"/>
        <w:tabs>
          <w:tab w:leader="none" w:pos="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Acknowledgements and Agreements with respect to 2020 Manufacturing Costs</w:t>
      </w:r>
      <w:r>
        <w:rPr>
          <w:rFonts w:ascii="Arial" w:cs="Arial" w:eastAsia="Arial" w:hAnsi="Arial"/>
          <w:sz w:val="22"/>
          <w:szCs w:val="22"/>
          <w:color w:val="auto"/>
        </w:rPr>
        <w:t>. The Parties acknowledge and agree</w:t>
      </w:r>
      <w:r>
        <w:rPr>
          <w:rFonts w:ascii="Arial" w:cs="Arial" w:eastAsia="Arial" w:hAnsi="Arial"/>
          <w:sz w:val="22"/>
          <w:szCs w:val="22"/>
          <w:b w:val="1"/>
          <w:bCs w:val="1"/>
          <w:color w:val="auto"/>
        </w:rPr>
        <w:t xml:space="preserve"> </w:t>
      </w:r>
      <w:r>
        <w:rPr>
          <w:rFonts w:ascii="Arial" w:cs="Arial" w:eastAsia="Arial" w:hAnsi="Arial"/>
          <w:sz w:val="22"/>
          <w:szCs w:val="22"/>
          <w:color w:val="auto"/>
        </w:rPr>
        <w:t>that [* * *].</w:t>
      </w:r>
    </w:p>
    <w:p>
      <w:pPr>
        <w:spacing w:after="0" w:line="152" w:lineRule="exact"/>
        <w:rPr>
          <w:rFonts w:ascii="Arial" w:cs="Arial" w:eastAsia="Arial" w:hAnsi="Arial"/>
          <w:sz w:val="22"/>
          <w:szCs w:val="22"/>
          <w:b w:val="1"/>
          <w:bCs w:val="1"/>
          <w:color w:val="auto"/>
        </w:rPr>
      </w:pPr>
    </w:p>
    <w:p>
      <w:pPr>
        <w:ind w:left="660" w:hanging="652"/>
        <w:spacing w:after="0" w:line="235" w:lineRule="auto"/>
        <w:tabs>
          <w:tab w:leader="none" w:pos="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Acknowledgements and Agreements with respect to Timing of Approval of Global Commercialization Plans and Country/Region Commercialization Plans.</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Section 6.2 of the LCA is hereby amended by deleting the fourth sentence of such section and replacing it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“Such Global Commercialization Plan for each subsequent Contract Year shall be updated by the JCC and approved by the JSC prior to [* * *].”</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Section 6.3 of the LCA is hereby amended by deleting the third sentence of such section and replacing it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“Such Country/Region Commercialization Plan for each subsequent Contract Year shall be updated by the applicable Country/Region Commercialization Committee, and approved by the JCC, prior to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b w:val="1"/>
          <w:bCs w:val="1"/>
          <w:color w:val="auto"/>
        </w:rPr>
        <w:t>5.1. Due Organization, Valid Existence and Due Authorization</w:t>
      </w:r>
      <w:r>
        <w:rPr>
          <w:rFonts w:ascii="Arial" w:cs="Arial" w:eastAsia="Arial" w:hAnsi="Arial"/>
          <w:sz w:val="21"/>
          <w:szCs w:val="21"/>
          <w:color w:val="auto"/>
        </w:rPr>
        <w:t>. Each Party represents and warrants to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as of the Effective Date, as follows: (a) it is duly organized and validly existing under the Laws of its jurisdiction of incorporation; (b) it has full corporate power and authority and has taken all corporate action necessary to enter into this Fourth Amendment; (c) the execution of this Fourth Amendment will not constitute a breach of, or conflict with, its organizational documents or any other agreement by which it is bound or requirement of applicable Laws or regulations; and (d) this Fourth Amendment is its legal, valid and binding obligation, enforceable in accordance with the terms and conditions hereof (subject to applicable Laws of bankruptcy and moratorium).</w:t>
      </w:r>
    </w:p>
    <w:p>
      <w:pPr>
        <w:spacing w:after="0" w:line="1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5.2. Miscellaneous</w:t>
      </w:r>
      <w:r>
        <w:rPr>
          <w:rFonts w:ascii="Arial" w:cs="Arial" w:eastAsia="Arial" w:hAnsi="Arial"/>
          <w:sz w:val="22"/>
          <w:szCs w:val="22"/>
          <w:color w:val="auto"/>
        </w:rPr>
        <w:t>. The provisions of Sections 20.1, 20.3, 20.5, 20.6, 20.7, 20.8, 20.11, 20.12 and 20.17 of the LCA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this Fourth Amendment as though set out in full in this Fourth Amendment.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5.3. No Other Amendments</w:t>
      </w:r>
      <w:r>
        <w:rPr>
          <w:rFonts w:ascii="Arial" w:cs="Arial" w:eastAsia="Arial" w:hAnsi="Arial"/>
          <w:sz w:val="22"/>
          <w:szCs w:val="22"/>
          <w:color w:val="auto"/>
        </w:rPr>
        <w:t>. Except as expressly amended hereby, all of the terms and conditions of the LCA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in full force and effect.</w:t>
      </w:r>
    </w:p>
    <w:p>
      <w:pPr>
        <w:spacing w:after="0" w:line="159" w:lineRule="exact"/>
        <w:rPr>
          <w:sz w:val="20"/>
          <w:szCs w:val="20"/>
          <w:color w:val="auto"/>
        </w:rPr>
      </w:pPr>
    </w:p>
    <w:p>
      <w:pPr>
        <w:ind w:left="418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1" w:name="page152"/>
    <w:bookmarkEnd w:id="151"/>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Sanofi and Regeneron have caused this Fourth Amendment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as of the Execution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SANOFI BIOTECHNOLOGY SAS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Alban de La Sablière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5995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ind w:left="4380"/>
        <w:spacing w:after="0" w:line="204" w:lineRule="auto"/>
        <w:rPr>
          <w:sz w:val="20"/>
          <w:szCs w:val="20"/>
          <w:color w:val="auto"/>
        </w:rPr>
      </w:pPr>
      <w:r>
        <w:rPr>
          <w:rFonts w:ascii="Arial" w:cs="Arial" w:eastAsia="Arial" w:hAnsi="Arial"/>
          <w:sz w:val="22"/>
          <w:szCs w:val="22"/>
          <w:color w:val="auto"/>
        </w:rPr>
        <w:t>Name: Alban de La Sablière</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SANOFI</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Alban de La Sablière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5995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4">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ind w:left="4360"/>
        <w:spacing w:after="0" w:line="204" w:lineRule="auto"/>
        <w:rPr>
          <w:sz w:val="20"/>
          <w:szCs w:val="20"/>
          <w:color w:val="auto"/>
        </w:rPr>
      </w:pPr>
      <w:r>
        <w:rPr>
          <w:rFonts w:ascii="Arial" w:cs="Arial" w:eastAsia="Arial" w:hAnsi="Arial"/>
          <w:sz w:val="22"/>
          <w:szCs w:val="22"/>
          <w:color w:val="auto"/>
        </w:rPr>
        <w:t>Name: Alban de La Sablière</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Head of Sanofi Partnering,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Kerry Reinertsen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5157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5">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ind w:left="4360"/>
        <w:spacing w:after="0" w:line="204" w:lineRule="auto"/>
        <w:rPr>
          <w:sz w:val="20"/>
          <w:szCs w:val="20"/>
          <w:color w:val="auto"/>
        </w:rPr>
      </w:pPr>
      <w:r>
        <w:rPr>
          <w:rFonts w:ascii="Arial" w:cs="Arial" w:eastAsia="Arial" w:hAnsi="Arial"/>
          <w:sz w:val="22"/>
          <w:szCs w:val="22"/>
          <w:color w:val="auto"/>
        </w:rPr>
        <w:t>Name: Kerry K. Reinertsen, Ph.D.</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Title: Senior Vice President, Strategic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spacing w:after="0"/>
        <w:rPr>
          <w:sz w:val="20"/>
          <w:szCs w:val="20"/>
          <w:color w:val="auto"/>
        </w:rPr>
      </w:pPr>
      <w:r>
        <w:rPr>
          <w:rFonts w:ascii="Arial" w:cs="Arial" w:eastAsia="Arial" w:hAnsi="Arial"/>
          <w:sz w:val="20"/>
          <w:szCs w:val="20"/>
          <w:i w:val="1"/>
          <w:iCs w:val="1"/>
          <w:color w:val="auto"/>
        </w:rPr>
        <w:t>[Signature Page to Fourth Amendment to Amended and Restated License and Collaboration Agreement]</w:t>
      </w:r>
    </w:p>
    <w:p>
      <w:pPr>
        <w:sectPr>
          <w:pgSz w:w="11900" w:h="16838" w:orient="portrait"/>
          <w:cols w:equalWidth="0" w:num="1">
            <w:col w:w="10820"/>
          </w:cols>
          <w:pgMar w:left="320" w:top="1394" w:right="7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10.18.1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November 11,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December 14, 2018</w:t>
      </w:r>
    </w:p>
    <w:p>
      <w:pPr>
        <w:spacing w:after="0" w:line="175" w:lineRule="exact"/>
        <w:rPr>
          <w:sz w:val="20"/>
          <w:szCs w:val="20"/>
          <w:color w:val="auto"/>
        </w:rPr>
      </w:pPr>
    </w:p>
    <w:p>
      <w:pPr>
        <w:jc w:val="both"/>
        <w:ind w:firstLine="1296"/>
        <w:spacing w:after="0" w:line="205" w:lineRule="auto"/>
        <w:rPr>
          <w:sz w:val="20"/>
          <w:szCs w:val="20"/>
          <w:color w:val="auto"/>
        </w:rPr>
      </w:pPr>
      <w:r>
        <w:rPr>
          <w:rFonts w:ascii="Arial" w:cs="Arial" w:eastAsia="Arial" w:hAnsi="Arial"/>
          <w:sz w:val="20"/>
          <w:szCs w:val="20"/>
          <w:color w:val="auto"/>
        </w:rPr>
        <w:t>THIS AMENDMENT NO. 1 (this “</w:t>
      </w:r>
      <w:r>
        <w:rPr>
          <w:rFonts w:ascii="Arial" w:cs="Arial" w:eastAsia="Arial" w:hAnsi="Arial"/>
          <w:sz w:val="20"/>
          <w:szCs w:val="20"/>
          <w:u w:val="single" w:color="auto"/>
          <w:color w:val="auto"/>
        </w:rPr>
        <w:t>Amendment</w:t>
      </w:r>
      <w:r>
        <w:rPr>
          <w:rFonts w:ascii="Arial" w:cs="Arial" w:eastAsia="Arial" w:hAnsi="Arial"/>
          <w:sz w:val="20"/>
          <w:szCs w:val="20"/>
          <w:color w:val="auto"/>
        </w:rPr>
        <w:t>”) is made as of November 11, 2021 by and among Regeneron Pharmaceuticals, Inc., a New York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Regeneron Healthcare Solutions, Inc., a New York corporation (“</w:t>
      </w:r>
      <w:r>
        <w:rPr>
          <w:rFonts w:ascii="Arial" w:cs="Arial" w:eastAsia="Arial" w:hAnsi="Arial"/>
          <w:sz w:val="20"/>
          <w:szCs w:val="20"/>
          <w:u w:val="single" w:color="auto"/>
          <w:color w:val="auto"/>
        </w:rPr>
        <w:t>Solutions</w:t>
      </w:r>
      <w:r>
        <w:rPr>
          <w:rFonts w:ascii="Arial" w:cs="Arial" w:eastAsia="Arial" w:hAnsi="Arial"/>
          <w:sz w:val="20"/>
          <w:szCs w:val="20"/>
          <w:color w:val="auto"/>
        </w:rPr>
        <w:t>”), and Regeneron Genetics Center LLC, a Delaware limited liability company (“</w:t>
      </w:r>
      <w:r>
        <w:rPr>
          <w:rFonts w:ascii="Arial" w:cs="Arial" w:eastAsia="Arial" w:hAnsi="Arial"/>
          <w:sz w:val="20"/>
          <w:szCs w:val="20"/>
          <w:u w:val="single" w:color="auto"/>
          <w:color w:val="auto"/>
        </w:rPr>
        <w:t>Genetics</w:t>
      </w:r>
      <w:r>
        <w:rPr>
          <w:rFonts w:ascii="Arial" w:cs="Arial" w:eastAsia="Arial" w:hAnsi="Arial"/>
          <w:sz w:val="20"/>
          <w:szCs w:val="20"/>
          <w:color w:val="auto"/>
        </w:rPr>
        <w:t>” and together with the Company and Solutions, the “</w:t>
      </w:r>
      <w:r>
        <w:rPr>
          <w:rFonts w:ascii="Arial" w:cs="Arial" w:eastAsia="Arial" w:hAnsi="Arial"/>
          <w:sz w:val="20"/>
          <w:szCs w:val="20"/>
          <w:u w:val="single" w:color="auto"/>
          <w:color w:val="auto"/>
        </w:rPr>
        <w:t>Borrowers</w:t>
      </w:r>
      <w:r>
        <w:rPr>
          <w:rFonts w:ascii="Arial" w:cs="Arial" w:eastAsia="Arial" w:hAnsi="Arial"/>
          <w:sz w:val="20"/>
          <w:szCs w:val="20"/>
          <w:color w:val="auto"/>
        </w:rPr>
        <w:t>”), the financial institutions listed on the signature pages hereof and JPMorgan Chase Bank,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under that certain Credit Agreement dated as of December 14, 2018 by and among the Borrowers, the Lenders and the Administrative Agent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used herein and not otherwise defined herein shall have the respective meanings given to them in the Credit Agreement.</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WHEREAS, the Company has requested that the requisite Lenders and the Administrative Agent agree to a certain amendment to the Credit Agreement;</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WHEREAS, the Borrowers, the Lenders party hereto and the Administrative Agent have agreed to amend the Credit Agreement on the terms and conditions set forth herein;</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Borrowers, the Lenders party hereto and the Administrative Agent hereby agree to enter into this Amendment.</w:t>
      </w:r>
    </w:p>
    <w:p>
      <w:pPr>
        <w:spacing w:after="0" w:line="156" w:lineRule="exact"/>
        <w:rPr>
          <w:sz w:val="20"/>
          <w:szCs w:val="20"/>
          <w:color w:val="auto"/>
        </w:rPr>
      </w:pPr>
    </w:p>
    <w:p>
      <w:pPr>
        <w:ind w:right="20" w:firstLine="1304"/>
        <w:spacing w:after="0" w:line="229" w:lineRule="auto"/>
        <w:tabs>
          <w:tab w:leader="none" w:pos="1944"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xml:space="preserve">. Effective as of the date of satisfaction of the conditions precedent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parties hereto agree that the Credit Agreement is hereby amended as follows:</w:t>
      </w:r>
    </w:p>
    <w:p>
      <w:pPr>
        <w:spacing w:after="0" w:line="155" w:lineRule="exact"/>
        <w:rPr>
          <w:sz w:val="20"/>
          <w:szCs w:val="20"/>
          <w:color w:val="auto"/>
        </w:rPr>
      </w:pPr>
    </w:p>
    <w:p>
      <w:pPr>
        <w:ind w:right="20" w:firstLine="1304"/>
        <w:spacing w:after="0" w:line="229" w:lineRule="auto"/>
        <w:tabs>
          <w:tab w:leader="none" w:pos="1934"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insert the following definition therein in the appropriate alphabetical order as follows:</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 means November 11, 2021.</w:t>
      </w:r>
    </w:p>
    <w:p>
      <w:pPr>
        <w:spacing w:after="0" w:line="175" w:lineRule="exact"/>
        <w:rPr>
          <w:sz w:val="20"/>
          <w:szCs w:val="20"/>
          <w:color w:val="auto"/>
        </w:rPr>
      </w:pPr>
    </w:p>
    <w:p>
      <w:pPr>
        <w:ind w:firstLine="1304"/>
        <w:spacing w:after="0" w:line="229" w:lineRule="auto"/>
        <w:tabs>
          <w:tab w:leader="none" w:pos="1932"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restate the definition of “Agreed Currencies” appearing therein in its entirety as follows:</w:t>
      </w:r>
    </w:p>
    <w:p>
      <w:pPr>
        <w:spacing w:after="0" w:line="155" w:lineRule="exact"/>
        <w:rPr>
          <w:sz w:val="20"/>
          <w:szCs w:val="20"/>
          <w:color w:val="auto"/>
        </w:rPr>
      </w:pPr>
    </w:p>
    <w:p>
      <w:pPr>
        <w:jc w:val="both"/>
        <w:ind w:left="1300"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and (ii) any other currency (x) that is a lawful currency (other than Dollars) that is readily available and freely transferable and convertible into Dollars and (y) (1) with respect to Loans, that is agreed to by the Administrative Agent and each of the Lenders and (2) with respect to Letters of Credit, that is agreed to by the Administrative and the applicable Issuing Bank. For the avoidance of doubt, it is understood and agreed that on and after the Amendment No. 1 Effective Date, the only Agreed Currency with respect to Loans shall be Dollars (notwithstanding any references in this Agreement to any other currency) and no additional currency shall be included as an Agreed Currency with respect to Loans until such currency is requested by the Company and approved by the Administrative Agent</w:t>
      </w:r>
    </w:p>
    <w:p>
      <w:pPr>
        <w:sectPr>
          <w:pgSz w:w="11900" w:h="16838" w:orient="portrait"/>
          <w:cols w:equalWidth="0" w:num="1">
            <w:col w:w="11240"/>
          </w:cols>
          <w:pgMar w:left="320" w:top="125" w:right="339" w:bottom="1440" w:gutter="0" w:footer="0" w:header="0"/>
        </w:sectPr>
      </w:pPr>
    </w:p>
    <w:bookmarkStart w:id="153" w:name="page154"/>
    <w:bookmarkEnd w:id="153"/>
    <w:p>
      <w:pPr>
        <w:ind w:left="1300"/>
        <w:spacing w:after="0" w:line="229" w:lineRule="auto"/>
        <w:rPr>
          <w:sz w:val="20"/>
          <w:szCs w:val="20"/>
          <w:color w:val="auto"/>
        </w:rPr>
      </w:pPr>
      <w:r>
        <w:rPr>
          <w:rFonts w:ascii="Arial" w:cs="Arial" w:eastAsia="Arial" w:hAnsi="Arial"/>
          <w:sz w:val="20"/>
          <w:szCs w:val="20"/>
          <w:color w:val="auto"/>
        </w:rPr>
        <w:t>and each of the Lenders pursuant to an amendment to this Agreement mutually satisfactory to the Company, the Administrative Agent and each of the Lenders.</w:t>
      </w:r>
    </w:p>
    <w:p>
      <w:pPr>
        <w:spacing w:after="0" w:line="155" w:lineRule="exact"/>
        <w:rPr>
          <w:sz w:val="20"/>
          <w:szCs w:val="20"/>
          <w:color w:val="auto"/>
        </w:rPr>
      </w:pPr>
    </w:p>
    <w:p>
      <w:pPr>
        <w:jc w:val="both"/>
        <w:ind w:firstLine="1304"/>
        <w:spacing w:after="0" w:line="213" w:lineRule="auto"/>
        <w:tabs>
          <w:tab w:leader="none" w:pos="1934"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The definition of “Interest Period”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replace the reference to “one, two, three or six months (or, if reasonably satisfactory to the Administrative Agent and each of the Lenders, such other period) thereafter” appearing therein with a reference to “one, three or six months (or, if reasonably satisfactory to the Administrative Agent and each of the Lenders, such other period) thereafter” therefor.</w:t>
      </w:r>
    </w:p>
    <w:p>
      <w:pPr>
        <w:spacing w:after="0" w:line="156" w:lineRule="exact"/>
        <w:rPr>
          <w:sz w:val="20"/>
          <w:szCs w:val="20"/>
          <w:color w:val="auto"/>
        </w:rPr>
      </w:pPr>
    </w:p>
    <w:p>
      <w:pPr>
        <w:jc w:val="both"/>
        <w:ind w:firstLine="1304"/>
        <w:spacing w:after="0" w:line="210" w:lineRule="auto"/>
        <w:tabs>
          <w:tab w:leader="none" w:pos="194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The effectiveness of this Amendment is subject to the conditions precedent that the Administrative Agent shall have received (i) counterparts of this Amendment duly executed by the Borrowers, the Required Lenders and the Administrative Agent and (ii) payment and/or reimbursement of the Administrative Agent’s and its affiliates’ reasonable and documented out-of-pocket fees and expenses (including, to the extent invoiced, reasonable fees and expenses of counsel for the Administrative Agent) in connection with the Loan Documents.</w:t>
      </w:r>
    </w:p>
    <w:p>
      <w:pPr>
        <w:spacing w:after="0" w:line="154" w:lineRule="exact"/>
        <w:rPr>
          <w:rFonts w:ascii="Arial" w:cs="Arial" w:eastAsia="Arial" w:hAnsi="Arial"/>
          <w:sz w:val="20"/>
          <w:szCs w:val="20"/>
          <w:color w:val="auto"/>
        </w:rPr>
      </w:pPr>
    </w:p>
    <w:p>
      <w:pPr>
        <w:ind w:left="1960" w:hanging="656"/>
        <w:spacing w:after="0"/>
        <w:tabs>
          <w:tab w:leader="none" w:pos="196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Borrowers</w:t>
      </w:r>
      <w:r>
        <w:rPr>
          <w:rFonts w:ascii="Arial" w:cs="Arial" w:eastAsia="Arial" w:hAnsi="Arial"/>
          <w:sz w:val="19"/>
          <w:szCs w:val="19"/>
          <w:color w:val="auto"/>
        </w:rPr>
        <w:t>. Each Borrower hereby represents and warrants as follows:</w:t>
      </w:r>
    </w:p>
    <w:p>
      <w:pPr>
        <w:spacing w:after="0" w:line="187" w:lineRule="exact"/>
        <w:rPr>
          <w:sz w:val="20"/>
          <w:szCs w:val="20"/>
          <w:color w:val="auto"/>
        </w:rPr>
      </w:pPr>
    </w:p>
    <w:p>
      <w:pPr>
        <w:jc w:val="both"/>
        <w:ind w:firstLine="1304"/>
        <w:spacing w:after="0" w:line="236" w:lineRule="auto"/>
        <w:tabs>
          <w:tab w:leader="none" w:pos="19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Amendment and the Credit Agreement as modified hereby constitute legal, valid and binding obligations of such Borrower, enforceable against such Borrower in accordance with their respective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57" w:lineRule="exact"/>
        <w:rPr>
          <w:rFonts w:ascii="Arial" w:cs="Arial" w:eastAsia="Arial" w:hAnsi="Arial"/>
          <w:sz w:val="18"/>
          <w:szCs w:val="18"/>
          <w:color w:val="auto"/>
        </w:rPr>
      </w:pPr>
    </w:p>
    <w:p>
      <w:pPr>
        <w:jc w:val="both"/>
        <w:ind w:firstLine="1304"/>
        <w:spacing w:after="0" w:line="206" w:lineRule="auto"/>
        <w:tabs>
          <w:tab w:leader="none" w:pos="1932"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As of the date hereof and immediately after giving effect to this Amendment, (i) no Event of Default or Default has occurred and is continuing and (ii) the representations and warranties of such Borrower set forth in the Credit Agreement (excluding the representations and warranties set forth in </w:t>
      </w:r>
      <w:r>
        <w:rPr>
          <w:rFonts w:ascii="Arial" w:cs="Arial" w:eastAsia="Arial" w:hAnsi="Arial"/>
          <w:sz w:val="20"/>
          <w:szCs w:val="20"/>
          <w:u w:val="single" w:color="auto"/>
          <w:color w:val="auto"/>
        </w:rPr>
        <w:t>Sections 3.04(b)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3.06(a)</w:t>
      </w:r>
      <w:r>
        <w:rPr>
          <w:rFonts w:ascii="Arial" w:cs="Arial" w:eastAsia="Arial" w:hAnsi="Arial"/>
          <w:sz w:val="20"/>
          <w:szCs w:val="20"/>
          <w:color w:val="auto"/>
        </w:rPr>
        <w:t xml:space="preserve"> of the Credit Agreement), as amended hereby, are true and correct in all material respects (or, in the case of any representation or warranty qualified by materiality or Material Adverse Effect, in all respects),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w:t>
      </w:r>
    </w:p>
    <w:p>
      <w:pPr>
        <w:spacing w:after="0" w:line="157" w:lineRule="exact"/>
        <w:rPr>
          <w:sz w:val="20"/>
          <w:szCs w:val="20"/>
          <w:color w:val="auto"/>
        </w:rPr>
      </w:pPr>
    </w:p>
    <w:p>
      <w:pPr>
        <w:ind w:left="1960" w:hanging="656"/>
        <w:spacing w:after="0"/>
        <w:tabs>
          <w:tab w:leader="none" w:pos="19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175" w:lineRule="exact"/>
        <w:rPr>
          <w:sz w:val="20"/>
          <w:szCs w:val="20"/>
          <w:color w:val="auto"/>
        </w:rPr>
      </w:pPr>
    </w:p>
    <w:p>
      <w:pPr>
        <w:ind w:firstLine="1304"/>
        <w:spacing w:after="0" w:line="229" w:lineRule="auto"/>
        <w:tabs>
          <w:tab w:leader="none" w:pos="1934" w:val="left"/>
        </w:tabs>
        <w:numPr>
          <w:ilvl w:val="0"/>
          <w:numId w:val="73"/>
        </w:numPr>
        <w:rPr>
          <w:rFonts w:ascii="Arial" w:cs="Arial" w:eastAsia="Arial" w:hAnsi="Arial"/>
          <w:sz w:val="20"/>
          <w:szCs w:val="20"/>
          <w:color w:val="auto"/>
        </w:rPr>
      </w:pPr>
      <w:r>
        <w:rPr>
          <w:rFonts w:ascii="Arial" w:cs="Arial" w:eastAsia="Arial" w:hAnsi="Arial"/>
          <w:sz w:val="20"/>
          <w:szCs w:val="20"/>
          <w:color w:val="auto"/>
        </w:rPr>
        <w:t>Upon the effectiveness hereof, each reference to the Credit Agreement in the Credit Agreement or any other Loan Document shall mean and be a reference to the Credit Agreement as amended hereby.</w:t>
      </w:r>
    </w:p>
    <w:p>
      <w:pPr>
        <w:spacing w:after="0" w:line="155" w:lineRule="exact"/>
        <w:rPr>
          <w:rFonts w:ascii="Arial" w:cs="Arial" w:eastAsia="Arial" w:hAnsi="Arial"/>
          <w:sz w:val="20"/>
          <w:szCs w:val="20"/>
          <w:color w:val="auto"/>
        </w:rPr>
      </w:pPr>
    </w:p>
    <w:p>
      <w:pPr>
        <w:ind w:firstLine="1304"/>
        <w:spacing w:after="0" w:line="229" w:lineRule="auto"/>
        <w:tabs>
          <w:tab w:leader="none" w:pos="1932" w:val="left"/>
        </w:tabs>
        <w:numPr>
          <w:ilvl w:val="0"/>
          <w:numId w:val="73"/>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Credit Agreement.</w:t>
      </w:r>
    </w:p>
    <w:p>
      <w:pPr>
        <w:spacing w:after="0" w:line="173" w:lineRule="exact"/>
        <w:rPr>
          <w:sz w:val="20"/>
          <w:szCs w:val="20"/>
          <w:color w:val="auto"/>
        </w:rPr>
      </w:pPr>
    </w:p>
    <w:p>
      <w:pPr>
        <w:ind w:left="1960" w:hanging="656"/>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laws of the State of</w:t>
      </w:r>
    </w:p>
    <w:p>
      <w:pPr>
        <w:spacing w:after="0"/>
        <w:rPr>
          <w:sz w:val="20"/>
          <w:szCs w:val="20"/>
          <w:color w:val="auto"/>
        </w:rPr>
      </w:pPr>
      <w:r>
        <w:rPr>
          <w:rFonts w:ascii="Arial" w:cs="Arial" w:eastAsia="Arial" w:hAnsi="Arial"/>
          <w:sz w:val="20"/>
          <w:szCs w:val="20"/>
          <w:color w:val="auto"/>
        </w:rPr>
        <w:t>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54" w:name="page155"/>
    <w:bookmarkEnd w:id="154"/>
    <w:p>
      <w:pPr>
        <w:ind w:firstLine="1304"/>
        <w:spacing w:after="0" w:line="229" w:lineRule="auto"/>
        <w:tabs>
          <w:tab w:leader="none" w:pos="1944"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55" w:lineRule="exact"/>
        <w:rPr>
          <w:rFonts w:ascii="Arial" w:cs="Arial" w:eastAsia="Arial" w:hAnsi="Arial"/>
          <w:sz w:val="20"/>
          <w:szCs w:val="20"/>
          <w:color w:val="auto"/>
        </w:rPr>
      </w:pPr>
    </w:p>
    <w:p>
      <w:pPr>
        <w:jc w:val="both"/>
        <w:ind w:firstLine="1304"/>
        <w:spacing w:after="0" w:line="228" w:lineRule="auto"/>
        <w:tabs>
          <w:tab w:leader="none" w:pos="19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155" w:name="page156"/>
    <w:bookmarkEnd w:id="155"/>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REGENERON PHARMACEUTICALS, INC.,</w:t>
      </w:r>
    </w:p>
    <w:p>
      <w:pPr>
        <w:ind w:left="5620"/>
        <w:spacing w:after="0"/>
        <w:rPr>
          <w:sz w:val="20"/>
          <w:szCs w:val="20"/>
          <w:color w:val="auto"/>
        </w:rPr>
      </w:pPr>
      <w:r>
        <w:rPr>
          <w:rFonts w:ascii="Arial" w:cs="Arial" w:eastAsia="Arial" w:hAnsi="Arial"/>
          <w:sz w:val="20"/>
          <w:szCs w:val="20"/>
          <w:color w:val="auto"/>
        </w:rPr>
        <w:t>as the Company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 /s/ Leonard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10890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5620"/>
        <w:spacing w:after="0"/>
        <w:tabs>
          <w:tab w:leader="none" w:pos="63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Leonard Brooks</w:t>
      </w:r>
    </w:p>
    <w:p>
      <w:pPr>
        <w:spacing w:after="0" w:line="13"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03" w:lineRule="auto"/>
        <w:rPr>
          <w:sz w:val="20"/>
          <w:szCs w:val="20"/>
          <w:color w:val="auto"/>
        </w:rPr>
      </w:pPr>
      <w:r>
        <w:rPr>
          <w:rFonts w:ascii="Arial" w:cs="Arial" w:eastAsia="Arial" w:hAnsi="Arial"/>
          <w:sz w:val="18"/>
          <w:szCs w:val="18"/>
          <w:color w:val="auto"/>
        </w:rPr>
        <w:t>Credit Agreement dated as of December 14, 2018</w:t>
      </w: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11240"/>
          </w:cols>
          <w:pgMar w:left="320" w:top="1405" w:right="339" w:bottom="1440" w:gutter="0" w:footer="0" w:header="0"/>
        </w:sectPr>
      </w:pPr>
    </w:p>
    <w:bookmarkStart w:id="156" w:name="page157"/>
    <w:bookmarkEnd w:id="156"/>
    <w:p>
      <w:pPr>
        <w:spacing w:after="0" w:line="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REGENERON HEALTHCARE SOLUTIONS, INC.,</w:t>
      </w:r>
    </w:p>
    <w:p>
      <w:pPr>
        <w:ind w:left="5840"/>
        <w:spacing w:after="0"/>
        <w:rPr>
          <w:sz w:val="20"/>
          <w:szCs w:val="20"/>
          <w:color w:val="auto"/>
        </w:rPr>
      </w:pPr>
      <w:r>
        <w:rPr>
          <w:rFonts w:ascii="Arial" w:cs="Arial" w:eastAsia="Arial" w:hAnsi="Arial"/>
          <w:sz w:val="20"/>
          <w:szCs w:val="20"/>
          <w:color w:val="auto"/>
        </w:rPr>
        <w:t>as a Subsidiary Borrower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 /s/ Marion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11309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7">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Marion McCourt</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 to Amendment No. 1 to</w:t>
      </w:r>
    </w:p>
    <w:p>
      <w:pPr>
        <w:jc w:val="center"/>
        <w:ind w:right="1040"/>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10060"/>
          </w:cols>
          <w:pgMar w:left="1440" w:top="1440" w:right="399" w:bottom="1440" w:gutter="0" w:footer="0" w:header="0"/>
        </w:sectPr>
      </w:pPr>
    </w:p>
    <w:bookmarkStart w:id="157" w:name="page158"/>
    <w:bookmarkEnd w:id="157"/>
    <w:p>
      <w:pPr>
        <w:spacing w:after="0" w:line="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REGENERON GENETICS CENTER LLC,</w:t>
      </w:r>
    </w:p>
    <w:p>
      <w:pPr>
        <w:ind w:left="5840"/>
        <w:spacing w:after="0"/>
        <w:rPr>
          <w:sz w:val="20"/>
          <w:szCs w:val="20"/>
          <w:color w:val="auto"/>
        </w:rPr>
      </w:pPr>
      <w:r>
        <w:rPr>
          <w:rFonts w:ascii="Arial" w:cs="Arial" w:eastAsia="Arial" w:hAnsi="Arial"/>
          <w:sz w:val="20"/>
          <w:szCs w:val="20"/>
          <w:color w:val="auto"/>
        </w:rPr>
        <w:t>as a Subsidiary Borrower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 /s/ Leonard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10890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Leonard Brooks</w:t>
      </w:r>
    </w:p>
    <w:p>
      <w:pPr>
        <w:spacing w:after="0" w:line="13" w:lineRule="exact"/>
        <w:rPr>
          <w:sz w:val="20"/>
          <w:szCs w:val="20"/>
          <w:color w:val="auto"/>
        </w:rPr>
      </w:pP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Signature Page to Amendment No. 1 to</w:t>
      </w:r>
    </w:p>
    <w:p>
      <w:pPr>
        <w:jc w:val="center"/>
        <w:ind w:right="300"/>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320"/>
          </w:cols>
          <w:pgMar w:left="1440" w:top="1440" w:right="1139" w:bottom="1440" w:gutter="0" w:footer="0" w:header="0"/>
        </w:sectPr>
      </w:pPr>
    </w:p>
    <w:bookmarkStart w:id="158" w:name="page159"/>
    <w:bookmarkEnd w:id="158"/>
    <w:p>
      <w:pPr>
        <w:ind w:left="5840"/>
        <w:spacing w:after="0"/>
        <w:rPr>
          <w:sz w:val="20"/>
          <w:szCs w:val="20"/>
          <w:color w:val="auto"/>
        </w:rPr>
      </w:pPr>
      <w:r>
        <w:rPr>
          <w:rFonts w:ascii="Arial" w:cs="Arial" w:eastAsia="Arial" w:hAnsi="Arial"/>
          <w:sz w:val="20"/>
          <w:szCs w:val="20"/>
          <w:color w:val="auto"/>
        </w:rPr>
        <w:t>JPMORGAN CHASE BANK, N.A.,</w:t>
      </w:r>
    </w:p>
    <w:p>
      <w:pPr>
        <w:ind w:left="5840"/>
        <w:spacing w:after="0"/>
        <w:rPr>
          <w:sz w:val="20"/>
          <w:szCs w:val="20"/>
          <w:color w:val="auto"/>
        </w:rPr>
      </w:pPr>
      <w:r>
        <w:rPr>
          <w:rFonts w:ascii="Arial" w:cs="Arial" w:eastAsia="Arial" w:hAnsi="Arial"/>
          <w:sz w:val="18"/>
          <w:szCs w:val="18"/>
          <w:color w:val="auto"/>
        </w:rPr>
        <w:t>individually as a Lender and as Administrative Agent</w:t>
      </w:r>
    </w:p>
    <w:p>
      <w:pPr>
        <w:spacing w:after="0" w:line="29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T. Martin</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Gregory T. Martin</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 to Amendment No. 1 to</w:t>
      </w:r>
    </w:p>
    <w:p>
      <w:pPr>
        <w:jc w:val="center"/>
        <w:ind w:right="1040"/>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10060"/>
          </w:cols>
          <w:pgMar w:left="1440" w:top="1434" w:right="399" w:bottom="1440" w:gutter="0" w:footer="0" w:header="0"/>
        </w:sectPr>
      </w:pPr>
    </w:p>
    <w:bookmarkStart w:id="159" w:name="page160"/>
    <w:bookmarkEnd w:id="159"/>
    <w:p>
      <w:pPr>
        <w:spacing w:after="0" w:line="2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Name of Lender:</w:t>
      </w:r>
    </w:p>
    <w:p>
      <w:pPr>
        <w:spacing w:after="0" w:line="143"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3175</wp:posOffset>
            </wp:positionV>
            <wp:extent cx="19278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9">
                      <a:extLst>
                        <a:ext uri="{28A0092B-C50C-407E-A947-70E740481C1C}"/>
                      </a:extLst>
                    </a:blip>
                    <a:srcRect/>
                    <a:stretch>
                      <a:fillRect/>
                    </a:stretch>
                  </pic:blipFill>
                  <pic:spPr bwMode="auto">
                    <a:xfrm>
                      <a:off x="0" y="0"/>
                      <a:ext cx="1927860" cy="8890"/>
                    </a:xfrm>
                    <a:prstGeom prst="rect">
                      <a:avLst/>
                    </a:prstGeom>
                    <a:noFill/>
                  </pic:spPr>
                </pic:pic>
              </a:graphicData>
            </a:graphic>
          </wp:anchor>
        </w:drawing>
      </w:r>
    </w:p>
    <w:p>
      <w:pPr>
        <w:spacing w:after="0" w:line="30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West</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Michael West</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019"/>
          </w:cols>
          <w:pgMar w:left="1440" w:top="1440" w:right="1440" w:bottom="1440" w:gutter="0" w:footer="0" w:header="0"/>
        </w:sectPr>
      </w:pPr>
    </w:p>
    <w:bookmarkStart w:id="160" w:name="page161"/>
    <w:bookmarkEnd w:id="160"/>
    <w:p>
      <w:pPr>
        <w:ind w:left="5840"/>
        <w:spacing w:after="0"/>
        <w:rPr>
          <w:sz w:val="20"/>
          <w:szCs w:val="20"/>
          <w:color w:val="auto"/>
        </w:rPr>
      </w:pPr>
      <w:r>
        <w:rPr>
          <w:rFonts w:ascii="Arial" w:cs="Arial" w:eastAsia="Arial" w:hAnsi="Arial"/>
          <w:sz w:val="22"/>
          <w:szCs w:val="22"/>
          <w:color w:val="auto"/>
        </w:rPr>
        <w:t>CITIBANK, N.A.,</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Eugene Yermash</w:t>
      </w:r>
    </w:p>
    <w:p>
      <w:pPr>
        <w:spacing w:after="0" w:line="32"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Eugene Yermash</w:t>
      </w:r>
    </w:p>
    <w:p>
      <w:pPr>
        <w:spacing w:after="0" w:line="13" w:lineRule="exact"/>
        <w:rPr>
          <w:sz w:val="20"/>
          <w:szCs w:val="20"/>
          <w:color w:val="auto"/>
        </w:rPr>
      </w:pP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019"/>
          </w:cols>
          <w:pgMar w:left="1440" w:top="1438" w:right="1440" w:bottom="1440" w:gutter="0" w:footer="0" w:header="0"/>
        </w:sectPr>
      </w:pPr>
    </w:p>
    <w:bookmarkStart w:id="161" w:name="page162"/>
    <w:bookmarkEnd w:id="161"/>
    <w:p>
      <w:pPr>
        <w:spacing w:after="0" w:line="8"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FIFTH THIRD BANK, NATIONAL</w:t>
      </w:r>
    </w:p>
    <w:p>
      <w:pPr>
        <w:ind w:left="5840"/>
        <w:spacing w:after="0" w:line="207" w:lineRule="auto"/>
        <w:rPr>
          <w:sz w:val="20"/>
          <w:szCs w:val="20"/>
          <w:color w:val="auto"/>
        </w:rPr>
      </w:pPr>
      <w:r>
        <w:rPr>
          <w:rFonts w:ascii="Arial" w:cs="Arial" w:eastAsia="Arial" w:hAnsi="Arial"/>
          <w:sz w:val="22"/>
          <w:szCs w:val="22"/>
          <w:color w:val="auto"/>
        </w:rPr>
        <w:t>ASSOCIATION,</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Shailesh Patel</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Shailesh Patel</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020"/>
          </w:cols>
          <w:pgMar w:left="1440" w:top="1440" w:right="1439" w:bottom="1440" w:gutter="0" w:footer="0" w:header="0"/>
        </w:sectPr>
      </w:pPr>
    </w:p>
    <w:bookmarkStart w:id="162" w:name="page163"/>
    <w:bookmarkEnd w:id="162"/>
    <w:p>
      <w:pPr>
        <w:spacing w:after="0" w:line="10"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MUFG BANK, LTD.,</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Jack Lonker</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Jack Lonker</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10"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BARCLAYS BANK PLC,</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Arvind Admal</w:t>
      </w:r>
    </w:p>
    <w:p>
      <w:pPr>
        <w:spacing w:after="0" w:line="20"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Arvind Admal</w:t>
      </w:r>
    </w:p>
    <w:p>
      <w:pPr>
        <w:spacing w:after="0" w:line="13" w:lineRule="exact"/>
        <w:rPr>
          <w:sz w:val="20"/>
          <w:szCs w:val="20"/>
          <w:color w:val="auto"/>
        </w:rPr>
      </w:pP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019"/>
          </w:cols>
          <w:pgMar w:left="1440" w:top="1440" w:right="1440" w:bottom="1440" w:gutter="0" w:footer="0" w:header="0"/>
        </w:sectPr>
      </w:pPr>
    </w:p>
    <w:bookmarkStart w:id="164" w:name="page165"/>
    <w:bookmarkEnd w:id="164"/>
    <w:p>
      <w:pPr>
        <w:spacing w:after="0" w:line="10"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GOLDMAN SACHS BANK USA,</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 Martis</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Dan Martis</w:t>
      </w:r>
    </w:p>
    <w:p>
      <w:pPr>
        <w:spacing w:after="0" w:line="13" w:lineRule="exact"/>
        <w:rPr>
          <w:sz w:val="20"/>
          <w:szCs w:val="20"/>
          <w:color w:val="auto"/>
        </w:rPr>
      </w:pP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019"/>
          </w:cols>
          <w:pgMar w:left="1440" w:top="1440" w:right="1440" w:bottom="1440" w:gutter="0" w:footer="0" w:header="0"/>
        </w:sectPr>
      </w:pPr>
    </w:p>
    <w:bookmarkStart w:id="165" w:name="page166"/>
    <w:bookmarkEnd w:id="165"/>
    <w:p>
      <w:pPr>
        <w:spacing w:after="0" w:line="15"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THE NORTHERN TRUST COMPANY,</w:t>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Eric Siebert</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Eric Siebert</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 to Amendment No. 1 to</w:t>
      </w:r>
    </w:p>
    <w:p>
      <w:pPr>
        <w:jc w:val="center"/>
        <w:ind w:right="320"/>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340"/>
          </w:cols>
          <w:pgMar w:left="1440" w:top="1440" w:right="1119" w:bottom="1440" w:gutter="0" w:footer="0" w:header="0"/>
        </w:sectPr>
      </w:pPr>
    </w:p>
    <w:bookmarkStart w:id="166" w:name="page167"/>
    <w:bookmarkEnd w:id="166"/>
    <w:p>
      <w:pPr>
        <w:spacing w:after="0" w:line="15"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THE GOVERNOR AND COMPANY OF THE</w:t>
      </w:r>
    </w:p>
    <w:p>
      <w:pPr>
        <w:ind w:left="5840"/>
        <w:spacing w:after="0" w:line="219" w:lineRule="auto"/>
        <w:rPr>
          <w:sz w:val="20"/>
          <w:szCs w:val="20"/>
          <w:color w:val="auto"/>
        </w:rPr>
      </w:pPr>
      <w:r>
        <w:rPr>
          <w:rFonts w:ascii="Arial" w:cs="Arial" w:eastAsia="Arial" w:hAnsi="Arial"/>
          <w:sz w:val="22"/>
          <w:szCs w:val="22"/>
          <w:color w:val="auto"/>
        </w:rPr>
        <w:t>BANK</w:t>
      </w:r>
    </w:p>
    <w:p>
      <w:pPr>
        <w:ind w:left="5840"/>
        <w:spacing w:after="0" w:line="208" w:lineRule="auto"/>
        <w:rPr>
          <w:sz w:val="20"/>
          <w:szCs w:val="20"/>
          <w:color w:val="auto"/>
        </w:rPr>
      </w:pPr>
      <w:r>
        <w:rPr>
          <w:rFonts w:ascii="Arial" w:cs="Arial" w:eastAsia="Arial" w:hAnsi="Arial"/>
          <w:sz w:val="22"/>
          <w:szCs w:val="22"/>
          <w:color w:val="auto"/>
        </w:rPr>
        <w:t>OF IRELAND,</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 Dick</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Dick</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Deputy Manager</w:t>
      </w:r>
    </w:p>
    <w:p>
      <w:pPr>
        <w:spacing w:after="0" w:line="262"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Keith Hughes</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Keith Hughes</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Signature Page to Amendment No. 1 to</w:t>
      </w:r>
    </w:p>
    <w:p>
      <w:pPr>
        <w:jc w:val="center"/>
        <w:ind w:right="920"/>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940"/>
          </w:cols>
          <w:pgMar w:left="1440" w:top="1440" w:right="519" w:bottom="1440" w:gutter="0" w:footer="0" w:header="0"/>
        </w:sectPr>
      </w:pPr>
    </w:p>
    <w:bookmarkStart w:id="167" w:name="page168"/>
    <w:bookmarkEnd w:id="167"/>
    <w:p>
      <w:pPr>
        <w:spacing w:after="0" w:line="10"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PNC BANK, NATIONAL ASSOCIATION,</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M. Martin</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Robert M. Martin</w:t>
      </w:r>
    </w:p>
    <w:p>
      <w:pPr>
        <w:spacing w:after="0" w:line="13"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Signature Page to Amendment No. 1 to</w:t>
      </w:r>
    </w:p>
    <w:p>
      <w:pPr>
        <w:jc w:val="center"/>
        <w:ind w:right="620"/>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640"/>
          </w:cols>
          <w:pgMar w:left="1440" w:top="1440" w:right="819" w:bottom="1440" w:gutter="0" w:footer="0" w:header="0"/>
        </w:sectPr>
      </w:pPr>
    </w:p>
    <w:bookmarkStart w:id="168" w:name="page169"/>
    <w:bookmarkEnd w:id="168"/>
    <w:p>
      <w:pPr>
        <w:spacing w:after="0" w:line="10"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CITIZENS BANK, N.A.,</w:t>
      </w:r>
    </w:p>
    <w:p>
      <w:pPr>
        <w:ind w:left="584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Guyeski</w:t>
      </w:r>
    </w:p>
    <w:p>
      <w:pPr>
        <w:spacing w:after="0" w:line="20"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Mark Guyeski</w:t>
      </w:r>
    </w:p>
    <w:p>
      <w:pPr>
        <w:spacing w:after="0" w:line="13" w:lineRule="exact"/>
        <w:rPr>
          <w:sz w:val="20"/>
          <w:szCs w:val="20"/>
          <w:color w:val="auto"/>
        </w:rPr>
      </w:pP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28" w:lineRule="auto"/>
        <w:rPr>
          <w:sz w:val="20"/>
          <w:szCs w:val="20"/>
          <w:color w:val="auto"/>
        </w:rPr>
      </w:pPr>
      <w:r>
        <w:rPr>
          <w:rFonts w:ascii="Arial" w:cs="Arial" w:eastAsia="Arial" w:hAnsi="Arial"/>
          <w:sz w:val="16"/>
          <w:szCs w:val="16"/>
          <w:color w:val="auto"/>
        </w:rPr>
        <w:t>Credit Agreement dated as of December 14,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9019"/>
          </w:cols>
          <w:pgMar w:left="1440" w:top="1440" w:right="1440" w:bottom="1440" w:gutter="0" w:footer="0" w:header="0"/>
        </w:sectPr>
      </w:pPr>
    </w:p>
    <w:bookmarkStart w:id="169" w:name="page170"/>
    <w:bookmarkEnd w:id="169"/>
    <w:p>
      <w:pPr>
        <w:ind w:left="9900"/>
        <w:spacing w:after="0"/>
        <w:rPr>
          <w:sz w:val="20"/>
          <w:szCs w:val="20"/>
          <w:color w:val="auto"/>
        </w:rPr>
      </w:pPr>
      <w:r>
        <w:rPr>
          <w:rFonts w:ascii="Arial" w:cs="Arial" w:eastAsia="Arial" w:hAnsi="Arial"/>
          <w:sz w:val="19"/>
          <w:szCs w:val="19"/>
          <w:color w:val="auto"/>
        </w:rPr>
        <w:t>Exhibit 10.20.1</w:t>
      </w:r>
    </w:p>
    <w:p>
      <w:pPr>
        <w:spacing w:after="0" w:line="240" w:lineRule="exact"/>
        <w:rPr>
          <w:sz w:val="20"/>
          <w:szCs w:val="20"/>
          <w:color w:val="auto"/>
        </w:rPr>
      </w:pPr>
    </w:p>
    <w:p>
      <w:pPr>
        <w:jc w:val="center"/>
        <w:spacing w:after="0" w:line="220"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IMMUNO-ONCOLOGY LICENSE AND COLLABORATION AGREEMENT</w:t>
      </w:r>
    </w:p>
    <w:p>
      <w:pPr>
        <w:spacing w:after="0" w:line="185"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THIS FIRST AMENDMENT TO IMMUNO-ONCOLOGY LICENSE AND COLLABORATION AGREEMENT (this “</w:t>
      </w:r>
      <w:r>
        <w:rPr>
          <w:rFonts w:ascii="Arial" w:cs="Arial" w:eastAsia="Arial" w:hAnsi="Arial"/>
          <w:sz w:val="21"/>
          <w:szCs w:val="21"/>
          <w:u w:val="single" w:color="auto"/>
          <w:color w:val="auto"/>
        </w:rPr>
        <w:t>First Amendment</w:t>
      </w:r>
      <w:r>
        <w:rPr>
          <w:rFonts w:ascii="Arial" w:cs="Arial" w:eastAsia="Arial" w:hAnsi="Arial"/>
          <w:sz w:val="21"/>
          <w:szCs w:val="21"/>
          <w:color w:val="auto"/>
        </w:rPr>
        <w:t>”), dated as of October 6, 2021 (the “</w:t>
      </w:r>
      <w:r>
        <w:rPr>
          <w:rFonts w:ascii="Arial" w:cs="Arial" w:eastAsia="Arial" w:hAnsi="Arial"/>
          <w:sz w:val="21"/>
          <w:szCs w:val="21"/>
          <w:u w:val="single" w:color="auto"/>
          <w:color w:val="auto"/>
        </w:rPr>
        <w:t>Execution Date</w:t>
      </w:r>
      <w:r>
        <w:rPr>
          <w:rFonts w:ascii="Arial" w:cs="Arial" w:eastAsia="Arial" w:hAnsi="Arial"/>
          <w:sz w:val="21"/>
          <w:szCs w:val="21"/>
          <w:color w:val="auto"/>
        </w:rPr>
        <w:t>”) and effective as of September 30, 2021 (the “Effective Date”), is by and between Sanofi Biotechnology SAS, a sociéte par actions simplifiée, organized under the laws of France, having a principal place of business at 54, rue La Boétie, 75008 Paris, France (“</w:t>
      </w:r>
      <w:r>
        <w:rPr>
          <w:rFonts w:ascii="Arial" w:cs="Arial" w:eastAsia="Arial" w:hAnsi="Arial"/>
          <w:sz w:val="21"/>
          <w:szCs w:val="21"/>
          <w:u w:val="single" w:color="auto"/>
          <w:color w:val="auto"/>
        </w:rPr>
        <w:t>Sanofi</w:t>
      </w:r>
      <w:r>
        <w:rPr>
          <w:rFonts w:ascii="Arial" w:cs="Arial" w:eastAsia="Arial" w:hAnsi="Arial"/>
          <w:sz w:val="21"/>
          <w:szCs w:val="21"/>
          <w:color w:val="auto"/>
        </w:rPr>
        <w:t>”) and Regeneron Pharmaceuticals, Inc., a corporation organized under the laws of the state of New York and having a principal place of business at 777 Old Saw Mill River Road, Tarrytown, New York 10591 (“</w:t>
      </w:r>
      <w:r>
        <w:rPr>
          <w:rFonts w:ascii="Arial" w:cs="Arial" w:eastAsia="Arial" w:hAnsi="Arial"/>
          <w:sz w:val="21"/>
          <w:szCs w:val="21"/>
          <w:u w:val="single" w:color="auto"/>
          <w:color w:val="auto"/>
        </w:rPr>
        <w:t>Regeneron</w:t>
      </w:r>
      <w:r>
        <w:rPr>
          <w:rFonts w:ascii="Arial" w:cs="Arial" w:eastAsia="Arial" w:hAnsi="Arial"/>
          <w:sz w:val="21"/>
          <w:szCs w:val="21"/>
          <w:color w:val="auto"/>
        </w:rPr>
        <w:t>”) (with each of Sanofi and Regeneron being sometimes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WHEREAS, Regeneron and Sanofi are parties to that certain Immuno-Oncology License and Collaboration Agreement dated as of July 1, 2015 (the “</w:t>
      </w:r>
      <w:r>
        <w:rPr>
          <w:rFonts w:ascii="Arial" w:cs="Arial" w:eastAsia="Arial" w:hAnsi="Arial"/>
          <w:sz w:val="22"/>
          <w:szCs w:val="22"/>
          <w:u w:val="single" w:color="auto"/>
          <w:color w:val="auto"/>
        </w:rPr>
        <w:t>IO LCA</w:t>
      </w:r>
      <w:r>
        <w:rPr>
          <w:rFonts w:ascii="Arial" w:cs="Arial" w:eastAsia="Arial" w:hAnsi="Arial"/>
          <w:sz w:val="22"/>
          <w:szCs w:val="22"/>
          <w:color w:val="auto"/>
        </w:rPr>
        <w:t>”) for the Development, Manufacture and Commercialization of Licensed Products (as such terms are defined therein);</w:t>
      </w:r>
    </w:p>
    <w:p>
      <w:pPr>
        <w:spacing w:after="0" w:line="15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WHEREAS, Regeneron and Sanofi are parties to a letter agreement dated as of January 7, 2018 that, among other things, amended certain terms of the IO LCA (the “January 2018 Letter”); and</w:t>
      </w:r>
    </w:p>
    <w:p>
      <w:pPr>
        <w:spacing w:after="0" w:line="15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WHEREAS, the Parties desire to amend the IO LCA to set forth certain terms and conditions regarding the Co-Commercialization by the Parties of the Licensed Product known as Libtayo (“</w:t>
      </w:r>
      <w:r>
        <w:rPr>
          <w:rFonts w:ascii="Arial" w:cs="Arial" w:eastAsia="Arial" w:hAnsi="Arial"/>
          <w:sz w:val="22"/>
          <w:szCs w:val="22"/>
          <w:u w:val="single" w:color="auto"/>
          <w:color w:val="auto"/>
        </w:rPr>
        <w:t>Libtayo</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79"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All capitalized terms used in this First Amendment which are not otherwise defined herein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ascribed to them in the IO LCA.</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The definition of “</w:t>
      </w:r>
      <w:r>
        <w:rPr>
          <w:rFonts w:ascii="Arial" w:cs="Arial" w:eastAsia="Arial" w:hAnsi="Arial"/>
          <w:sz w:val="22"/>
          <w:szCs w:val="22"/>
          <w:u w:val="single" w:color="auto"/>
          <w:color w:val="auto"/>
        </w:rPr>
        <w:t>Commercial Overhead Charge</w:t>
      </w:r>
      <w:r>
        <w:rPr>
          <w:rFonts w:ascii="Arial" w:cs="Arial" w:eastAsia="Arial" w:hAnsi="Arial"/>
          <w:sz w:val="22"/>
          <w:szCs w:val="22"/>
          <w:color w:val="auto"/>
        </w:rPr>
        <w:t>” in Section 1.20 of the IO LCA is hereby amended by deleting</w:t>
      </w:r>
      <w:r>
        <w:rPr>
          <w:rFonts w:ascii="Arial" w:cs="Arial" w:eastAsia="Arial" w:hAnsi="Arial"/>
          <w:sz w:val="22"/>
          <w:szCs w:val="22"/>
          <w:b w:val="1"/>
          <w:bCs w:val="1"/>
          <w:color w:val="auto"/>
        </w:rPr>
        <w:t xml:space="preserve"> </w:t>
      </w:r>
      <w:r>
        <w:rPr>
          <w:rFonts w:ascii="Arial" w:cs="Arial" w:eastAsia="Arial" w:hAnsi="Arial"/>
          <w:sz w:val="22"/>
          <w:szCs w:val="22"/>
          <w:color w:val="auto"/>
        </w:rPr>
        <w:t>the last sentence of such definition and replacing it with the following: “For the avoidance of doubt, ‘</w:t>
      </w:r>
      <w:r>
        <w:rPr>
          <w:rFonts w:ascii="Arial" w:cs="Arial" w:eastAsia="Arial" w:hAnsi="Arial"/>
          <w:sz w:val="22"/>
          <w:szCs w:val="22"/>
          <w:u w:val="single" w:color="auto"/>
          <w:color w:val="auto"/>
        </w:rPr>
        <w:t>Commercial Overhead</w:t>
      </w:r>
      <w:r>
        <w:rPr>
          <w:rFonts w:ascii="Arial" w:cs="Arial" w:eastAsia="Arial" w:hAnsi="Arial"/>
          <w:sz w:val="22"/>
          <w:szCs w:val="22"/>
          <w:color w:val="auto"/>
        </w:rPr>
        <w:t xml:space="preserve"> </w:t>
      </w:r>
      <w:r>
        <w:rPr>
          <w:rFonts w:ascii="Arial" w:cs="Arial" w:eastAsia="Arial" w:hAnsi="Arial"/>
          <w:sz w:val="22"/>
          <w:szCs w:val="22"/>
          <w:u w:val="single" w:color="auto"/>
          <w:color w:val="auto"/>
        </w:rPr>
        <w:t>Charge</w:t>
      </w:r>
      <w:r>
        <w:rPr>
          <w:rFonts w:ascii="Arial" w:cs="Arial" w:eastAsia="Arial" w:hAnsi="Arial"/>
          <w:sz w:val="22"/>
          <w:szCs w:val="22"/>
          <w:color w:val="auto"/>
        </w:rPr>
        <w:t>’ shall not include any amounts otherwise included in Shared Commercial Expenses (unless included solely pursuant to clause (i) thereof) or Other Shared Expenses.”</w:t>
      </w:r>
    </w:p>
    <w:p>
      <w:pPr>
        <w:spacing w:after="0" w:line="152" w:lineRule="exact"/>
        <w:rPr>
          <w:sz w:val="20"/>
          <w:szCs w:val="20"/>
          <w:color w:val="auto"/>
        </w:rPr>
      </w:pPr>
    </w:p>
    <w:p>
      <w:pPr>
        <w:ind w:left="660" w:right="440" w:hanging="652"/>
        <w:spacing w:after="0" w:line="435" w:lineRule="auto"/>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Acknowledgements and Agreements</w:t>
      </w:r>
      <w:r>
        <w:rPr>
          <w:rFonts w:ascii="Arial" w:cs="Arial" w:eastAsia="Arial" w:hAnsi="Arial"/>
          <w:sz w:val="22"/>
          <w:szCs w:val="22"/>
          <w:color w:val="auto"/>
        </w:rPr>
        <w:t>. Solely with respect to Libtayo, the Parties acknowledge and agree as follows:</w:t>
      </w:r>
      <w:r>
        <w:rPr>
          <w:rFonts w:ascii="Arial" w:cs="Arial" w:eastAsia="Arial" w:hAnsi="Arial"/>
          <w:sz w:val="22"/>
          <w:szCs w:val="22"/>
          <w:b w:val="1"/>
          <w:bCs w:val="1"/>
          <w:color w:val="auto"/>
        </w:rPr>
        <w:t xml:space="preserve"> 2.1. Increase of the REGN2810 Budget Amount</w:t>
      </w:r>
      <w:r>
        <w:rPr>
          <w:rFonts w:ascii="Arial" w:cs="Arial" w:eastAsia="Arial" w:hAnsi="Arial"/>
          <w:sz w:val="22"/>
          <w:szCs w:val="22"/>
          <w:color w:val="auto"/>
        </w:rPr>
        <w:t>.</w:t>
      </w:r>
    </w:p>
    <w:p>
      <w:pPr>
        <w:sectPr>
          <w:pgSz w:w="11900" w:h="16838" w:orient="portrait"/>
          <w:cols w:equalWidth="0" w:num="1">
            <w:col w:w="11240"/>
          </w:cols>
          <w:pgMar w:left="320" w:top="104" w:right="339" w:bottom="1440" w:gutter="0" w:footer="0" w:header="0"/>
        </w:sectPr>
      </w:pPr>
    </w:p>
    <w:bookmarkStart w:id="170" w:name="page171"/>
    <w:bookmarkEnd w:id="170"/>
    <w:p>
      <w:pPr>
        <w:spacing w:after="0" w:line="200" w:lineRule="exact"/>
        <w:rPr>
          <w:sz w:val="20"/>
          <w:szCs w:val="20"/>
          <w:color w:val="auto"/>
        </w:rPr>
      </w:pPr>
    </w:p>
    <w:p>
      <w:pPr>
        <w:spacing w:after="0" w:line="288" w:lineRule="exact"/>
        <w:rPr>
          <w:sz w:val="20"/>
          <w:szCs w:val="20"/>
          <w:color w:val="auto"/>
        </w:rPr>
      </w:pPr>
    </w:p>
    <w:p>
      <w:pPr>
        <w:jc w:val="both"/>
        <w:ind w:firstLine="1304"/>
        <w:spacing w:after="0" w:line="223" w:lineRule="auto"/>
        <w:tabs>
          <w:tab w:leader="none" w:pos="19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REGN2810 Budget Amount shall be increased by $200,000,000 from $1,640,000,000 (the “</w:t>
      </w:r>
      <w:r>
        <w:rPr>
          <w:rFonts w:ascii="Arial" w:cs="Arial" w:eastAsia="Arial" w:hAnsi="Arial"/>
          <w:sz w:val="22"/>
          <w:szCs w:val="22"/>
          <w:u w:val="single" w:color="auto"/>
          <w:color w:val="auto"/>
        </w:rPr>
        <w:t>Former</w:t>
      </w:r>
      <w:r>
        <w:rPr>
          <w:rFonts w:ascii="Arial" w:cs="Arial" w:eastAsia="Arial" w:hAnsi="Arial"/>
          <w:sz w:val="22"/>
          <w:szCs w:val="22"/>
          <w:color w:val="auto"/>
        </w:rPr>
        <w:t xml:space="preserve"> </w:t>
      </w:r>
      <w:r>
        <w:rPr>
          <w:rFonts w:ascii="Arial" w:cs="Arial" w:eastAsia="Arial" w:hAnsi="Arial"/>
          <w:sz w:val="22"/>
          <w:szCs w:val="22"/>
          <w:u w:val="single" w:color="auto"/>
          <w:color w:val="auto"/>
        </w:rPr>
        <w:t>Cap</w:t>
      </w:r>
      <w:r>
        <w:rPr>
          <w:rFonts w:ascii="Arial" w:cs="Arial" w:eastAsia="Arial" w:hAnsi="Arial"/>
          <w:sz w:val="22"/>
          <w:szCs w:val="22"/>
          <w:color w:val="auto"/>
        </w:rPr>
        <w:t>”) to $1,840,000,000. The REGN2810 Budget Amount shall mean one billion eight hundred forty million dollars ($1,840,000,000).</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$200,000,000 increase shall be shared equally between the Parties (</w:t>
      </w:r>
      <w:r>
        <w:rPr>
          <w:rFonts w:ascii="Arial" w:cs="Arial" w:eastAsia="Arial" w:hAnsi="Arial"/>
          <w:sz w:val="21"/>
          <w:szCs w:val="21"/>
          <w:i w:val="1"/>
          <w:iCs w:val="1"/>
          <w:color w:val="auto"/>
        </w:rPr>
        <w:t>i.e</w:t>
      </w:r>
      <w:r>
        <w:rPr>
          <w:rFonts w:ascii="Arial" w:cs="Arial" w:eastAsia="Arial" w:hAnsi="Arial"/>
          <w:sz w:val="21"/>
          <w:szCs w:val="21"/>
          <w:color w:val="auto"/>
        </w:rPr>
        <w:t>., $100,000,000 each).</w:t>
      </w:r>
    </w:p>
    <w:p>
      <w:pPr>
        <w:spacing w:after="0" w:line="190" w:lineRule="exact"/>
        <w:rPr>
          <w:rFonts w:ascii="Arial" w:cs="Arial" w:eastAsia="Arial" w:hAnsi="Arial"/>
          <w:sz w:val="21"/>
          <w:szCs w:val="21"/>
          <w:color w:val="auto"/>
        </w:rPr>
      </w:pPr>
    </w:p>
    <w:p>
      <w:pPr>
        <w:ind w:firstLine="1304"/>
        <w:spacing w:after="0" w:line="232" w:lineRule="auto"/>
        <w:tabs>
          <w:tab w:leader="none" w:pos="19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For the avoidance of doubt, in accordance with Section 5.3(b) of the IO LCA, Sanofi shall not be obligated to reimburse Development Costs in excess of this revised REGN2810 Budget Amount.</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939" w:val="left"/>
        </w:tabs>
        <w:numPr>
          <w:ilvl w:val="0"/>
          <w:numId w:val="78"/>
        </w:numPr>
        <w:rPr>
          <w:rFonts w:ascii="Arial" w:cs="Arial" w:eastAsia="Arial" w:hAnsi="Arial"/>
          <w:sz w:val="21"/>
          <w:szCs w:val="21"/>
          <w:color w:val="auto"/>
        </w:rPr>
      </w:pPr>
      <w:r>
        <w:rPr>
          <w:rFonts w:ascii="Arial" w:cs="Arial" w:eastAsia="Arial" w:hAnsi="Arial"/>
          <w:sz w:val="21"/>
          <w:szCs w:val="21"/>
          <w:color w:val="auto"/>
        </w:rPr>
        <w:t>Regeneron shall complete [* * *]. For the avoidance of doubt, [* * *], REGN shall incur any and all costs and expenses required to complete [* * *]. In the event that Regeneron incurs any costs and expenses in excess of the REGN2810 Budget Amount, such excess costs and expenses shall be borne exclusively by Regeneron and shall not be counted toward the Development Cost True-Up as set forth on Schedule 2 of the IO LCA.</w:t>
      </w:r>
    </w:p>
    <w:p>
      <w:pPr>
        <w:spacing w:after="0" w:line="158" w:lineRule="exact"/>
        <w:rPr>
          <w:rFonts w:ascii="Arial" w:cs="Arial" w:eastAsia="Arial" w:hAnsi="Arial"/>
          <w:sz w:val="21"/>
          <w:szCs w:val="21"/>
          <w:color w:val="auto"/>
        </w:rPr>
      </w:pPr>
    </w:p>
    <w:p>
      <w:pPr>
        <w:ind w:left="1940" w:hanging="636"/>
        <w:spacing w:after="0"/>
        <w:tabs>
          <w:tab w:leader="none" w:pos="19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 *].</w:t>
      </w:r>
    </w:p>
    <w:p>
      <w:pPr>
        <w:spacing w:after="0" w:line="17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REGN2810 Global Development Plan and REGN2810 Global Development Budget</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8" w:lineRule="auto"/>
        <w:tabs>
          <w:tab w:leader="none" w:pos="2011"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As a result of the increase in the REGN2810 Budget Amount (from $1,640,000,000 to $1,840,000,000), each of the REGN2810 Global Development Plan and the REGN2810 Global Development Budget [* * *] are set forth in </w:t>
      </w:r>
      <w:r>
        <w:rPr>
          <w:rFonts w:ascii="Arial" w:cs="Arial" w:eastAsia="Arial" w:hAnsi="Arial"/>
          <w:sz w:val="22"/>
          <w:szCs w:val="22"/>
          <w:b w:val="1"/>
          <w:bCs w:val="1"/>
          <w:u w:val="single" w:color="auto"/>
          <w:color w:val="auto"/>
        </w:rPr>
        <w:t>Schedule I</w:t>
      </w:r>
      <w:r>
        <w:rPr>
          <w:rFonts w:ascii="Arial" w:cs="Arial" w:eastAsia="Arial" w:hAnsi="Arial"/>
          <w:sz w:val="22"/>
          <w:szCs w:val="22"/>
          <w:b w:val="1"/>
          <w:bCs w:val="1"/>
          <w:color w:val="auto"/>
        </w:rPr>
        <w:t xml:space="preserve"> </w:t>
      </w:r>
      <w:r>
        <w:rPr>
          <w:rFonts w:ascii="Arial" w:cs="Arial" w:eastAsia="Arial" w:hAnsi="Arial"/>
          <w:sz w:val="22"/>
          <w:szCs w:val="22"/>
          <w:color w:val="auto"/>
        </w:rPr>
        <w:t>to the IO Side Letter and such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Schedule I</w:t>
      </w:r>
      <w:r>
        <w:rPr>
          <w:rFonts w:ascii="Arial" w:cs="Arial" w:eastAsia="Arial" w:hAnsi="Arial"/>
          <w:sz w:val="22"/>
          <w:szCs w:val="22"/>
          <w:b w:val="1"/>
          <w:bCs w:val="1"/>
          <w:color w:val="auto"/>
        </w:rPr>
        <w:t xml:space="preserve"> </w:t>
      </w:r>
      <w:r>
        <w:rPr>
          <w:rFonts w:ascii="Arial" w:cs="Arial" w:eastAsia="Arial" w:hAnsi="Arial"/>
          <w:sz w:val="22"/>
          <w:szCs w:val="22"/>
          <w:color w:val="auto"/>
        </w:rPr>
        <w:t>shall (i) replace and supersede Part A of the January 2018 Letter and (ii)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integral part of the IO LCA.</w:t>
      </w:r>
    </w:p>
    <w:p>
      <w:pPr>
        <w:spacing w:after="0" w:line="160" w:lineRule="exact"/>
        <w:rPr>
          <w:rFonts w:ascii="Arial" w:cs="Arial" w:eastAsia="Arial" w:hAnsi="Arial"/>
          <w:sz w:val="22"/>
          <w:szCs w:val="22"/>
          <w:color w:val="auto"/>
        </w:rPr>
      </w:pPr>
    </w:p>
    <w:p>
      <w:pPr>
        <w:ind w:left="1940" w:hanging="636"/>
        <w:spacing w:after="0"/>
        <w:tabs>
          <w:tab w:leader="none" w:pos="19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Notwithstanding anything to the contrary in the IO LCA, but subject to Section 2.2(c) below, as from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Effective Date:</w:t>
      </w:r>
    </w:p>
    <w:p>
      <w:pPr>
        <w:spacing w:after="0" w:line="161" w:lineRule="exact"/>
        <w:rPr>
          <w:rFonts w:ascii="Arial" w:cs="Arial" w:eastAsia="Arial" w:hAnsi="Arial"/>
          <w:sz w:val="19"/>
          <w:szCs w:val="19"/>
          <w:color w:val="auto"/>
        </w:rPr>
      </w:pPr>
    </w:p>
    <w:p>
      <w:pPr>
        <w:ind w:firstLine="1952"/>
        <w:spacing w:after="0" w:line="232" w:lineRule="auto"/>
        <w:tabs>
          <w:tab w:leader="none" w:pos="25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Regeneron shall not [* * *] without Sanofi’s prior written consent, such consent not to be unreasonably withheld or delayed; and</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79"/>
        </w:numPr>
        <w:rPr>
          <w:rFonts w:ascii="Arial" w:cs="Arial" w:eastAsia="Arial" w:hAnsi="Arial"/>
          <w:sz w:val="22"/>
          <w:szCs w:val="22"/>
          <w:color w:val="auto"/>
        </w:rPr>
      </w:pPr>
      <w:r>
        <w:rPr>
          <w:rFonts w:ascii="Arial" w:cs="Arial" w:eastAsia="Arial" w:hAnsi="Arial"/>
          <w:sz w:val="22"/>
          <w:szCs w:val="22"/>
          <w:color w:val="auto"/>
        </w:rPr>
        <w:t>Regeneron shall not [* * *], except as agreed by the Parties.</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For the avoidance of doubt, [* * *].</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Disbursement of Sanofi’s Share of the $200M Increase</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8" w:lineRule="auto"/>
        <w:tabs>
          <w:tab w:leader="none" w:pos="1941"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Subject to the foregoing and subject to the REGN2810 Budget Amount, Sanofi’s obligation to reimburse 50% of the Development Costs incurred by Regeneron in excess of the Former Cap shall be capped at $100,000,000 in total irrespective of the amount of Development Costs actually incurred by Regeneron in excess of the Former Cap to complete [* * *].</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939"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Subject to the foregoing and subject to the REGN2810 Budget Amount, in Contract Year 2023 Sanofi shall not be obligated [* * *]. Any Development Cost for REGN2810 incurred by Regeneron in excess of such amount [* * *]; provided, however, that Sanofi shall not be obligated to reimburse Development Costs in excess of the revised REGN2810 Budget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288" w:lineRule="exact"/>
        <w:rPr>
          <w:sz w:val="20"/>
          <w:szCs w:val="20"/>
          <w:color w:val="auto"/>
        </w:rPr>
      </w:pPr>
    </w:p>
    <w:p>
      <w:pPr>
        <w:ind w:firstLine="1304"/>
        <w:spacing w:after="0" w:line="232" w:lineRule="auto"/>
        <w:tabs>
          <w:tab w:leader="none" w:pos="1941"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the event that REGN2810 Development Costs exceed $1,640,000,000 before December 31st, 2022, any such amounts will be repaid consistent with section (b) above.</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939"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Notwithstanding anything to the contrary in Section 5.3(b) of the IO LCA or Part I (4)(b) of the January 2018 Letter, between the Parties, the REGN2810 Global Development Budget [* * *]. In addition, twice each Contract Year during the Term, Regeneron will provide Sanofi with a good-faith forecast of anticipated Development Costs to be incurred for REGN2810 each year for the remainder of the Term, with such forecasts [* * *].</w:t>
      </w:r>
    </w:p>
    <w:p>
      <w:pPr>
        <w:spacing w:after="0" w:line="15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US Commercialization</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Out-of-Pocket Costs for Commercialization of Libtayo in the United States [* * *] shall be allocated [* * *]. Such allocation of Out-of-Pocket Costs for Commercialization of Libtayo shall be referred to as the “</w:t>
      </w:r>
      <w:r>
        <w:rPr>
          <w:rFonts w:ascii="Arial" w:cs="Arial" w:eastAsia="Arial" w:hAnsi="Arial"/>
          <w:sz w:val="22"/>
          <w:szCs w:val="22"/>
          <w:u w:val="single" w:color="auto"/>
          <w:color w:val="auto"/>
        </w:rPr>
        <w:t>OOP Allocation</w:t>
      </w:r>
      <w:r>
        <w:rPr>
          <w:rFonts w:ascii="Arial" w:cs="Arial" w:eastAsia="Arial" w:hAnsi="Arial"/>
          <w:sz w:val="22"/>
          <w:szCs w:val="22"/>
          <w:color w:val="auto"/>
        </w:rPr>
        <w:t>”. [* * *].</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OOP Allocation will be [* * *].</w:t>
      </w:r>
    </w:p>
    <w:p>
      <w:pPr>
        <w:spacing w:after="0" w:line="179" w:lineRule="exact"/>
        <w:rPr>
          <w:rFonts w:ascii="Arial" w:cs="Arial" w:eastAsia="Arial" w:hAnsi="Arial"/>
          <w:sz w:val="22"/>
          <w:szCs w:val="22"/>
          <w:color w:val="auto"/>
        </w:rPr>
      </w:pPr>
    </w:p>
    <w:p>
      <w:pPr>
        <w:ind w:firstLine="1304"/>
        <w:spacing w:after="0" w:line="232"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allocation of US Commercial Overhead FTEs for Libtayo in the United States [* * *], unless otherwise agreed by the Parties.</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For the purposes of this subsection, “US Commercial Overhead FTE” means: those [* * *].</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ROW Commercial Overhead FTE</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8" w:lineRule="auto"/>
        <w:tabs>
          <w:tab w:leader="none" w:pos="19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 any Co-Commercialization Country in the ROW Territory (other than any Sales Force Intensive Country), Regeneron’s ROW Commercial Overhead FTEs in such country [* * *]. In any Co-Commercialization Country in the ROW Territory for Libtayo with [* * *] (such countries, “</w:t>
      </w:r>
      <w:r>
        <w:rPr>
          <w:rFonts w:ascii="Arial" w:cs="Arial" w:eastAsia="Arial" w:hAnsi="Arial"/>
          <w:sz w:val="22"/>
          <w:szCs w:val="22"/>
          <w:u w:val="single" w:color="auto"/>
          <w:color w:val="auto"/>
        </w:rPr>
        <w:t>Sales Force Intensive Countries</w:t>
      </w:r>
      <w:r>
        <w:rPr>
          <w:rFonts w:ascii="Arial" w:cs="Arial" w:eastAsia="Arial" w:hAnsi="Arial"/>
          <w:sz w:val="22"/>
          <w:szCs w:val="22"/>
          <w:color w:val="auto"/>
        </w:rPr>
        <w:t>”), Regeneron’s ROW Commercial Overhead FTEs [* * *].</w:t>
      </w:r>
    </w:p>
    <w:p>
      <w:pPr>
        <w:spacing w:after="0" w:line="160" w:lineRule="exact"/>
        <w:rPr>
          <w:rFonts w:ascii="Arial" w:cs="Arial" w:eastAsia="Arial" w:hAnsi="Arial"/>
          <w:sz w:val="22"/>
          <w:szCs w:val="22"/>
          <w:color w:val="auto"/>
        </w:rPr>
      </w:pPr>
    </w:p>
    <w:p>
      <w:pPr>
        <w:ind w:firstLine="1304"/>
        <w:spacing w:after="0" w:line="232" w:lineRule="auto"/>
        <w:tabs>
          <w:tab w:leader="none" w:pos="1939"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ROW Commercial Overhead FTEs</w:t>
      </w:r>
      <w:r>
        <w:rPr>
          <w:rFonts w:ascii="Arial" w:cs="Arial" w:eastAsia="Arial" w:hAnsi="Arial"/>
          <w:sz w:val="22"/>
          <w:szCs w:val="22"/>
          <w:color w:val="auto"/>
        </w:rPr>
        <w:t>” means, with respect to Regeneron and in Co-Commercialization Countries in the Rest of World, [* * *].</w:t>
      </w:r>
    </w:p>
    <w:p>
      <w:pPr>
        <w:spacing w:after="0" w:line="1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b w:val="1"/>
          <w:bCs w:val="1"/>
          <w:color w:val="auto"/>
        </w:rPr>
        <w:t>2.6. Data Sharing</w:t>
      </w:r>
      <w:r>
        <w:rPr>
          <w:rFonts w:ascii="Arial" w:cs="Arial" w:eastAsia="Arial" w:hAnsi="Arial"/>
          <w:sz w:val="19"/>
          <w:szCs w:val="19"/>
          <w:color w:val="auto"/>
        </w:rPr>
        <w:t>. Clinical databases and the available supportive Metadata Documents will be exchanged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studies conducted by a Party or its Affiliates pursuant to the REGN2810 Global Development Plan at the time of completion of interim or final KRM/CSRs. Similarly, integrated datasets arising from studies conducted by a Party or its Affiliates pursuant to the REGN2810 Global Development Plan used to support any marketing application will be exchanged at the time of completion of the Integrated Summary Reports; provided that, Sanofi shall provide Regeneron the opportunity to review and approve (such approval not to be unreasonably withheld) any submission to a Regulatory Authority or any proposed publication that contains data from such a database or any new analyses of such data that have not been previously filed. For purposes of this Section 2.6,</w:t>
      </w:r>
    </w:p>
    <w:p>
      <w:pPr>
        <w:jc w:val="both"/>
        <w:ind w:firstLine="8"/>
        <w:spacing w:after="0" w:line="258" w:lineRule="auto"/>
        <w:tabs>
          <w:tab w:leader="none" w:pos="294"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Metadata Document</w:t>
      </w:r>
      <w:r>
        <w:rPr>
          <w:rFonts w:ascii="Arial" w:cs="Arial" w:eastAsia="Arial" w:hAnsi="Arial"/>
          <w:sz w:val="19"/>
          <w:szCs w:val="19"/>
          <w:color w:val="auto"/>
        </w:rPr>
        <w:t>” means a data definition file that describes the format and content of the data sets. For clarity, in CDISC standards, which all submission datasets need to follow, the metadata are stored in a document called Define.XML. and (b) “</w:t>
      </w:r>
      <w:r>
        <w:rPr>
          <w:rFonts w:ascii="Arial" w:cs="Arial" w:eastAsia="Arial" w:hAnsi="Arial"/>
          <w:sz w:val="19"/>
          <w:szCs w:val="19"/>
          <w:u w:val="single" w:color="auto"/>
          <w:color w:val="auto"/>
        </w:rPr>
        <w:t>Integrated Summary Report</w:t>
      </w:r>
      <w:r>
        <w:rPr>
          <w:rFonts w:ascii="Arial" w:cs="Arial" w:eastAsia="Arial" w:hAnsi="Arial"/>
          <w:sz w:val="19"/>
          <w:szCs w:val="19"/>
          <w:color w:val="auto"/>
        </w:rPr>
        <w:t>” means the integrated summary of efficacy (ISE) and the integrated summary of safety (ISS).</w:t>
      </w:r>
    </w:p>
    <w:p>
      <w:pPr>
        <w:spacing w:after="0" w:line="135" w:lineRule="exact"/>
        <w:rPr>
          <w:sz w:val="20"/>
          <w:szCs w:val="20"/>
          <w:color w:val="auto"/>
        </w:rPr>
      </w:pPr>
    </w:p>
    <w:p>
      <w:pPr>
        <w:ind w:left="660" w:right="260" w:hanging="652"/>
        <w:spacing w:after="0" w:line="235" w:lineRule="auto"/>
        <w:tabs>
          <w:tab w:leader="none" w:pos="6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Acknowledgements and Agreements with respect to Timing of Approval of Global Commercialization Plans and Country/Region Commercialization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28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Section 6.2(a) of the IO LCA is hereby amended by deleting the third sentence of such section and replacing it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“Such Global Commercialization Plan for each subsequent Contract Year shall be amended by the JCC and approved by the IOSC prior to [* * *].”</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Section 6.2(b) of the IO LCA is hereby amended by deleting the third sentence of such section and replacing it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“Such U.S. Commercialization Plan for each subsequent Contract Year shall be amended by the JCC and approved by the IOSC prior to [* * *].”</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color w:val="auto"/>
        </w:rPr>
        <w:t>Section 6.2(c) of the IO LCA is hereby amended by deleting the third sentence of such section and replacing it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“Such ROW Commercialization Plan for each subsequent Contract Year shall be amended by the JCC and approved by the IOSC prior to [* * *].”</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3.4 </w:t>
      </w:r>
      <w:r>
        <w:rPr>
          <w:rFonts w:ascii="Arial" w:cs="Arial" w:eastAsia="Arial" w:hAnsi="Arial"/>
          <w:sz w:val="21"/>
          <w:szCs w:val="21"/>
          <w:color w:val="auto"/>
        </w:rPr>
        <w:t>Section 6.2(d) of the IO LCA is hereby amended by deleting the third sentence of such section and replacing it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“Such Country/Region Commercialization Plan for each subsequent Contract Year shall be amended by the applicable Country/Region Commercialization Committee, and approved by the JCC and the IOSC prior to [* * *].”</w:t>
      </w:r>
    </w:p>
    <w:p>
      <w:pPr>
        <w:spacing w:after="0" w:line="152"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4.1. Due Organization, Valid Existence and Due Authorization</w:t>
      </w:r>
      <w:r>
        <w:rPr>
          <w:rFonts w:ascii="Arial" w:cs="Arial" w:eastAsia="Arial" w:hAnsi="Arial"/>
          <w:sz w:val="22"/>
          <w:szCs w:val="22"/>
          <w:color w:val="auto"/>
        </w:rPr>
        <w:t>. Each Party represents and warrants to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as of the Effective Date, as follows: (a) it is duly organized and validly existing under the Laws of its jurisdiction of incorporation; (b) it has full corporate power and authority and has taken all corporate action necessary to enter into this First Amendment; (c) the execution of this First Amendment will not constitute a breach of, or conflict with, its organizational documents or any other agreement by which it is bound or requirement of applicable Laws or regulations; and (d) this First Amendment is its legal, valid and binding obligation, enforceable in accordance with the terms and conditions hereof (subject to applicable Laws of bankruptcy and moratorium).</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4.2. Miscellaneous</w:t>
      </w:r>
      <w:r>
        <w:rPr>
          <w:rFonts w:ascii="Arial" w:cs="Arial" w:eastAsia="Arial" w:hAnsi="Arial"/>
          <w:sz w:val="22"/>
          <w:szCs w:val="22"/>
          <w:color w:val="auto"/>
        </w:rPr>
        <w:t>. The provisions of Sections 20.1, 20.3, 20.5, 20.6, 20.7, 20.10, 20.11 and 20.16 of the IO LCA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this First Amendment as though set out in full in this First Amendment.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4.3. No Other Amendments</w:t>
      </w:r>
      <w:r>
        <w:rPr>
          <w:rFonts w:ascii="Arial" w:cs="Arial" w:eastAsia="Arial" w:hAnsi="Arial"/>
          <w:sz w:val="22"/>
          <w:szCs w:val="22"/>
          <w:color w:val="auto"/>
        </w:rPr>
        <w:t>. Except as expressly amended hereby, all of the terms and conditions of the IO LCA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in full force and effect.</w:t>
      </w:r>
    </w:p>
    <w:p>
      <w:pPr>
        <w:spacing w:after="0" w:line="159" w:lineRule="exact"/>
        <w:rPr>
          <w:sz w:val="20"/>
          <w:szCs w:val="20"/>
          <w:color w:val="auto"/>
        </w:rPr>
      </w:pPr>
    </w:p>
    <w:p>
      <w:pPr>
        <w:ind w:left="418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73" w:name="page174"/>
    <w:bookmarkEnd w:id="173"/>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Sanofi and Regeneron have caused this First Amendment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as of the Execution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SANOFI BIOTECHNOLOGY SAS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Alban de La Sablière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5995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0">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ind w:left="4360"/>
        <w:spacing w:after="0" w:line="204" w:lineRule="auto"/>
        <w:rPr>
          <w:sz w:val="20"/>
          <w:szCs w:val="20"/>
          <w:color w:val="auto"/>
        </w:rPr>
      </w:pPr>
      <w:r>
        <w:rPr>
          <w:rFonts w:ascii="Arial" w:cs="Arial" w:eastAsia="Arial" w:hAnsi="Arial"/>
          <w:sz w:val="22"/>
          <w:szCs w:val="22"/>
          <w:color w:val="auto"/>
        </w:rPr>
        <w:t>Name: Alban de La Sablière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Kerry Reinertsen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5157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1">
                      <a:extLst>
                        <a:ext uri="{28A0092B-C50C-407E-A947-70E740481C1C}"/>
                      </a:extLst>
                    </a:blip>
                    <a:srcRect/>
                    <a:stretch>
                      <a:fillRect/>
                    </a:stretch>
                  </pic:blipFill>
                  <pic:spPr bwMode="auto">
                    <a:xfrm>
                      <a:off x="0" y="0"/>
                      <a:ext cx="1515745" cy="8890"/>
                    </a:xfrm>
                    <a:prstGeom prst="rect">
                      <a:avLst/>
                    </a:prstGeom>
                    <a:noFill/>
                  </pic:spPr>
                </pic:pic>
              </a:graphicData>
            </a:graphic>
          </wp:anchor>
        </w:drawing>
      </w:r>
    </w:p>
    <w:p>
      <w:pPr>
        <w:ind w:left="4360"/>
        <w:spacing w:after="0" w:line="204"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19"/>
          <w:szCs w:val="19"/>
          <w:color w:val="auto"/>
        </w:rPr>
        <w:t>Kerry K. Reinertsen, Ph.D.</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color w:val="auto"/>
        </w:rPr>
        <w:t>Senior Vice President, Strategic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20"/>
        <w:spacing w:after="0"/>
        <w:rPr>
          <w:sz w:val="20"/>
          <w:szCs w:val="20"/>
          <w:color w:val="auto"/>
        </w:rPr>
      </w:pPr>
      <w:r>
        <w:rPr>
          <w:rFonts w:ascii="Arial" w:cs="Arial" w:eastAsia="Arial" w:hAnsi="Arial"/>
          <w:sz w:val="20"/>
          <w:szCs w:val="20"/>
          <w:i w:val="1"/>
          <w:iCs w:val="1"/>
          <w:color w:val="auto"/>
        </w:rPr>
        <w:t>[Signature Page to First Amendment to Immuno-Oncology License and Collaboration Agreement]</w:t>
      </w:r>
    </w:p>
    <w:p>
      <w:pPr>
        <w:sectPr>
          <w:pgSz w:w="11900" w:h="16838" w:orient="portrait"/>
          <w:cols w:equalWidth="0" w:num="1">
            <w:col w:w="10640"/>
          </w:cols>
          <w:pgMar w:left="320" w:top="1395" w:right="9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Exhibit 10.25.1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Amended and Restated Participation Agreement</w:t>
      </w:r>
    </w:p>
    <w:p>
      <w:pPr>
        <w:spacing w:after="0" w:line="25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This First Amendment to Amended and Restated Participation Agreement, dated as of October 6, 2021 (this “</w:t>
      </w:r>
      <w:r>
        <w:rPr>
          <w:rFonts w:ascii="Arial" w:cs="Arial" w:eastAsia="Arial" w:hAnsi="Arial"/>
          <w:sz w:val="21"/>
          <w:szCs w:val="21"/>
          <w:i w:val="1"/>
          <w:iCs w:val="1"/>
          <w:color w:val="auto"/>
        </w:rPr>
        <w:t>Amendment</w:t>
      </w:r>
      <w:r>
        <w:rPr>
          <w:rFonts w:ascii="Arial" w:cs="Arial" w:eastAsia="Arial" w:hAnsi="Arial"/>
          <w:sz w:val="21"/>
          <w:szCs w:val="21"/>
          <w:color w:val="auto"/>
        </w:rPr>
        <w:t xml:space="preserve">”), is by and among Old Saw Mill Holdings LLC, a New York limited liability company, as Lessee (together with its successors and permitted assigns, in its capacity as Lessee, </w:t>
      </w:r>
      <w:r>
        <w:rPr>
          <w:rFonts w:ascii="Arial" w:cs="Arial" w:eastAsia="Arial" w:hAnsi="Arial"/>
          <w:sz w:val="21"/>
          <w:szCs w:val="21"/>
          <w:i w:val="1"/>
          <w:iCs w:val="1"/>
          <w:color w:val="auto"/>
        </w:rPr>
        <w:t>“Lessee”</w:t>
      </w:r>
      <w:r>
        <w:rPr>
          <w:rFonts w:ascii="Arial" w:cs="Arial" w:eastAsia="Arial" w:hAnsi="Arial"/>
          <w:sz w:val="21"/>
          <w:szCs w:val="21"/>
          <w:color w:val="auto"/>
        </w:rPr>
        <w:t>); Regeneron Pharmaceuticals, Inc., a New York corporation, as Parent Guarantor (“</w:t>
      </w:r>
      <w:r>
        <w:rPr>
          <w:rFonts w:ascii="Arial" w:cs="Arial" w:eastAsia="Arial" w:hAnsi="Arial"/>
          <w:sz w:val="21"/>
          <w:szCs w:val="21"/>
          <w:i w:val="1"/>
          <w:iCs w:val="1"/>
          <w:color w:val="auto"/>
        </w:rPr>
        <w:t>Parent Guarantor</w:t>
      </w:r>
      <w:r>
        <w:rPr>
          <w:rFonts w:ascii="Arial" w:cs="Arial" w:eastAsia="Arial" w:hAnsi="Arial"/>
          <w:sz w:val="21"/>
          <w:szCs w:val="21"/>
          <w:color w:val="auto"/>
        </w:rPr>
        <w:t xml:space="preserve"> ”); each of the undersigned other Subsidiaries (as hereinafter defined) of Parent Guarantor (such Subsidiaries (other than the Lessee), collectively, the “</w:t>
      </w:r>
      <w:r>
        <w:rPr>
          <w:rFonts w:ascii="Arial" w:cs="Arial" w:eastAsia="Arial" w:hAnsi="Arial"/>
          <w:sz w:val="21"/>
          <w:szCs w:val="21"/>
          <w:i w:val="1"/>
          <w:iCs w:val="1"/>
          <w:color w:val="auto"/>
        </w:rPr>
        <w:t>Subsidiary Guarantors</w:t>
      </w:r>
      <w:r>
        <w:rPr>
          <w:rFonts w:ascii="Arial" w:cs="Arial" w:eastAsia="Arial" w:hAnsi="Arial"/>
          <w:sz w:val="21"/>
          <w:szCs w:val="21"/>
          <w:color w:val="auto"/>
        </w:rPr>
        <w:t>”, and together with Parent Guarantor, collectively, the “</w:t>
      </w:r>
      <w:r>
        <w:rPr>
          <w:rFonts w:ascii="Arial" w:cs="Arial" w:eastAsia="Arial" w:hAnsi="Arial"/>
          <w:sz w:val="21"/>
          <w:szCs w:val="21"/>
          <w:i w:val="1"/>
          <w:iCs w:val="1"/>
          <w:color w:val="auto"/>
        </w:rPr>
        <w:t>Guarantors</w:t>
      </w:r>
      <w:r>
        <w:rPr>
          <w:rFonts w:ascii="Arial" w:cs="Arial" w:eastAsia="Arial" w:hAnsi="Arial"/>
          <w:sz w:val="21"/>
          <w:szCs w:val="21"/>
          <w:color w:val="auto"/>
        </w:rPr>
        <w:t xml:space="preserve">”); BA Leasing BSC, LLC, a Delaware limited liability company, as Lessor (together with its successors and permitted assigns, in its capacity as Lessor, </w:t>
      </w:r>
      <w:r>
        <w:rPr>
          <w:rFonts w:ascii="Arial" w:cs="Arial" w:eastAsia="Arial" w:hAnsi="Arial"/>
          <w:sz w:val="21"/>
          <w:szCs w:val="21"/>
          <w:i w:val="1"/>
          <w:iCs w:val="1"/>
          <w:color w:val="auto"/>
        </w:rPr>
        <w:t>“Lessor”</w:t>
      </w:r>
      <w:r>
        <w:rPr>
          <w:rFonts w:ascii="Arial" w:cs="Arial" w:eastAsia="Arial" w:hAnsi="Arial"/>
          <w:sz w:val="21"/>
          <w:szCs w:val="21"/>
          <w:color w:val="auto"/>
        </w:rPr>
        <w:t xml:space="preserve">); Bank of America, N.A., not in its individual capacity, except as expressly stated herein, but solely as Administrative Agent (together with its successors and permitted assigns, in its capacity as Administrative Agent,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xml:space="preserve">); and the financial institutions listed on the signature pages hereto as Lenders (together with their permitted successors and assigns, each as a Lender under the Loan Agreement, a </w:t>
      </w:r>
      <w:r>
        <w:rPr>
          <w:rFonts w:ascii="Arial" w:cs="Arial" w:eastAsia="Arial" w:hAnsi="Arial"/>
          <w:sz w:val="21"/>
          <w:szCs w:val="21"/>
          <w:i w:val="1"/>
          <w:iCs w:val="1"/>
          <w:color w:val="auto"/>
        </w:rPr>
        <w:t>“Lender”,</w:t>
      </w:r>
      <w:r>
        <w:rPr>
          <w:rFonts w:ascii="Arial" w:cs="Arial" w:eastAsia="Arial" w:hAnsi="Arial"/>
          <w:sz w:val="21"/>
          <w:szCs w:val="21"/>
          <w:color w:val="auto"/>
        </w:rPr>
        <w:t xml:space="preserve"> and collectively, </w:t>
      </w:r>
      <w:r>
        <w:rPr>
          <w:rFonts w:ascii="Arial" w:cs="Arial" w:eastAsia="Arial" w:hAnsi="Arial"/>
          <w:sz w:val="21"/>
          <w:szCs w:val="21"/>
          <w:i w:val="1"/>
          <w:iCs w:val="1"/>
          <w:color w:val="auto"/>
        </w:rPr>
        <w:t>“Lenders”</w:t>
      </w:r>
      <w:r>
        <w:rPr>
          <w:rFonts w:ascii="Arial" w:cs="Arial" w:eastAsia="Arial" w:hAnsi="Arial"/>
          <w:sz w:val="21"/>
          <w:szCs w:val="21"/>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5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Whereas, (a) Lessee, Lessor, the Administrative Agent and the financial institutions listed on Schedule II thereto are parties to that certain Amended and Restated Participation Agreement, dated as of May 2, 2019 (as amended, restated, modified and/or otherwise supplemented from time to time, the “</w:t>
      </w:r>
      <w:r>
        <w:rPr>
          <w:rFonts w:ascii="Arial" w:cs="Arial" w:eastAsia="Arial" w:hAnsi="Arial"/>
          <w:sz w:val="22"/>
          <w:szCs w:val="22"/>
          <w:i w:val="1"/>
          <w:iCs w:val="1"/>
          <w:color w:val="auto"/>
        </w:rPr>
        <w:t>Participation Agreement</w:t>
      </w:r>
      <w:r>
        <w:rPr>
          <w:rFonts w:ascii="Arial" w:cs="Arial" w:eastAsia="Arial" w:hAnsi="Arial"/>
          <w:sz w:val="22"/>
          <w:szCs w:val="22"/>
          <w:color w:val="auto"/>
        </w:rPr>
        <w:t>”), (b) Lessee and Lessor are parties to that certain Amended and Restated Lease and Remedies Agreement, dated as of May 2, 2019 (as amended, restated, modified and/or otherwise supplemented from time to time, the “</w:t>
      </w:r>
      <w:r>
        <w:rPr>
          <w:rFonts w:ascii="Arial" w:cs="Arial" w:eastAsia="Arial" w:hAnsi="Arial"/>
          <w:sz w:val="22"/>
          <w:szCs w:val="22"/>
          <w:i w:val="1"/>
          <w:iCs w:val="1"/>
          <w:color w:val="auto"/>
        </w:rPr>
        <w:t>Lease</w:t>
      </w:r>
      <w:r>
        <w:rPr>
          <w:rFonts w:ascii="Arial" w:cs="Arial" w:eastAsia="Arial" w:hAnsi="Arial"/>
          <w:sz w:val="22"/>
          <w:szCs w:val="22"/>
          <w:color w:val="auto"/>
        </w:rPr>
        <w:t>”) and (c) the Guarantors are parties to that certain Amended and Restated Guaranty, dated as of May 2, 2019 (as amended, restated, modified and/or otherwise supplemented from time to time, the “</w:t>
      </w:r>
      <w:r>
        <w:rPr>
          <w:rFonts w:ascii="Arial" w:cs="Arial" w:eastAsia="Arial" w:hAnsi="Arial"/>
          <w:sz w:val="22"/>
          <w:szCs w:val="22"/>
          <w:i w:val="1"/>
          <w:iCs w:val="1"/>
          <w:color w:val="auto"/>
        </w:rPr>
        <w:t>Guaranty</w:t>
      </w:r>
      <w:r>
        <w:rPr>
          <w:rFonts w:ascii="Arial" w:cs="Arial" w:eastAsia="Arial" w:hAnsi="Arial"/>
          <w:sz w:val="22"/>
          <w:szCs w:val="22"/>
          <w:color w:val="auto"/>
        </w:rPr>
        <w:t>”);</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pursuant to that certain Renewal Option Request, dated as of September 1, 2021, from Lessee addressed to Lessor and the Administrative Agent, Lessee requested that the Lessor and each Participant renew the Term of the Lease for an additional 5-year period commencing on the last day of the Base Term;</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pursuant to Section 4.7 of the Participation Agreement (as in effect immediately prior to the effectiveness of this Amendment), each Participant is to notify the Administrative Agent in writing of whether or not it has consented to such Renewal Option Request not later than forty-five (45) days from the date on which the Administrative Agent receives the Renewal Option Request (the “</w:t>
      </w:r>
      <w:r>
        <w:rPr>
          <w:rFonts w:ascii="Arial" w:cs="Arial" w:eastAsia="Arial" w:hAnsi="Arial"/>
          <w:sz w:val="22"/>
          <w:szCs w:val="22"/>
          <w:i w:val="1"/>
          <w:iCs w:val="1"/>
          <w:color w:val="auto"/>
        </w:rPr>
        <w:t>Original Renewal Option Response Date</w:t>
      </w:r>
      <w:r>
        <w:rPr>
          <w:rFonts w:ascii="Arial" w:cs="Arial" w:eastAsia="Arial" w:hAnsi="Arial"/>
          <w:sz w:val="22"/>
          <w:szCs w:val="22"/>
          <w:color w:val="auto"/>
        </w:rPr>
        <w:t>”); and</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Lessee, the Administrative Agent and the Participants have agreed to extend the Original Renewal Option Response Date to be seventy-five (75) days from the date on which the Administrative Agent received the Renewal Option Request, on the terms and conditions set forth in this Amendment.</w:t>
      </w:r>
    </w:p>
    <w:p>
      <w:pPr>
        <w:sectPr>
          <w:pgSz w:w="11900" w:h="16838" w:orient="portrait"/>
          <w:cols w:equalWidth="0" w:num="1">
            <w:col w:w="11240"/>
          </w:cols>
          <w:pgMar w:left="320" w:top="125" w:right="339" w:bottom="1440" w:gutter="0" w:footer="0" w:header="0"/>
        </w:sectPr>
      </w:pPr>
    </w:p>
    <w:bookmarkStart w:id="175" w:name="page176"/>
    <w:bookmarkEnd w:id="175"/>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it is hereby agreed by and among the parties hereto as follows:</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Section 1. Definitions; Incorporation of Recitals</w:t>
      </w:r>
      <w:r>
        <w:rPr>
          <w:rFonts w:ascii="Arial" w:cs="Arial" w:eastAsia="Arial" w:hAnsi="Arial"/>
          <w:sz w:val="22"/>
          <w:szCs w:val="22"/>
          <w:color w:val="auto"/>
        </w:rPr>
        <w:t>. Each capitalized term used but not otherwise defined herein has the</w:t>
      </w:r>
      <w:r>
        <w:rPr>
          <w:rFonts w:ascii="Arial" w:cs="Arial" w:eastAsia="Arial" w:hAnsi="Arial"/>
          <w:sz w:val="22"/>
          <w:szCs w:val="22"/>
          <w:i w:val="1"/>
          <w:iCs w:val="1"/>
          <w:color w:val="auto"/>
        </w:rPr>
        <w:t xml:space="preserve"> </w:t>
      </w:r>
      <w:r>
        <w:rPr>
          <w:rFonts w:ascii="Arial" w:cs="Arial" w:eastAsia="Arial" w:hAnsi="Arial"/>
          <w:sz w:val="22"/>
          <w:szCs w:val="22"/>
          <w:color w:val="auto"/>
        </w:rPr>
        <w:t>meaning assigned to it in Appendix 1 to the Participation Agreement. Any reference herein to any Operative Document or to any other defined term shall mean and be a reference to such Operative Document or to such other defined term as set forth in the Participation Agreement and such Operative Document, as applicable. Each reference in this Amendment to the Operative Documents, or to any individual Operative Document, shall mean the Operative Documents or such individual Operative Document, in each case, as amended or otherwise modified by this Amendment. All of the Recitals to this Amendment, including the terms defined therein, are hereby made a part of the agreements contained herein as if fully set forth herein. This Amendment shall be an Operative Document.</w:t>
      </w:r>
    </w:p>
    <w:p>
      <w:pPr>
        <w:spacing w:after="0" w:line="22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Amendment to the Participation Agreement</w:t>
      </w:r>
      <w:r>
        <w:rPr>
          <w:rFonts w:ascii="Arial" w:cs="Arial" w:eastAsia="Arial" w:hAnsi="Arial"/>
          <w:sz w:val="19"/>
          <w:szCs w:val="19"/>
          <w:color w:val="auto"/>
        </w:rPr>
        <w:t>. From and after the effectiveness of this Amendment, each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Lessee and the Participants hereby agree that:</w:t>
      </w:r>
    </w:p>
    <w:p>
      <w:pPr>
        <w:spacing w:after="0" w:line="229" w:lineRule="exact"/>
        <w:rPr>
          <w:sz w:val="20"/>
          <w:szCs w:val="20"/>
          <w:color w:val="auto"/>
        </w:rPr>
      </w:pPr>
    </w:p>
    <w:p>
      <w:pPr>
        <w:jc w:val="both"/>
        <w:ind w:firstLine="656"/>
        <w:spacing w:after="0"/>
        <w:tabs>
          <w:tab w:leader="none" w:pos="1238"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Section 4.7(a) of the Participation Agreement and the definition of “Renewal Option Response Date” set forth in such Section are hereby amended by deleting the reference therein to “forty-five (45) days” and replacing it with a reference to “seventy-five (75) days”.</w:t>
      </w:r>
    </w:p>
    <w:p>
      <w:pPr>
        <w:spacing w:after="0" w:line="213" w:lineRule="exact"/>
        <w:rPr>
          <w:rFonts w:ascii="Arial" w:cs="Arial" w:eastAsia="Arial" w:hAnsi="Arial"/>
          <w:sz w:val="22"/>
          <w:szCs w:val="22"/>
          <w:color w:val="auto"/>
        </w:rPr>
      </w:pPr>
    </w:p>
    <w:p>
      <w:pPr>
        <w:ind w:firstLine="656"/>
        <w:spacing w:after="0" w:line="215" w:lineRule="auto"/>
        <w:tabs>
          <w:tab w:leader="none" w:pos="113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fifth (5</w:t>
      </w:r>
      <w:r>
        <w:rPr>
          <w:rFonts w:ascii="Arial" w:cs="Arial" w:eastAsia="Arial" w:hAnsi="Arial"/>
          <w:sz w:val="28"/>
          <w:szCs w:val="28"/>
          <w:color w:val="auto"/>
          <w:vertAlign w:val="superscript"/>
        </w:rPr>
        <w:t>th</w:t>
      </w:r>
      <w:r>
        <w:rPr>
          <w:rFonts w:ascii="Arial" w:cs="Arial" w:eastAsia="Arial" w:hAnsi="Arial"/>
          <w:sz w:val="22"/>
          <w:szCs w:val="22"/>
          <w:color w:val="auto"/>
        </w:rPr>
        <w:t>) sentence of Section 4.7(a) of the Participation Agreement is hereby amended by adding a reference to “, subject to Section 4.7(c) hereof” immediately prior to the period at the end of such sentence.</w:t>
      </w:r>
    </w:p>
    <w:p>
      <w:pPr>
        <w:spacing w:after="0" w:line="22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Representations.</w:t>
      </w:r>
    </w:p>
    <w:p>
      <w:pPr>
        <w:spacing w:after="0" w:line="247" w:lineRule="exact"/>
        <w:rPr>
          <w:sz w:val="20"/>
          <w:szCs w:val="20"/>
          <w:color w:val="auto"/>
        </w:rPr>
      </w:pPr>
    </w:p>
    <w:p>
      <w:pPr>
        <w:ind w:firstLine="656"/>
        <w:spacing w:after="0" w:line="274" w:lineRule="auto"/>
        <w:tabs>
          <w:tab w:leader="none" w:pos="1216" w:val="left"/>
        </w:tabs>
        <w:numPr>
          <w:ilvl w:val="0"/>
          <w:numId w:val="88"/>
        </w:numPr>
        <w:rPr>
          <w:rFonts w:ascii="Arial" w:cs="Arial" w:eastAsia="Arial" w:hAnsi="Arial"/>
          <w:sz w:val="21"/>
          <w:szCs w:val="21"/>
          <w:color w:val="auto"/>
        </w:rPr>
      </w:pPr>
      <w:r>
        <w:rPr>
          <w:rFonts w:ascii="Arial" w:cs="Arial" w:eastAsia="Arial" w:hAnsi="Arial"/>
          <w:sz w:val="21"/>
          <w:szCs w:val="21"/>
          <w:color w:val="auto"/>
        </w:rPr>
        <w:t>Lessee by its execution of this Amendment hereby represents and warrants, as of the date hereof and as of the effectiveness of this Amendment, that no Event of Default or Event of Loss has occurred and is continuing.</w:t>
      </w:r>
    </w:p>
    <w:p>
      <w:pPr>
        <w:spacing w:after="0" w:line="177" w:lineRule="exact"/>
        <w:rPr>
          <w:rFonts w:ascii="Arial" w:cs="Arial" w:eastAsia="Arial" w:hAnsi="Arial"/>
          <w:sz w:val="21"/>
          <w:szCs w:val="21"/>
          <w:color w:val="auto"/>
        </w:rPr>
      </w:pPr>
    </w:p>
    <w:p>
      <w:pPr>
        <w:jc w:val="both"/>
        <w:ind w:firstLine="656"/>
        <w:spacing w:after="0" w:line="277" w:lineRule="auto"/>
        <w:tabs>
          <w:tab w:leader="none" w:pos="12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Each of the Lessee and the Guarantors, by such Person’s execution of this Amendment, hereby represents and warrants that this Amendment (x) is within such Person’s organizational powers and has been duly authorized by all necessary organizational actions and, if required, actions by equity holders of such Person; (y) has been duly executed and delivered by such Person and (z) constitutes a legal, valid and binding obligation of such Person, enforceable against such Person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3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i w:val="1"/>
          <w:iCs w:val="1"/>
          <w:color w:val="auto"/>
        </w:rPr>
        <w:t xml:space="preserve">Section 4. Closing Conditions. </w:t>
      </w:r>
      <w:r>
        <w:rPr>
          <w:rFonts w:ascii="Arial" w:cs="Arial" w:eastAsia="Arial" w:hAnsi="Arial"/>
          <w:sz w:val="22"/>
          <w:szCs w:val="22"/>
          <w:color w:val="auto"/>
        </w:rPr>
        <w:t>The effectiveness of this Amendment is conditioned upon the satisfaction or waiver of all</w:t>
      </w:r>
      <w:r>
        <w:rPr>
          <w:rFonts w:ascii="Arial" w:cs="Arial" w:eastAsia="Arial" w:hAnsi="Arial"/>
          <w:sz w:val="22"/>
          <w:szCs w:val="22"/>
          <w:i w:val="1"/>
          <w:iCs w:val="1"/>
          <w:color w:val="auto"/>
        </w:rPr>
        <w:t xml:space="preserve"> </w:t>
      </w:r>
      <w:r>
        <w:rPr>
          <w:rFonts w:ascii="Arial" w:cs="Arial" w:eastAsia="Arial" w:hAnsi="Arial"/>
          <w:sz w:val="22"/>
          <w:szCs w:val="22"/>
          <w:color w:val="auto"/>
        </w:rPr>
        <w:t>of the conditions precedent set forth in this Section 4:</w:t>
      </w:r>
    </w:p>
    <w:p>
      <w:pPr>
        <w:spacing w:after="0" w:line="202" w:lineRule="exact"/>
        <w:rPr>
          <w:sz w:val="20"/>
          <w:szCs w:val="20"/>
          <w:color w:val="auto"/>
        </w:rPr>
      </w:pPr>
    </w:p>
    <w:p>
      <w:pPr>
        <w:ind w:left="660" w:firstLine="644"/>
        <w:spacing w:after="0" w:line="250" w:lineRule="auto"/>
        <w:tabs>
          <w:tab w:leader="none" w:pos="183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Administrative Agent shall have received executed counterparts of this Amendment from Lessee, each Guarantor, and each Participant;</w:t>
      </w:r>
    </w:p>
    <w:p>
      <w:pPr>
        <w:spacing w:after="0" w:line="215" w:lineRule="exact"/>
        <w:rPr>
          <w:rFonts w:ascii="Arial" w:cs="Arial" w:eastAsia="Arial" w:hAnsi="Arial"/>
          <w:sz w:val="22"/>
          <w:szCs w:val="22"/>
          <w:color w:val="auto"/>
        </w:rPr>
      </w:pPr>
    </w:p>
    <w:p>
      <w:pPr>
        <w:ind w:left="1780" w:hanging="476"/>
        <w:spacing w:after="0"/>
        <w:tabs>
          <w:tab w:leader="none" w:pos="17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 Event of Default or Event of Loss has occurred and is continuing; and</w:t>
      </w:r>
    </w:p>
    <w:p>
      <w:pPr>
        <w:spacing w:after="0" w:line="246" w:lineRule="exact"/>
        <w:rPr>
          <w:rFonts w:ascii="Arial" w:cs="Arial" w:eastAsia="Arial" w:hAnsi="Arial"/>
          <w:sz w:val="22"/>
          <w:szCs w:val="22"/>
          <w:color w:val="auto"/>
        </w:rPr>
      </w:pPr>
    </w:p>
    <w:p>
      <w:pPr>
        <w:ind w:left="1760" w:hanging="456"/>
        <w:spacing w:after="0"/>
        <w:tabs>
          <w:tab w:leader="none" w:pos="1760" w:val="left"/>
        </w:tabs>
        <w:numPr>
          <w:ilvl w:val="0"/>
          <w:numId w:val="89"/>
        </w:numPr>
        <w:rPr>
          <w:rFonts w:ascii="Arial" w:cs="Arial" w:eastAsia="Arial" w:hAnsi="Arial"/>
          <w:sz w:val="21"/>
          <w:szCs w:val="21"/>
          <w:color w:val="auto"/>
        </w:rPr>
      </w:pPr>
      <w:r>
        <w:rPr>
          <w:rFonts w:ascii="Arial" w:cs="Arial" w:eastAsia="Arial" w:hAnsi="Arial"/>
          <w:sz w:val="21"/>
          <w:szCs w:val="21"/>
          <w:color w:val="auto"/>
        </w:rPr>
        <w:t>Lessee’s representations set forth in Section 3 shall be true and correct on and as of the date hereof.</w:t>
      </w:r>
    </w:p>
    <w:p>
      <w:pPr>
        <w:spacing w:after="0" w:line="2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i w:val="1"/>
          <w:iCs w:val="1"/>
          <w:color w:val="auto"/>
        </w:rPr>
        <w:t xml:space="preserve">Section 5. Guarantor Reaffirmation. </w:t>
      </w:r>
      <w:r>
        <w:rPr>
          <w:rFonts w:ascii="Arial" w:cs="Arial" w:eastAsia="Arial" w:hAnsi="Arial"/>
          <w:sz w:val="21"/>
          <w:szCs w:val="21"/>
          <w:color w:val="auto"/>
        </w:rPr>
        <w:t>Each Guarantor, by its execution of this Amendment, hereby reaffirms its</w:t>
      </w:r>
      <w:r>
        <w:rPr>
          <w:rFonts w:ascii="Arial" w:cs="Arial" w:eastAsia="Arial" w:hAnsi="Arial"/>
          <w:sz w:val="21"/>
          <w:szCs w:val="21"/>
          <w:i w:val="1"/>
          <w:iCs w:val="1"/>
          <w:color w:val="auto"/>
        </w:rPr>
        <w:t xml:space="preserve"> </w:t>
      </w:r>
      <w:r>
        <w:rPr>
          <w:rFonts w:ascii="Arial" w:cs="Arial" w:eastAsia="Arial" w:hAnsi="Arial"/>
          <w:sz w:val="21"/>
          <w:szCs w:val="21"/>
          <w:color w:val="auto"/>
        </w:rPr>
        <w:t>respective obligations under the Guaranty, which are continuing in all respects on the terms set forth in the Guaranty.</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Section 6. Further Assurances </w:t>
      </w:r>
      <w:r>
        <w:rPr>
          <w:rFonts w:ascii="Arial" w:cs="Arial" w:eastAsia="Arial" w:hAnsi="Arial"/>
          <w:sz w:val="22"/>
          <w:szCs w:val="22"/>
          <w:color w:val="auto"/>
        </w:rPr>
        <w:t>. Each of the parties hereto hereby agrees to execute any and all further documents,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instruments and take all further action that may be reasonably requested or be required by law or otherwise, necessary to give effect to this Amendment.</w:t>
      </w:r>
    </w:p>
    <w:p>
      <w:pPr>
        <w:spacing w:after="0" w:line="22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i w:val="1"/>
          <w:iCs w:val="1"/>
          <w:color w:val="auto"/>
        </w:rPr>
        <w:t>Section 7.</w:t>
      </w:r>
      <w:r>
        <w:rPr>
          <w:sz w:val="20"/>
          <w:szCs w:val="20"/>
          <w:color w:val="auto"/>
        </w:rPr>
        <w:tab/>
      </w:r>
      <w:r>
        <w:rPr>
          <w:rFonts w:ascii="Arial" w:cs="Arial" w:eastAsia="Arial" w:hAnsi="Arial"/>
          <w:sz w:val="19"/>
          <w:szCs w:val="19"/>
          <w:i w:val="1"/>
          <w:iCs w:val="1"/>
          <w:color w:val="auto"/>
        </w:rPr>
        <w:t>Miscellaneous.</w:t>
      </w:r>
    </w:p>
    <w:p>
      <w:pPr>
        <w:spacing w:after="0" w:line="233" w:lineRule="exact"/>
        <w:rPr>
          <w:sz w:val="20"/>
          <w:szCs w:val="20"/>
          <w:color w:val="auto"/>
        </w:rPr>
      </w:pPr>
    </w:p>
    <w:p>
      <w:pPr>
        <w:jc w:val="both"/>
        <w:ind w:firstLine="656"/>
        <w:spacing w:after="0" w:line="252" w:lineRule="auto"/>
        <w:tabs>
          <w:tab w:leader="none" w:pos="1117" w:val="left"/>
        </w:tabs>
        <w:numPr>
          <w:ilvl w:val="0"/>
          <w:numId w:val="90"/>
        </w:numPr>
        <w:rPr>
          <w:rFonts w:ascii="Arial" w:cs="Arial" w:eastAsia="Arial" w:hAnsi="Arial"/>
          <w:sz w:val="21"/>
          <w:szCs w:val="21"/>
          <w:color w:val="auto"/>
        </w:rPr>
      </w:pPr>
      <w:r>
        <w:rPr>
          <w:rFonts w:ascii="Arial" w:cs="Arial" w:eastAsia="Arial" w:hAnsi="Arial"/>
          <w:sz w:val="21"/>
          <w:szCs w:val="21"/>
          <w:color w:val="auto"/>
        </w:rPr>
        <w:t>Lessee hereby agrees to pay all reasonable and documented out-of-pocket costs and expenses (limited, in the case of legal fees, to reasonable and documented legal fees and expenses of special counsel to Administrative Agent and Lessor) actually incurred by Lessor in connection with the negotiation, preparation, execution and delivery of this Amendment and any other documents, instruments and agreements in connection therewith.</w:t>
      </w:r>
    </w:p>
    <w:p>
      <w:pPr>
        <w:spacing w:after="0" w:line="214" w:lineRule="exact"/>
        <w:rPr>
          <w:rFonts w:ascii="Arial" w:cs="Arial" w:eastAsia="Arial" w:hAnsi="Arial"/>
          <w:sz w:val="21"/>
          <w:szCs w:val="21"/>
          <w:color w:val="auto"/>
        </w:rPr>
      </w:pPr>
    </w:p>
    <w:p>
      <w:pPr>
        <w:jc w:val="both"/>
        <w:ind w:right="20" w:firstLine="656"/>
        <w:spacing w:after="0"/>
        <w:tabs>
          <w:tab w:leader="none" w:pos="115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This Amendment shall in all respects be governed by the internal law of the State of New York as to all matters of construction, validity and performance, without regard to conflicts of law principles, except Title 14 of Article 5 of the New York general obligations law.</w:t>
      </w:r>
    </w:p>
    <w:p>
      <w:pPr>
        <w:spacing w:after="0" w:line="226" w:lineRule="exact"/>
        <w:rPr>
          <w:rFonts w:ascii="Arial" w:cs="Arial" w:eastAsia="Arial" w:hAnsi="Arial"/>
          <w:sz w:val="22"/>
          <w:szCs w:val="22"/>
          <w:color w:val="auto"/>
        </w:rPr>
      </w:pPr>
    </w:p>
    <w:p>
      <w:pPr>
        <w:ind w:firstLine="656"/>
        <w:spacing w:after="0" w:line="250" w:lineRule="auto"/>
        <w:tabs>
          <w:tab w:leader="none" w:pos="1172"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Sections 15.12 (Submission to Jurisdiction) and 15.13 (Waiver of Jury Trial) of the Participation Agreement shall apply hereto, </w:t>
      </w:r>
      <w:r>
        <w:rPr>
          <w:rFonts w:ascii="Arial" w:cs="Arial" w:eastAsia="Arial" w:hAnsi="Arial"/>
          <w:sz w:val="22"/>
          <w:szCs w:val="22"/>
          <w:i w:val="1"/>
          <w:iCs w:val="1"/>
          <w:color w:val="auto"/>
        </w:rPr>
        <w:t>mutatis mutandis</w:t>
      </w:r>
      <w:r>
        <w:rPr>
          <w:rFonts w:ascii="Arial" w:cs="Arial" w:eastAsia="Arial" w:hAnsi="Arial"/>
          <w:sz w:val="22"/>
          <w:szCs w:val="22"/>
          <w:color w:val="auto"/>
        </w:rPr>
        <w:t>, and are hereby incorporated herein as if set forth herein.</w:t>
      </w:r>
    </w:p>
    <w:p>
      <w:pPr>
        <w:spacing w:after="0" w:line="201" w:lineRule="exact"/>
        <w:rPr>
          <w:rFonts w:ascii="Arial" w:cs="Arial" w:eastAsia="Arial" w:hAnsi="Arial"/>
          <w:sz w:val="22"/>
          <w:szCs w:val="22"/>
          <w:color w:val="auto"/>
        </w:rPr>
      </w:pPr>
    </w:p>
    <w:p>
      <w:pPr>
        <w:ind w:firstLine="656"/>
        <w:spacing w:after="0" w:line="250" w:lineRule="auto"/>
        <w:tabs>
          <w:tab w:leader="none" w:pos="1139"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This Amendment shall be binding upon and inure to the benefit of the parties hereto and their respective successors and permitted assigns.</w:t>
      </w:r>
    </w:p>
    <w:p>
      <w:pPr>
        <w:spacing w:after="0" w:line="215" w:lineRule="exact"/>
        <w:rPr>
          <w:rFonts w:ascii="Arial" w:cs="Arial" w:eastAsia="Arial" w:hAnsi="Arial"/>
          <w:sz w:val="22"/>
          <w:szCs w:val="22"/>
          <w:color w:val="auto"/>
        </w:rPr>
      </w:pPr>
    </w:p>
    <w:p>
      <w:pPr>
        <w:ind w:right="20" w:firstLine="656"/>
        <w:spacing w:after="0" w:line="250" w:lineRule="auto"/>
        <w:tabs>
          <w:tab w:leader="none" w:pos="1266" w:val="left"/>
        </w:tabs>
        <w:numPr>
          <w:ilvl w:val="0"/>
          <w:numId w:val="90"/>
        </w:numPr>
        <w:rPr>
          <w:rFonts w:ascii="Arial" w:cs="Arial" w:eastAsia="Arial" w:hAnsi="Arial"/>
          <w:sz w:val="22"/>
          <w:szCs w:val="22"/>
          <w:color w:val="auto"/>
        </w:rPr>
      </w:pPr>
      <w:r>
        <w:rPr>
          <w:rFonts w:ascii="Arial" w:cs="Arial" w:eastAsia="Arial" w:hAnsi="Arial"/>
          <w:sz w:val="22"/>
          <w:szCs w:val="22"/>
          <w:color w:val="auto"/>
        </w:rPr>
        <w:t>Section headings in this Amendment are included for convenience of reference only and are not part of this Amendment for any other purpose.</w:t>
      </w:r>
    </w:p>
    <w:p>
      <w:pPr>
        <w:spacing w:after="0" w:line="215" w:lineRule="exact"/>
        <w:rPr>
          <w:rFonts w:ascii="Arial" w:cs="Arial" w:eastAsia="Arial" w:hAnsi="Arial"/>
          <w:sz w:val="22"/>
          <w:szCs w:val="22"/>
          <w:color w:val="auto"/>
        </w:rPr>
      </w:pPr>
    </w:p>
    <w:p>
      <w:pPr>
        <w:jc w:val="both"/>
        <w:ind w:firstLine="656"/>
        <w:spacing w:after="0" w:line="238" w:lineRule="auto"/>
        <w:tabs>
          <w:tab w:leader="none" w:pos="11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Each Participant, by its execution of this Amendment, hereby consents and agrees to the matters set forth herein, requests and directs the Administrative Agent to execute, deliver and perform this Amendment and any other documents, agreements and instruments and take all further action that may be reasonably requested or be required by law or otherwise,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give effect to this Amendment and to take any and all actions as may be necessary or convenient to effect the transactions contemplated hereby and/or thereby.</w:t>
      </w:r>
    </w:p>
    <w:p>
      <w:pPr>
        <w:spacing w:after="0" w:line="202" w:lineRule="exact"/>
        <w:rPr>
          <w:sz w:val="20"/>
          <w:szCs w:val="20"/>
          <w:color w:val="auto"/>
        </w:rPr>
      </w:pPr>
    </w:p>
    <w:p>
      <w:pPr>
        <w:jc w:val="both"/>
        <w:ind w:firstLine="656"/>
        <w:spacing w:after="0" w:line="275" w:lineRule="auto"/>
        <w:tabs>
          <w:tab w:leader="none" w:pos="1127" w:val="left"/>
        </w:tabs>
        <w:numPr>
          <w:ilvl w:val="0"/>
          <w:numId w:val="91"/>
        </w:numPr>
        <w:rPr>
          <w:rFonts w:ascii="Arial" w:cs="Arial" w:eastAsia="Arial" w:hAnsi="Arial"/>
          <w:sz w:val="19"/>
          <w:szCs w:val="19"/>
          <w:color w:val="auto"/>
        </w:rPr>
      </w:pPr>
      <w:r>
        <w:rPr>
          <w:rFonts w:ascii="Arial" w:cs="Arial" w:eastAsia="Arial" w:hAnsi="Arial"/>
          <w:sz w:val="19"/>
          <w:szCs w:val="19"/>
          <w:color w:val="auto"/>
        </w:rPr>
        <w:t>From and after the date of this Amendment, but subject to the satisfaction of the conditions set forth in Section 4, (i) each reference to the Participation Agreement in any Operative Document (including in any Appendix, Exhibit or Schedule attached thereto) shall be deemed to be a reference to the Participation Agreement as amended by this Amendment, and (ii) each reference in the Participation Agreement to “this Agreement,” “hereunder,” “hereof,” “herein,” or words of like import, and each reference in the other Operative Documents to the Participation Agreement (including, without limitation, by means of words like “thereunder,” “thereof” and words of like import), shall mean and be a reference to the Participation Agreement, as amended by this Amendment. Except as expressly amended hereby, all of the terms and provisions of the Operative Documents are and shall remain in full force and effect and are hereby ratified and confirmed.</w:t>
      </w:r>
    </w:p>
    <w:p>
      <w:pPr>
        <w:spacing w:after="0" w:line="19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i w:val="1"/>
          <w:iCs w:val="1"/>
          <w:color w:val="auto"/>
        </w:rPr>
        <w:t>Section 8.</w:t>
      </w:r>
      <w:r>
        <w:rPr>
          <w:sz w:val="20"/>
          <w:szCs w:val="20"/>
          <w:color w:val="auto"/>
        </w:rPr>
        <w:tab/>
      </w:r>
      <w:r>
        <w:rPr>
          <w:rFonts w:ascii="Arial" w:cs="Arial" w:eastAsia="Arial" w:hAnsi="Arial"/>
          <w:sz w:val="19"/>
          <w:szCs w:val="19"/>
          <w:i w:val="1"/>
          <w:iCs w:val="1"/>
          <w:color w:val="auto"/>
        </w:rPr>
        <w:t>Electronic Signatures.</w:t>
      </w:r>
    </w:p>
    <w:p>
      <w:pPr>
        <w:spacing w:after="0" w:line="247" w:lineRule="exact"/>
        <w:rPr>
          <w:sz w:val="20"/>
          <w:szCs w:val="20"/>
          <w:color w:val="auto"/>
        </w:rPr>
      </w:pPr>
    </w:p>
    <w:p>
      <w:pPr>
        <w:jc w:val="both"/>
        <w:ind w:firstLine="656"/>
        <w:spacing w:after="0" w:line="269" w:lineRule="auto"/>
        <w:tabs>
          <w:tab w:leader="none" w:pos="1134"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This Amendment, any Operative Document and any document, amendment, approval, consent, information, notice, certificate, request, statement, disclosure or authorization related to this Amendment or any Operative Document (each a “</w:t>
      </w:r>
      <w:r>
        <w:rPr>
          <w:rFonts w:ascii="Arial" w:cs="Arial" w:eastAsia="Arial" w:hAnsi="Arial"/>
          <w:sz w:val="19"/>
          <w:szCs w:val="19"/>
          <w:i w:val="1"/>
          <w:iCs w:val="1"/>
          <w:color w:val="auto"/>
        </w:rPr>
        <w:t>Communication</w:t>
      </w:r>
      <w:r>
        <w:rPr>
          <w:rFonts w:ascii="Arial" w:cs="Arial" w:eastAsia="Arial" w:hAnsi="Arial"/>
          <w:sz w:val="19"/>
          <w:szCs w:val="19"/>
          <w:color w:val="auto"/>
        </w:rPr>
        <w:t>”), including Communications required to be in writing, may, if agreed by the Lessor and Administrative Agent, be in the form of an Electronic Record (as defined below) and may be executed using Electronic Signatures (as defined below), including, without limitation, facsimile and/or .pdf. Each of the parties hereto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Lessor and each of the Lenders of a manually signed paper Communication which has been converted into electronic form (such as scanned into PDF format), or an electronically signed Communication converted into another format for transmission, delivery and/or retention. Any party hereto may, at its option, create one or more copies of any Communication in the form of an imaged Electronic Record (“</w:t>
      </w:r>
      <w:r>
        <w:rPr>
          <w:rFonts w:ascii="Arial" w:cs="Arial" w:eastAsia="Arial" w:hAnsi="Arial"/>
          <w:sz w:val="19"/>
          <w:szCs w:val="19"/>
          <w:i w:val="1"/>
          <w:iCs w:val="1"/>
          <w:color w:val="auto"/>
        </w:rPr>
        <w:t>Electronic Copy</w:t>
      </w:r>
      <w:r>
        <w:rPr>
          <w:rFonts w:ascii="Arial" w:cs="Arial" w:eastAsia="Arial" w:hAnsi="Arial"/>
          <w:sz w:val="19"/>
          <w:szCs w:val="19"/>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without limiting the foregoing, (a) to the extent the Administrative Agent has agreed to accept such Electronic Signature, the Administrative Agent, Lessor and each of the Lenders shall be entitled to rely on any such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purportedly given by or on behalf of Lessee or a Guarantor without further verification and regardless of the appearance or form of such Electronic Signature and (b) upon the request of the Administrative Agent, Lessor or any Lender, any Communication executed using any Electronic Signature shall be promptly followed by a manually executed, original counterpart. For purposes hereof, “</w:t>
      </w:r>
      <w:r>
        <w:rPr>
          <w:rFonts w:ascii="Arial" w:cs="Arial" w:eastAsia="Arial" w:hAnsi="Arial"/>
          <w:sz w:val="22"/>
          <w:szCs w:val="22"/>
          <w:i w:val="1"/>
          <w:iCs w:val="1"/>
          <w:color w:val="auto"/>
        </w:rPr>
        <w:t>Electronic Record</w:t>
      </w:r>
      <w:r>
        <w:rPr>
          <w:rFonts w:ascii="Arial" w:cs="Arial" w:eastAsia="Arial" w:hAnsi="Arial"/>
          <w:sz w:val="22"/>
          <w:szCs w:val="22"/>
          <w:color w:val="auto"/>
        </w:rPr>
        <w:t>” and “</w:t>
      </w:r>
      <w:r>
        <w:rPr>
          <w:rFonts w:ascii="Arial" w:cs="Arial" w:eastAsia="Arial" w:hAnsi="Arial"/>
          <w:sz w:val="22"/>
          <w:szCs w:val="22"/>
          <w:i w:val="1"/>
          <w:iCs w:val="1"/>
          <w:color w:val="auto"/>
        </w:rPr>
        <w:t>Electronic Signature</w:t>
      </w:r>
      <w:r>
        <w:rPr>
          <w:rFonts w:ascii="Arial" w:cs="Arial" w:eastAsia="Arial" w:hAnsi="Arial"/>
          <w:sz w:val="22"/>
          <w:szCs w:val="22"/>
          <w:color w:val="auto"/>
        </w:rPr>
        <w:t>” shall have the meanings assigned to them, respectively, by 15 USC §7006, as it may be amended from time to time.</w:t>
      </w:r>
    </w:p>
    <w:p>
      <w:pPr>
        <w:spacing w:after="0" w:line="214" w:lineRule="exact"/>
        <w:rPr>
          <w:sz w:val="20"/>
          <w:szCs w:val="20"/>
          <w:color w:val="auto"/>
        </w:rPr>
      </w:pPr>
    </w:p>
    <w:p>
      <w:pPr>
        <w:jc w:val="both"/>
        <w:ind w:firstLine="656"/>
        <w:spacing w:after="0" w:line="274" w:lineRule="auto"/>
        <w:tabs>
          <w:tab w:leader="none" w:pos="1221" w:val="left"/>
        </w:tabs>
        <w:numPr>
          <w:ilvl w:val="0"/>
          <w:numId w:val="93"/>
        </w:numPr>
        <w:rPr>
          <w:rFonts w:ascii="Arial" w:cs="Arial" w:eastAsia="Arial" w:hAnsi="Arial"/>
          <w:sz w:val="19"/>
          <w:szCs w:val="19"/>
          <w:color w:val="auto"/>
        </w:rPr>
      </w:pPr>
      <w:r>
        <w:rPr>
          <w:rFonts w:ascii="Arial" w:cs="Arial" w:eastAsia="Arial" w:hAnsi="Arial"/>
          <w:sz w:val="19"/>
          <w:szCs w:val="19"/>
          <w:color w:val="auto"/>
        </w:rPr>
        <w:t>Neither the Administrative Agent nor Lessor (except that Lessor shall be responsible for its representations and warranties made with respect to itself) shall be responsible for or have any duty to ascertain or inquire into the sufficiency, validity, enforceability, effectiveness or genuineness of any Operative Document or any other agreement, instrument or document (including, for the avoidance of doubt, in connection with the Administrative Agent’s or Lessor’s reliance on any Electronic Signature transmitted by telecopy, emailed .pdf or any other electronic means). The Administrative Agent and Lessor shall be entitled to rely on, and shall incur no liability under or in respect of this Amendment or any other Operative Document by acting upon, any Communication or any statement made to it orally or by telephone and believed by it to be genuine and signed or sent or otherwise authenticated by the proper Person (whether or not such Person in fact meets the requirements set forth in the Operative Documents for being the maker thereof).</w:t>
      </w:r>
    </w:p>
    <w:p>
      <w:pPr>
        <w:spacing w:after="0" w:line="198" w:lineRule="exact"/>
        <w:rPr>
          <w:rFonts w:ascii="Arial" w:cs="Arial" w:eastAsia="Arial" w:hAnsi="Arial"/>
          <w:sz w:val="19"/>
          <w:szCs w:val="19"/>
          <w:color w:val="auto"/>
        </w:rPr>
      </w:pPr>
    </w:p>
    <w:p>
      <w:pPr>
        <w:jc w:val="both"/>
        <w:ind w:firstLine="656"/>
        <w:spacing w:after="0" w:line="279" w:lineRule="auto"/>
        <w:tabs>
          <w:tab w:leader="none" w:pos="1181" w:val="left"/>
        </w:tabs>
        <w:numPr>
          <w:ilvl w:val="0"/>
          <w:numId w:val="93"/>
        </w:numPr>
        <w:rPr>
          <w:rFonts w:ascii="Arial" w:cs="Arial" w:eastAsia="Arial" w:hAnsi="Arial"/>
          <w:sz w:val="19"/>
          <w:szCs w:val="19"/>
          <w:color w:val="auto"/>
        </w:rPr>
      </w:pPr>
      <w:r>
        <w:rPr>
          <w:rFonts w:ascii="Arial" w:cs="Arial" w:eastAsia="Arial" w:hAnsi="Arial"/>
          <w:sz w:val="19"/>
          <w:szCs w:val="19"/>
          <w:color w:val="auto"/>
        </w:rPr>
        <w:t>Each of the parties hereto hereby waives (i) any argument, defense or right to contest the legal effect, validity or enforceability of this Amendment and/or any other Operative Document based solely on the lack of paper original copies of this Amendment and/or such other Operative Document, and (ii) any claim against the Administrative Agent, Lessor and/or any Lender for any liabilities arising solely from the Administrative Agent’s, Lessor’s and/or any Lender’s reliance on or use of Electronic Signatures, including any liabilities arising as a result of the failure of the Lessee or any Guarantor to use any available security measures in connection with the execution, delivery or transmission of any Electronic Signature.</w:t>
      </w:r>
    </w:p>
    <w:p>
      <w:pPr>
        <w:spacing w:after="0" w:line="190" w:lineRule="exact"/>
        <w:rPr>
          <w:rFonts w:ascii="Arial" w:cs="Arial" w:eastAsia="Arial" w:hAnsi="Arial"/>
          <w:sz w:val="19"/>
          <w:szCs w:val="19"/>
          <w:color w:val="auto"/>
        </w:rPr>
      </w:pPr>
    </w:p>
    <w:p>
      <w:pPr>
        <w:jc w:val="both"/>
        <w:ind w:firstLine="656"/>
        <w:spacing w:after="0"/>
        <w:tabs>
          <w:tab w:leader="none" w:pos="1207"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Each of the parties hereto represents and warrants to the other parties that it has the corporate or other requisite organizational capacity and authority to execute this Amendment and any other Communication through electronic means and there are no restrictions on doing so in that party’s constitutive documents.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79" w:name="page180"/>
    <w:bookmarkEnd w:id="179"/>
    <w:p>
      <w:pPr>
        <w:ind w:firstLine="648"/>
        <w:spacing w:after="0" w:line="250" w:lineRule="auto"/>
        <w:rPr>
          <w:sz w:val="20"/>
          <w:szCs w:val="20"/>
          <w:color w:val="auto"/>
        </w:rPr>
      </w:pPr>
      <w:r>
        <w:rPr>
          <w:rFonts w:ascii="Arial" w:cs="Arial" w:eastAsia="Arial" w:hAnsi="Arial"/>
          <w:sz w:val="22"/>
          <w:szCs w:val="22"/>
          <w:color w:val="auto"/>
        </w:rPr>
        <w:t>In Witness Whereof, the parties hereto have executed and delivered this First Amendment to Amended and Restated Participation Agreement as of the date first written above.</w:t>
      </w:r>
    </w:p>
    <w:p>
      <w:pPr>
        <w:spacing w:after="0" w:line="200" w:lineRule="exact"/>
        <w:rPr>
          <w:sz w:val="20"/>
          <w:szCs w:val="20"/>
          <w:color w:val="auto"/>
        </w:rPr>
      </w:pPr>
    </w:p>
    <w:p>
      <w:pPr>
        <w:spacing w:after="0" w:line="272"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Old Saw Mill Holdings LLC, as Lessee</w:t>
      </w:r>
    </w:p>
    <w:p>
      <w:pPr>
        <w:spacing w:after="0" w:line="200" w:lineRule="exact"/>
        <w:rPr>
          <w:sz w:val="20"/>
          <w:szCs w:val="20"/>
          <w:color w:val="auto"/>
        </w:rPr>
      </w:pPr>
    </w:p>
    <w:p>
      <w:pPr>
        <w:spacing w:after="0" w:line="209"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Leonard N. Brooks</w:t>
      </w:r>
    </w:p>
    <w:p>
      <w:pPr>
        <w:spacing w:after="0" w:line="44" w:lineRule="exact"/>
        <w:rPr>
          <w:sz w:val="20"/>
          <w:szCs w:val="20"/>
          <w:color w:val="auto"/>
        </w:rPr>
      </w:pPr>
    </w:p>
    <w:p>
      <w:pPr>
        <w:ind w:left="6960"/>
        <w:spacing w:after="0"/>
        <w:tabs>
          <w:tab w:leader="none" w:pos="7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Leonard N. Brooks</w:t>
      </w:r>
    </w:p>
    <w:p>
      <w:pPr>
        <w:spacing w:after="0" w:line="44"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11240"/>
          </w:cols>
          <w:pgMar w:left="320" w:top="1414" w:right="339" w:bottom="1440" w:gutter="0" w:footer="0" w:header="0"/>
        </w:sectPr>
      </w:pPr>
    </w:p>
    <w:bookmarkStart w:id="180" w:name="page181"/>
    <w:bookmarkEnd w:id="180"/>
    <w:p>
      <w:pPr>
        <w:spacing w:after="0" w:line="29"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Regeneron Pharmaceuticals, Inc.,</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as Parent Guarantor</w:t>
      </w:r>
    </w:p>
    <w:p>
      <w:pPr>
        <w:spacing w:after="0" w:line="39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Leonard N. Brooks</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Leonard N. Brooks</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Amendment to A&amp;R Participation Agreement (Regeneron)]</w:t>
      </w:r>
    </w:p>
    <w:p>
      <w:pPr>
        <w:sectPr>
          <w:pgSz w:w="11900" w:h="16838" w:orient="portrait"/>
          <w:cols w:equalWidth="0" w:num="1">
            <w:col w:w="9019"/>
          </w:cols>
          <w:pgMar w:left="1440" w:top="1440" w:right="1440" w:bottom="1440" w:gutter="0" w:footer="0" w:header="0"/>
        </w:sectPr>
      </w:pPr>
    </w:p>
    <w:bookmarkStart w:id="181" w:name="page182"/>
    <w:bookmarkEnd w:id="181"/>
    <w:p>
      <w:pPr>
        <w:spacing w:after="0" w:line="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Regeneron Healthcare Solutions, Inc.,</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as Subsidiary Guarantor</w:t>
      </w:r>
    </w:p>
    <w:p>
      <w:pPr>
        <w:spacing w:after="0" w:line="39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Marion McCourt</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Marion McCourt</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Arial" w:cs="Arial" w:eastAsia="Arial" w:hAnsi="Arial"/>
          <w:sz w:val="16"/>
          <w:szCs w:val="16"/>
          <w:i w:val="1"/>
          <w:iCs w:val="1"/>
          <w:color w:val="auto"/>
        </w:rPr>
        <w:t>[Signature Page to First Amendment to A&amp;R Participation Agreement (Regeneron)]</w:t>
      </w:r>
    </w:p>
    <w:p>
      <w:pPr>
        <w:sectPr>
          <w:pgSz w:w="11900" w:h="16838" w:orient="portrait"/>
          <w:cols w:equalWidth="0" w:num="1">
            <w:col w:w="9120"/>
          </w:cols>
          <w:pgMar w:left="1440" w:top="1440" w:right="1339" w:bottom="1440" w:gutter="0" w:footer="0" w:header="0"/>
        </w:sectPr>
      </w:pPr>
    </w:p>
    <w:bookmarkStart w:id="182" w:name="page183"/>
    <w:bookmarkEnd w:id="182"/>
    <w:p>
      <w:pPr>
        <w:spacing w:after="0" w:line="29"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Regeneron Genetics Center LLC,</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as Subsidiary Guarantor</w:t>
      </w:r>
    </w:p>
    <w:p>
      <w:pPr>
        <w:spacing w:after="0" w:line="39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Leonard N. Brooks</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Leonard N. Brooks</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Amendment to A&amp;R Participation Agreement (Regeneron)]</w:t>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2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Bank of America, N.A., not in its individual</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capacity, except as expressly stated herein, but</w:t>
      </w:r>
    </w:p>
    <w:p>
      <w:pPr>
        <w:spacing w:after="0" w:line="2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solely as Administrative Agent</w:t>
      </w:r>
    </w:p>
    <w:p>
      <w:pPr>
        <w:spacing w:after="0" w:line="39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Aamir Saleem</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Aamir Saleem</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10020"/>
          </w:cols>
          <w:pgMar w:left="1440" w:top="1440" w:right="439" w:bottom="1440" w:gutter="0" w:footer="0" w:header="0"/>
        </w:sectPr>
      </w:pPr>
    </w:p>
    <w:bookmarkStart w:id="184" w:name="page185"/>
    <w:bookmarkEnd w:id="184"/>
    <w:p>
      <w:pPr>
        <w:spacing w:after="0" w:line="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BA Leasing BSC, LLC, as Lessor and as Lender</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Terri J. Preston</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Terri J. Preston</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10040"/>
          </w:cols>
          <w:pgMar w:left="1440" w:top="1440" w:right="419" w:bottom="1440" w:gutter="0" w:footer="0" w:header="0"/>
        </w:sectPr>
      </w:pPr>
    </w:p>
    <w:bookmarkStart w:id="185" w:name="page186"/>
    <w:bookmarkEnd w:id="185"/>
    <w:p>
      <w:pPr>
        <w:spacing w:after="0" w:line="29" w:lineRule="exact"/>
        <w:rPr>
          <w:sz w:val="20"/>
          <w:szCs w:val="20"/>
          <w:color w:val="auto"/>
        </w:rPr>
      </w:pPr>
    </w:p>
    <w:p>
      <w:pPr>
        <w:jc w:val="right"/>
        <w:ind w:right="639"/>
        <w:spacing w:after="0"/>
        <w:rPr>
          <w:sz w:val="20"/>
          <w:szCs w:val="20"/>
          <w:color w:val="auto"/>
        </w:rPr>
      </w:pPr>
      <w:r>
        <w:rPr>
          <w:rFonts w:ascii="Arial" w:cs="Arial" w:eastAsia="Arial" w:hAnsi="Arial"/>
          <w:sz w:val="22"/>
          <w:szCs w:val="22"/>
          <w:color w:val="auto"/>
        </w:rPr>
        <w:t>MUFG Bank, Ltd., as Lender</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Gordon R. Cook</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Gordon R. Cook</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Amendment to A&amp;R Participation Agreement (Regeneron)]</w:t>
      </w:r>
    </w:p>
    <w:p>
      <w:pPr>
        <w:sectPr>
          <w:pgSz w:w="11900" w:h="16838" w:orient="portrait"/>
          <w:cols w:equalWidth="0" w:num="1">
            <w:col w:w="9019"/>
          </w:cols>
          <w:pgMar w:left="1440" w:top="1440" w:right="1440" w:bottom="1440" w:gutter="0" w:footer="0" w:header="0"/>
        </w:sectPr>
      </w:pPr>
    </w:p>
    <w:bookmarkStart w:id="186" w:name="page187"/>
    <w:bookmarkEnd w:id="186"/>
    <w:p>
      <w:pPr>
        <w:spacing w:after="0" w:line="29"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Citibank, N.A., as Lender</w:t>
      </w:r>
    </w:p>
    <w:p>
      <w:pPr>
        <w:spacing w:after="0" w:line="200" w:lineRule="exact"/>
        <w:rPr>
          <w:sz w:val="20"/>
          <w:szCs w:val="20"/>
          <w:color w:val="auto"/>
        </w:rPr>
      </w:pPr>
    </w:p>
    <w:p>
      <w:pPr>
        <w:spacing w:after="0" w:line="243"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Eugene Yermash</w:t>
      </w:r>
    </w:p>
    <w:p>
      <w:pPr>
        <w:spacing w:after="0" w:line="79"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Eugene Yermash</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Amendment to A&amp;R Participation Agreement (Regeneron)]</w:t>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JPMorgan Chase Bank, N.A., as Lender</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T. Martin</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T. Martin</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9280"/>
          </w:cols>
          <w:pgMar w:left="1440" w:top="1440" w:right="1179" w:bottom="1440" w:gutter="0" w:footer="0" w:header="0"/>
        </w:sectPr>
      </w:pPr>
    </w:p>
    <w:bookmarkStart w:id="188" w:name="page189"/>
    <w:bookmarkEnd w:id="188"/>
    <w:p>
      <w:pPr>
        <w:spacing w:after="0" w:line="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U.S. Bank National Association, as Lender</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West</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West</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9560"/>
          </w:cols>
          <w:pgMar w:left="1440" w:top="1440" w:right="899" w:bottom="1440" w:gutter="0" w:footer="0" w:header="0"/>
        </w:sectPr>
      </w:pPr>
    </w:p>
    <w:bookmarkStart w:id="189" w:name="page190"/>
    <w:bookmarkEnd w:id="189"/>
    <w:p>
      <w:pPr>
        <w:spacing w:after="0" w:line="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Fifth Third Bank, National Association, as</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Lender</w:t>
      </w:r>
    </w:p>
    <w:p>
      <w:pPr>
        <w:spacing w:after="0" w:line="39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Laurel Sebree</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Laurel Sebree</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9500"/>
          </w:cols>
          <w:pgMar w:left="1440" w:top="1440" w:right="959" w:bottom="1440" w:gutter="0" w:footer="0" w:header="0"/>
        </w:sectPr>
      </w:pPr>
    </w:p>
    <w:bookmarkStart w:id="190" w:name="page191"/>
    <w:bookmarkEnd w:id="190"/>
    <w:p>
      <w:pPr>
        <w:spacing w:after="0" w:line="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The Northern Trust Company, as Lender</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J. Hallan</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Peter J. Hallan</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9340"/>
          </w:cols>
          <w:pgMar w:left="1440" w:top="1440" w:right="1119" w:bottom="1440" w:gutter="0" w:footer="0" w:header="0"/>
        </w:sectPr>
      </w:pPr>
    </w:p>
    <w:bookmarkStart w:id="191" w:name="page192"/>
    <w:bookmarkEnd w:id="191"/>
    <w:p>
      <w:pPr>
        <w:spacing w:after="0" w:line="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PNC Equipment Finance, LLC, as Lender</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Barbara Yerdon Booth</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Barbara Yerdon Booth</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[Signature Page to First Amendment to A&amp;R Participation Agreement (Regeneron)]</w:t>
      </w:r>
    </w:p>
    <w:p>
      <w:pPr>
        <w:sectPr>
          <w:pgSz w:w="11900" w:h="16838" w:orient="portrait"/>
          <w:cols w:equalWidth="0" w:num="1">
            <w:col w:w="9460"/>
          </w:cols>
          <w:pgMar w:left="1440" w:top="1440" w:right="999" w:bottom="1440" w:gutter="0" w:footer="0" w:header="0"/>
        </w:sectPr>
      </w:pPr>
    </w:p>
    <w:bookmarkStart w:id="192" w:name="page193"/>
    <w:bookmarkEnd w:id="192"/>
    <w:p>
      <w:pPr>
        <w:spacing w:after="0" w:line="29" w:lineRule="exact"/>
        <w:rPr>
          <w:sz w:val="20"/>
          <w:szCs w:val="20"/>
          <w:color w:val="auto"/>
        </w:rPr>
      </w:pPr>
    </w:p>
    <w:p>
      <w:pPr>
        <w:jc w:val="right"/>
        <w:ind w:right="479"/>
        <w:spacing w:after="0"/>
        <w:rPr>
          <w:sz w:val="20"/>
          <w:szCs w:val="20"/>
          <w:color w:val="auto"/>
        </w:rPr>
      </w:pPr>
      <w:r>
        <w:rPr>
          <w:rFonts w:ascii="Arial" w:cs="Arial" w:eastAsia="Arial" w:hAnsi="Arial"/>
          <w:sz w:val="22"/>
          <w:szCs w:val="22"/>
          <w:color w:val="auto"/>
        </w:rPr>
        <w:t>Citizens Bank, N.A., as Lender</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Guyeski</w:t>
      </w:r>
    </w:p>
    <w:p>
      <w:pPr>
        <w:spacing w:after="0" w:line="44" w:lineRule="exact"/>
        <w:rPr>
          <w:sz w:val="20"/>
          <w:szCs w:val="20"/>
          <w:color w:val="auto"/>
        </w:rPr>
      </w:pPr>
    </w:p>
    <w:p>
      <w:pPr>
        <w:ind w:left="584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Guyeski</w:t>
      </w:r>
    </w:p>
    <w:p>
      <w:pPr>
        <w:spacing w:after="0" w:line="44"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Amendment to A&amp;R Participation Agreement (Regeneron)]</w:t>
      </w:r>
    </w:p>
    <w:p>
      <w:pPr>
        <w:sectPr>
          <w:pgSz w:w="11900" w:h="16838" w:orient="portrait"/>
          <w:cols w:equalWidth="0" w:num="1">
            <w:col w:w="9019"/>
          </w:cols>
          <w:pgMar w:left="1440" w:top="1440"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Exhibit 21.1</w:t>
      </w:r>
    </w:p>
    <w:p>
      <w:pPr>
        <w:spacing w:after="0" w:line="32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w w:val="91"/>
              </w:rPr>
              <w:t>Name of Subsidiary*</w:t>
            </w:r>
          </w:p>
        </w:tc>
        <w:tc>
          <w:tcPr>
            <w:tcW w:w="3380" w:type="dxa"/>
            <w:vAlign w:val="bottom"/>
            <w:vMerge w:val="restart"/>
          </w:tcPr>
          <w:p>
            <w:pPr>
              <w:spacing w:after="0"/>
              <w:rPr>
                <w:sz w:val="17"/>
                <w:szCs w:val="17"/>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3"/>
              </w:rPr>
              <w:t>State or Other Jurisdiction of</w:t>
            </w:r>
          </w:p>
        </w:tc>
        <w:tc>
          <w:tcPr>
            <w:tcW w:w="0" w:type="dxa"/>
            <w:vAlign w:val="bottom"/>
          </w:tcPr>
          <w:p>
            <w:pPr>
              <w:spacing w:after="0"/>
              <w:rPr>
                <w:sz w:val="1"/>
                <w:szCs w:val="1"/>
                <w:color w:val="auto"/>
              </w:rPr>
            </w:pPr>
          </w:p>
        </w:tc>
      </w:tr>
      <w:tr>
        <w:trPr>
          <w:trHeight w:val="156"/>
        </w:trPr>
        <w:tc>
          <w:tcPr>
            <w:tcW w:w="162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22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8"/>
              </w:rPr>
              <w:t>Incorporation or Organization</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0" w:type="dxa"/>
            <w:vAlign w:val="bottom"/>
            <w:gridSpan w:val="2"/>
          </w:tcPr>
          <w:p>
            <w:pPr>
              <w:spacing w:after="0"/>
              <w:rPr>
                <w:sz w:val="20"/>
                <w:szCs w:val="20"/>
                <w:color w:val="auto"/>
              </w:rPr>
            </w:pPr>
            <w:r>
              <w:rPr>
                <w:rFonts w:ascii="Arial" w:cs="Arial" w:eastAsia="Arial" w:hAnsi="Arial"/>
                <w:sz w:val="18"/>
                <w:szCs w:val="18"/>
                <w:color w:val="auto"/>
              </w:rPr>
              <w:t>Eastside Campus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Loop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Old Saw Mill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Assurance,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Atlantic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Belgium BV</w:t>
            </w:r>
          </w:p>
        </w:tc>
        <w:tc>
          <w:tcPr>
            <w:tcW w:w="236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Canada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GmbH</w:t>
            </w:r>
          </w:p>
        </w:tc>
        <w:tc>
          <w:tcPr>
            <w:tcW w:w="2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International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Ireland Holdings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Ireland Designated Activity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NL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Spain, S.L.U.</w:t>
            </w:r>
          </w:p>
        </w:tc>
        <w:tc>
          <w:tcPr>
            <w:tcW w:w="2360" w:type="dxa"/>
            <w:vAlign w:val="bottom"/>
            <w:gridSpan w:val="2"/>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Rockwood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_____________</w:t>
            </w:r>
          </w:p>
        </w:tc>
        <w:tc>
          <w:tcPr>
            <w:tcW w:w="3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120"/>
          </w:cols>
          <w:pgMar w:left="1440" w:top="989"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333-260763) and Form S</w:t>
      </w:r>
      <w:r>
        <w:rPr>
          <w:rFonts w:ascii="MS PGothic" w:cs="MS PGothic" w:eastAsia="MS PGothic" w:hAnsi="MS PGothic"/>
          <w:sz w:val="18"/>
          <w:szCs w:val="18"/>
          <w:color w:val="auto"/>
        </w:rPr>
        <w:t>‑</w:t>
      </w:r>
      <w:r>
        <w:rPr>
          <w:rFonts w:ascii="Arial" w:cs="Arial" w:eastAsia="Arial" w:hAnsi="Arial"/>
          <w:sz w:val="18"/>
          <w:szCs w:val="18"/>
          <w:color w:val="auto"/>
        </w:rPr>
        <w:t>8 (Nos. 333-61132, 333-97375, 333-119257, 333-151941, 333-169569, 333-174863, 333-196799, 333-198794, 333-218669, and 333-239209) of Regeneron Pharmaceuticals, Inc. of our report dated February 7, 2022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2022</w:t>
      </w:r>
    </w:p>
    <w:p>
      <w:pPr>
        <w:sectPr>
          <w:pgSz w:w="11900" w:h="16838" w:orient="portrait"/>
          <w:cols w:equalWidth="0" w:num="1">
            <w:col w:w="11240"/>
          </w:cols>
          <w:pgMar w:left="320" w:top="895"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80" w:right="540" w:hanging="324"/>
        <w:spacing w:after="0" w:line="334" w:lineRule="auto"/>
        <w:tabs>
          <w:tab w:leader="none" w:pos="971"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63" w:lineRule="auto"/>
        <w:tabs>
          <w:tab w:leader="none" w:pos="9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780" w:hanging="324"/>
        <w:spacing w:after="0" w:line="334" w:lineRule="auto"/>
        <w:tabs>
          <w:tab w:leader="none" w:pos="971"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77" w:lineRule="auto"/>
        <w:tabs>
          <w:tab w:leader="none" w:pos="9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Arial" w:cs="Arial" w:eastAsia="Arial" w:hAnsi="Arial"/>
                <w:sz w:val="18"/>
                <w:szCs w:val="18"/>
                <w:color w:val="auto"/>
              </w:rPr>
              <w:t>Date: February 7, 2022</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Leonard S. Schleifer, M.D., Ph.D.</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04"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80" w:right="540" w:hanging="324"/>
        <w:spacing w:after="0" w:line="334" w:lineRule="auto"/>
        <w:tabs>
          <w:tab w:leader="none" w:pos="971"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63" w:lineRule="auto"/>
        <w:tabs>
          <w:tab w:leader="none" w:pos="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780" w:hanging="324"/>
        <w:spacing w:after="0" w:line="334" w:lineRule="auto"/>
        <w:tabs>
          <w:tab w:leader="none" w:pos="971"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77" w:lineRule="auto"/>
        <w:tabs>
          <w:tab w:leader="none" w:pos="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Arial" w:cs="Arial" w:eastAsia="Arial" w:hAnsi="Arial"/>
                <w:sz w:val="18"/>
                <w:szCs w:val="18"/>
                <w:color w:val="auto"/>
              </w:rPr>
              <w:t>Date: February 7, 2022</w:t>
            </w:r>
          </w:p>
        </w:tc>
        <w:tc>
          <w:tcPr>
            <w:tcW w:w="112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Robert E. Landry</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8100" w:type="dxa"/>
            <w:vAlign w:val="bottom"/>
            <w:gridSpan w:val="3"/>
            <w:vMerge w:val="restart"/>
          </w:tcPr>
          <w:p>
            <w:pPr>
              <w:ind w:left="1120"/>
              <w:spacing w:after="0"/>
              <w:rPr>
                <w:sz w:val="20"/>
                <w:szCs w:val="20"/>
                <w:color w:val="auto"/>
              </w:rPr>
            </w:pPr>
            <w:r>
              <w:rPr>
                <w:rFonts w:ascii="Arial" w:cs="Arial" w:eastAsia="Arial" w:hAnsi="Arial"/>
                <w:sz w:val="18"/>
                <w:szCs w:val="18"/>
                <w:color w:val="auto"/>
              </w:rPr>
              <w:t>Robert E. Landry</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8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8100" w:type="dxa"/>
            <w:vAlign w:val="bottom"/>
            <w:gridSpan w:val="3"/>
          </w:tcPr>
          <w:p>
            <w:pPr>
              <w:ind w:left="1120"/>
              <w:spacing w:after="0" w:line="176" w:lineRule="exact"/>
              <w:rPr>
                <w:sz w:val="20"/>
                <w:szCs w:val="20"/>
                <w:color w:val="auto"/>
              </w:rPr>
            </w:pPr>
            <w:r>
              <w:rPr>
                <w:rFonts w:ascii="Arial" w:cs="Arial" w:eastAsia="Arial" w:hAnsi="Arial"/>
                <w:sz w:val="18"/>
                <w:szCs w:val="18"/>
                <w:color w:val="auto"/>
              </w:rPr>
              <w:t>Executive Vice President, Finance and Chief</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480" w:type="dxa"/>
            <w:vAlign w:val="bottom"/>
            <w:tcBorders>
              <w:bottom w:val="single" w:sz="8" w:color="666666"/>
            </w:tcBorders>
          </w:tcPr>
          <w:p>
            <w:pPr>
              <w:spacing w:after="0"/>
              <w:rPr>
                <w:sz w:val="24"/>
                <w:szCs w:val="24"/>
                <w:color w:val="auto"/>
              </w:rPr>
            </w:pPr>
          </w:p>
        </w:tc>
        <w:tc>
          <w:tcPr>
            <w:tcW w:w="55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2021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50" w:lineRule="exact"/>
        <w:rPr>
          <w:sz w:val="20"/>
          <w:szCs w:val="20"/>
          <w:color w:val="auto"/>
        </w:rPr>
      </w:pPr>
    </w:p>
    <w:p>
      <w:pPr>
        <w:ind w:left="640" w:hanging="308"/>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Leonard S. Schleifer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7, 2022</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Robert E. Landry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 Landry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Finance and Chief</w:t>
      </w:r>
    </w:p>
    <w:p>
      <w:pPr>
        <w:ind w:left="20"/>
        <w:spacing w:after="0"/>
        <w:rPr>
          <w:sz w:val="20"/>
          <w:szCs w:val="20"/>
          <w:color w:val="auto"/>
        </w:rPr>
      </w:pPr>
      <w:r>
        <w:rPr>
          <w:rFonts w:ascii="Arial" w:cs="Arial" w:eastAsia="Arial" w:hAnsi="Arial"/>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7, 2022</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decimal"/>
      <w:start w:val="7"/>
    </w:lvl>
  </w:abstractNum>
  <w:abstractNum w:abstractNumId="4">
    <w:nsid w:val="3DC240FB"/>
    <w:multiLevelType w:val="hybridMultilevel"/>
    <w:lvl w:ilvl="0">
      <w:lvlJc w:val="left"/>
      <w:lvlText w:val="(%1)"/>
      <w:numFmt w:val="lowerLetter"/>
      <w:start w:val="1"/>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1)"/>
      <w:numFmt w:val="lowerLetter"/>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lowerRoman"/>
      <w:start w:val="1"/>
    </w:lvl>
  </w:abstractNum>
  <w:abstractNum w:abstractNumId="37">
    <w:nsid w:val="1F48EAA1"/>
    <w:multiLevelType w:val="hybridMultilevel"/>
    <w:lvl w:ilvl="0">
      <w:lvlJc w:val="left"/>
      <w:lvlText w:val="(%1)"/>
      <w:numFmt w:val="lowerRoman"/>
      <w:start w:val="3"/>
    </w:lvl>
  </w:abstractNum>
  <w:abstractNum w:abstractNumId="38">
    <w:nsid w:val="1381823A"/>
    <w:multiLevelType w:val="hybridMultilevel"/>
    <w:lvl w:ilvl="0">
      <w:lvlJc w:val="left"/>
      <w:lvlText w:val="%1"/>
      <w:numFmt w:val="decimal"/>
      <w:start w:val="32"/>
    </w:lvl>
  </w:abstractNum>
  <w:abstractNum w:abstractNumId="39">
    <w:nsid w:val="5DB70AE5"/>
    <w:multiLevelType w:val="hybridMultilevel"/>
    <w:lvl w:ilvl="0">
      <w:lvlJc w:val="left"/>
      <w:lvlText w:val="%1"/>
      <w:numFmt w:val="decimal"/>
      <w:start w:val="101"/>
    </w:lvl>
    <w:lvl w:ilvl="1">
      <w:lvlJc w:val="left"/>
      <w:lvlText w:val="(%2)"/>
      <w:numFmt w:val="lowerRoman"/>
      <w:start w:val="2"/>
    </w:lvl>
  </w:abstractNum>
  <w:abstractNum w:abstractNumId="40">
    <w:nsid w:val="100F8FCA"/>
    <w:multiLevelType w:val="hybridMultilevel"/>
    <w:lvl w:ilvl="0">
      <w:lvlJc w:val="left"/>
      <w:lvlText w:val="%1"/>
      <w:numFmt w:val="decimal"/>
      <w:start w:val="104"/>
    </w:lvl>
    <w:lvl w:ilvl="1">
      <w:lvlJc w:val="left"/>
      <w:lvlText w:val="*"/>
      <w:numFmt w:val="bullet"/>
      <w:start w:val="1"/>
    </w:lvl>
  </w:abstractNum>
  <w:abstractNum w:abstractNumId="41">
    <w:nsid w:val="6590700B"/>
    <w:multiLevelType w:val="hybridMultilevel"/>
    <w:lvl w:ilvl="0">
      <w:lvlJc w:val="left"/>
      <w:lvlText w:val="%1"/>
      <w:numFmt w:val="decimal"/>
      <w:start w:val="1"/>
    </w:lvl>
    <w:lvl w:ilvl="1">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lowerLetter"/>
      <w:start w:val="4"/>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2"/>
    </w:lvl>
  </w:abstractNum>
  <w:abstractNum w:abstractNumId="54">
    <w:nsid w:val="51D9C564"/>
    <w:multiLevelType w:val="hybridMultilevel"/>
    <w:lvl w:ilvl="0">
      <w:lvlJc w:val="left"/>
      <w:lvlText w:val="%1."/>
      <w:numFmt w:val="lowerLetter"/>
      <w:start w:val="3"/>
    </w:lvl>
  </w:abstractNum>
  <w:abstractNum w:abstractNumId="55">
    <w:nsid w:val="613EFDC5"/>
    <w:multiLevelType w:val="hybridMultilevel"/>
    <w:lvl w:ilvl="0">
      <w:lvlJc w:val="left"/>
      <w:lvlText w:val="(%1)"/>
      <w:numFmt w:val="lowerRoman"/>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2"/>
    </w:lvl>
  </w:abstractNum>
  <w:abstractNum w:abstractNumId="58">
    <w:nsid w:val="42963E5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59">
    <w:nsid w:val="A0382C5"/>
    <w:multiLevelType w:val="hybridMultilevel"/>
    <w:lvl w:ilvl="0">
      <w:lvlJc w:val="left"/>
      <w:lvlText w:val="(%1)"/>
      <w:numFmt w:val="lowerLetter"/>
      <w:start w:val="4"/>
    </w:lvl>
    <w:lvl w:ilvl="1">
      <w:lvlJc w:val="left"/>
      <w:lvlText w:val="(%2)"/>
      <w:numFmt w:val="lowerRoman"/>
      <w:start w:val="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
      <w:numFmt w:val="bullet"/>
      <w:start w:val="1"/>
    </w:lvl>
    <w:lvl w:ilvl="1">
      <w:lvlJc w:val="left"/>
      <w:lvlText w:val="(%2)"/>
      <w:numFmt w:val="lowerLetter"/>
      <w:start w:val="2"/>
    </w:lvl>
  </w:abstractNum>
  <w:abstractNum w:abstractNumId="62">
    <w:nsid w:val="3B0FD379"/>
    <w:multiLevelType w:val="hybridMultilevel"/>
    <w:lvl w:ilvl="0">
      <w:lvlJc w:val="left"/>
      <w:lvlText w:val="*"/>
      <w:numFmt w:val="bullet"/>
      <w:start w:val="1"/>
    </w:lvl>
    <w:lvl w:ilvl="1">
      <w:lvlJc w:val="left"/>
      <w:lvlText w:val="(%2)"/>
      <w:numFmt w:val="lowerLetter"/>
      <w:start w:val="4"/>
    </w:lvl>
  </w:abstractNum>
  <w:abstractNum w:abstractNumId="63">
    <w:nsid w:val="68EB2F63"/>
    <w:multiLevelType w:val="hybridMultilevel"/>
    <w:lvl w:ilvl="0">
      <w:lvlJc w:val="left"/>
      <w:lvlText w:val="%1."/>
      <w:numFmt w:val="decimal"/>
      <w:start w:val="3"/>
    </w:lvl>
  </w:abstractNum>
  <w:abstractNum w:abstractNumId="64">
    <w:nsid w:val="4962813B"/>
    <w:multiLevelType w:val="hybridMultilevel"/>
    <w:lvl w:ilvl="0">
      <w:lvlJc w:val="left"/>
      <w:lvlText w:val="%1."/>
      <w:numFmt w:val="decimal"/>
      <w:start w:val="5"/>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1)"/>
      <w:numFmt w:val="lowerLetter"/>
      <w:start w:val="2"/>
    </w:lvl>
  </w:abstractNum>
  <w:abstractNum w:abstractNumId="68">
    <w:nsid w:val="7FFFCA11"/>
    <w:multiLevelType w:val="hybridMultilevel"/>
    <w:lvl w:ilvl="0">
      <w:lvlJc w:val="left"/>
      <w:lvlText w:val="(%1)"/>
      <w:numFmt w:val="lowerLetter"/>
      <w:start w:val="3"/>
    </w:lvl>
  </w:abstractNum>
  <w:abstractNum w:abstractNumId="69">
    <w:nsid w:val="1A27709E"/>
    <w:multiLevelType w:val="hybridMultilevel"/>
    <w:lvl w:ilvl="0">
      <w:lvlJc w:val="left"/>
      <w:lvlText w:val="%1."/>
      <w:numFmt w:val="decimal"/>
      <w:start w:val="2"/>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decimal"/>
      <w:start w:val="4"/>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decimal"/>
      <w:start w:val="5"/>
    </w:lvl>
  </w:abstractNum>
  <w:abstractNum w:abstractNumId="74">
    <w:nsid w:val="6F6DD9AC"/>
    <w:multiLevelType w:val="hybridMultilevel"/>
    <w:lvl w:ilvl="0">
      <w:lvlJc w:val="left"/>
      <w:lvlText w:val="%1."/>
      <w:numFmt w:val="decimal"/>
      <w:start w:val="6"/>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2"/>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1"/>
    </w:lvl>
    <w:lvl w:ilvl="1">
      <w:lvlJc w:val="left"/>
      <w:lvlText w:val="(%2)"/>
      <w:numFmt w:val="lowerRoman"/>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3"/>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decimal"/>
      <w:start w:val="3"/>
    </w:lvl>
  </w:abstractNum>
  <w:abstractNum w:abstractNumId="85">
    <w:nsid w:val="46B7D447"/>
    <w:multiLevelType w:val="hybridMultilevel"/>
    <w:lvl w:ilvl="0">
      <w:lvlJc w:val="left"/>
      <w:lvlText w:val="%1."/>
      <w:numFmt w:val="decimal"/>
      <w:start w:val="4"/>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lowerLetter"/>
      <w:start w:val="7"/>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lowerLetter"/>
      <w:start w:val="2"/>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lvl w:ilvl="1">
      <w:lvlJc w:val="left"/>
      <w:lvlText w:val="%2)"/>
      <w:numFmt w:val="lowerLetter"/>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6" Type="http://schemas.openxmlformats.org/officeDocument/2006/relationships/image" Target="media/image117.png"/><Relationship Id="rId139" Type="http://schemas.openxmlformats.org/officeDocument/2006/relationships/image" Target="media/image118.png"/><Relationship Id="rId142" Type="http://schemas.openxmlformats.org/officeDocument/2006/relationships/image" Target="media/image119.png"/><Relationship Id="rId145" Type="http://schemas.openxmlformats.org/officeDocument/2006/relationships/image" Target="media/image120.png"/><Relationship Id="rId148" Type="http://schemas.openxmlformats.org/officeDocument/2006/relationships/image" Target="media/image121.png"/><Relationship Id="rId151" Type="http://schemas.openxmlformats.org/officeDocument/2006/relationships/image" Target="media/image122.png"/><Relationship Id="rId154" Type="http://schemas.openxmlformats.org/officeDocument/2006/relationships/image" Target="media/image123.png"/><Relationship Id="rId156"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1" Type="http://schemas.openxmlformats.org/officeDocument/2006/relationships/image" Target="media/image129.png"/><Relationship Id="rId193" Type="http://schemas.openxmlformats.org/officeDocument/2006/relationships/image" Target="media/image130.png"/><Relationship Id="rId196" Type="http://schemas.openxmlformats.org/officeDocument/2006/relationships/image" Target="media/image131.png"/><Relationship Id="rId199" Type="http://schemas.openxmlformats.org/officeDocument/2006/relationships/image" Target="media/image132.png"/><Relationship Id="rId201" Type="http://schemas.openxmlformats.org/officeDocument/2006/relationships/image" Target="media/image133.png"/><Relationship Id="rId204" Type="http://schemas.openxmlformats.org/officeDocument/2006/relationships/image" Target="media/image134.png"/><Relationship Id="rId207" Type="http://schemas.openxmlformats.org/officeDocument/2006/relationships/image" Target="media/image135.png"/><Relationship Id="rId209" Type="http://schemas.openxmlformats.org/officeDocument/2006/relationships/image" Target="media/image136.png"/><Relationship Id="rId211" Type="http://schemas.openxmlformats.org/officeDocument/2006/relationships/image" Target="media/image137.png"/><Relationship Id="rId228" Type="http://schemas.openxmlformats.org/officeDocument/2006/relationships/image" Target="media/image138.png"/><Relationship Id="rId229" Type="http://schemas.openxmlformats.org/officeDocument/2006/relationships/image" Target="media/image139.png"/><Relationship Id="rId236" Type="http://schemas.openxmlformats.org/officeDocument/2006/relationships/image" Target="media/image140.png"/><Relationship Id="rId237" Type="http://schemas.openxmlformats.org/officeDocument/2006/relationships/image" Target="media/image141.png"/><Relationship Id="rId238" Type="http://schemas.openxmlformats.org/officeDocument/2006/relationships/image" Target="media/image142.png"/><Relationship Id="rId239" Type="http://schemas.openxmlformats.org/officeDocument/2006/relationships/image" Target="media/image143.png"/><Relationship Id="rId240" Type="http://schemas.openxmlformats.org/officeDocument/2006/relationships/image" Target="media/image144.png"/><Relationship Id="rId241" Type="http://schemas.openxmlformats.org/officeDocument/2006/relationships/image" Target="media/image145.png"/><Relationship Id="rId242" Type="http://schemas.openxmlformats.org/officeDocument/2006/relationships/image" Target="media/image146.png"/><Relationship Id="rId243" Type="http://schemas.openxmlformats.org/officeDocument/2006/relationships/image" Target="media/image147.png"/><Relationship Id="rId244" Type="http://schemas.openxmlformats.org/officeDocument/2006/relationships/image" Target="media/image148.png"/><Relationship Id="rId245" Type="http://schemas.openxmlformats.org/officeDocument/2006/relationships/image" Target="media/image149.png"/><Relationship Id="rId246" Type="http://schemas.openxmlformats.org/officeDocument/2006/relationships/image" Target="media/image150.png"/><Relationship Id="rId247" Type="http://schemas.openxmlformats.org/officeDocument/2006/relationships/image" Target="media/image151.png"/><Relationship Id="rId248" Type="http://schemas.openxmlformats.org/officeDocument/2006/relationships/image" Target="media/image152.png"/><Relationship Id="rId249" Type="http://schemas.openxmlformats.org/officeDocument/2006/relationships/image" Target="media/image153.png"/><Relationship Id="rId250" Type="http://schemas.openxmlformats.org/officeDocument/2006/relationships/image" Target="media/image154.png"/><Relationship Id="rId251" Type="http://schemas.openxmlformats.org/officeDocument/2006/relationships/image" Target="media/image155.png"/><Relationship Id="rId252" Type="http://schemas.openxmlformats.org/officeDocument/2006/relationships/image" Target="media/image156.png"/><Relationship Id="rId253" Type="http://schemas.openxmlformats.org/officeDocument/2006/relationships/image" Target="media/image157.png"/><Relationship Id="rId254" Type="http://schemas.openxmlformats.org/officeDocument/2006/relationships/image" Target="media/image158.png"/><Relationship Id="rId255" Type="http://schemas.openxmlformats.org/officeDocument/2006/relationships/image" Target="media/image159.png"/><Relationship Id="rId256" Type="http://schemas.openxmlformats.org/officeDocument/2006/relationships/image" Target="media/image160.png"/><Relationship Id="rId257" Type="http://schemas.openxmlformats.org/officeDocument/2006/relationships/image" Target="media/image161.png"/><Relationship Id="rId258" Type="http://schemas.openxmlformats.org/officeDocument/2006/relationships/image" Target="media/image162.png"/><Relationship Id="rId259" Type="http://schemas.openxmlformats.org/officeDocument/2006/relationships/image" Target="media/image163.png"/><Relationship Id="rId260" Type="http://schemas.openxmlformats.org/officeDocument/2006/relationships/image" Target="media/image164.png"/><Relationship Id="rId261" Type="http://schemas.openxmlformats.org/officeDocument/2006/relationships/image" Target="media/image165.png"/><Relationship Id="rId262" Type="http://schemas.openxmlformats.org/officeDocument/2006/relationships/image" Target="media/image166.png"/><Relationship Id="rId263" Type="http://schemas.openxmlformats.org/officeDocument/2006/relationships/image" Target="media/image167.png"/><Relationship Id="rId264" Type="http://schemas.openxmlformats.org/officeDocument/2006/relationships/image" Target="media/image168.png"/><Relationship Id="rId265" Type="http://schemas.openxmlformats.org/officeDocument/2006/relationships/image" Target="media/image169.png"/><Relationship Id="rId266" Type="http://schemas.openxmlformats.org/officeDocument/2006/relationships/image" Target="media/image170.png"/><Relationship Id="rId267" Type="http://schemas.openxmlformats.org/officeDocument/2006/relationships/image" Target="media/image171.png"/><Relationship Id="rId268" Type="http://schemas.openxmlformats.org/officeDocument/2006/relationships/image" Target="media/image172.png"/><Relationship Id="rId269" Type="http://schemas.openxmlformats.org/officeDocument/2006/relationships/image" Target="media/image173.png"/><Relationship Id="rId270" Type="http://schemas.openxmlformats.org/officeDocument/2006/relationships/image" Target="media/image174.png"/><Relationship Id="rId271" Type="http://schemas.openxmlformats.org/officeDocument/2006/relationships/image" Target="media/image175.png"/><Relationship Id="rId272" Type="http://schemas.openxmlformats.org/officeDocument/2006/relationships/image" Target="media/image176.png"/><Relationship Id="rId273" Type="http://schemas.openxmlformats.org/officeDocument/2006/relationships/image" Target="media/image177.png"/><Relationship Id="rId274" Type="http://schemas.openxmlformats.org/officeDocument/2006/relationships/image" Target="media/image178.png"/><Relationship Id="rId275" Type="http://schemas.openxmlformats.org/officeDocument/2006/relationships/image" Target="media/image179.png"/><Relationship Id="rId276" Type="http://schemas.openxmlformats.org/officeDocument/2006/relationships/image" Target="media/image180.png"/><Relationship Id="rId277" Type="http://schemas.openxmlformats.org/officeDocument/2006/relationships/image" Target="media/image181.png"/><Relationship Id="rId278" Type="http://schemas.openxmlformats.org/officeDocument/2006/relationships/image" Target="media/image182.png"/><Relationship Id="rId279" Type="http://schemas.openxmlformats.org/officeDocument/2006/relationships/image" Target="media/image183.png"/><Relationship Id="rId280" Type="http://schemas.openxmlformats.org/officeDocument/2006/relationships/image" Target="media/image184.png"/><Relationship Id="rId281" Type="http://schemas.openxmlformats.org/officeDocument/2006/relationships/image" Target="media/image185.png"/><Relationship Id="rId282" Type="http://schemas.openxmlformats.org/officeDocument/2006/relationships/image" Target="media/image186.png"/><Relationship Id="rId283" Type="http://schemas.openxmlformats.org/officeDocument/2006/relationships/image" Target="media/image187.png"/><Relationship Id="rId284" Type="http://schemas.openxmlformats.org/officeDocument/2006/relationships/image" Target="media/image188.png"/><Relationship Id="rId285" Type="http://schemas.openxmlformats.org/officeDocument/2006/relationships/image" Target="media/image189.png"/><Relationship Id="rId286" Type="http://schemas.openxmlformats.org/officeDocument/2006/relationships/image" Target="media/image190.png"/><Relationship Id="rId287" Type="http://schemas.openxmlformats.org/officeDocument/2006/relationships/image" Target="media/image191.png"/><Relationship Id="rId288" Type="http://schemas.openxmlformats.org/officeDocument/2006/relationships/image" Target="media/image192.png"/><Relationship Id="rId289" Type="http://schemas.openxmlformats.org/officeDocument/2006/relationships/image" Target="media/image193.png"/><Relationship Id="rId290" Type="http://schemas.openxmlformats.org/officeDocument/2006/relationships/image" Target="media/image194.png"/><Relationship Id="rId291" Type="http://schemas.openxmlformats.org/officeDocument/2006/relationships/image" Target="media/image195.png"/><Relationship Id="rId292" Type="http://schemas.openxmlformats.org/officeDocument/2006/relationships/image" Target="media/image196.png"/><Relationship Id="rId293" Type="http://schemas.openxmlformats.org/officeDocument/2006/relationships/image" Target="media/image197.png"/><Relationship Id="rId294" Type="http://schemas.openxmlformats.org/officeDocument/2006/relationships/image" Target="media/image198.png"/><Relationship Id="rId295" Type="http://schemas.openxmlformats.org/officeDocument/2006/relationships/image" Target="media/image199.png"/><Relationship Id="rId296" Type="http://schemas.openxmlformats.org/officeDocument/2006/relationships/image" Target="media/image200.png"/><Relationship Id="rId297" Type="http://schemas.openxmlformats.org/officeDocument/2006/relationships/image" Target="media/image201.png"/><Relationship Id="rId298" Type="http://schemas.openxmlformats.org/officeDocument/2006/relationships/image" Target="media/image202.png"/><Relationship Id="rId299" Type="http://schemas.openxmlformats.org/officeDocument/2006/relationships/image" Target="media/image203.png"/><Relationship Id="rId300" Type="http://schemas.openxmlformats.org/officeDocument/2006/relationships/image" Target="media/image204.png"/><Relationship Id="rId301" Type="http://schemas.openxmlformats.org/officeDocument/2006/relationships/image" Target="media/image205.png"/><Relationship Id="rId302" Type="http://schemas.openxmlformats.org/officeDocument/2006/relationships/image" Target="media/image206.png"/><Relationship Id="rId303" Type="http://schemas.openxmlformats.org/officeDocument/2006/relationships/image" Target="media/image207.png"/><Relationship Id="rId304" Type="http://schemas.openxmlformats.org/officeDocument/2006/relationships/image" Target="media/image208.png"/><Relationship Id="rId305" Type="http://schemas.openxmlformats.org/officeDocument/2006/relationships/image" Target="media/image209.png"/><Relationship Id="rId306" Type="http://schemas.openxmlformats.org/officeDocument/2006/relationships/image" Target="media/image210.png"/><Relationship Id="rId307" Type="http://schemas.openxmlformats.org/officeDocument/2006/relationships/image" Target="media/image211.png"/><Relationship Id="rId308" Type="http://schemas.openxmlformats.org/officeDocument/2006/relationships/image" Target="media/image212.png"/><Relationship Id="rId309" Type="http://schemas.openxmlformats.org/officeDocument/2006/relationships/image" Target="media/image213.png"/><Relationship Id="rId310" Type="http://schemas.openxmlformats.org/officeDocument/2006/relationships/image" Target="media/image214.png"/><Relationship Id="rId311" Type="http://schemas.openxmlformats.org/officeDocument/2006/relationships/image" Target="media/image215.png"/><Relationship Id="rId122" Type="http://schemas.openxmlformats.org/officeDocument/2006/relationships/hyperlink" Target="http://www.sec.gov/Archives/edgar/data/872589/000153217615000029/regn-ex_31x06302015x10q.htm" TargetMode="External"/><Relationship Id="rId123" Type="http://schemas.openxmlformats.org/officeDocument/2006/relationships/hyperlink" Target="http://www.sec.gov/Archives/edgar/data/872589/000110465916163216/a16-23471_1ex3d2.htm" TargetMode="External"/><Relationship Id="rId124" Type="http://schemas.openxmlformats.org/officeDocument/2006/relationships/hyperlink" Target="http://www.sec.gov/Archives/edgar/data/872589/000153217620000008/regn-ex41xdescriptiono.htm" TargetMode="External"/><Relationship Id="rId125" Type="http://schemas.openxmlformats.org/officeDocument/2006/relationships/hyperlink" Target="http://www.sec.gov/Archives/edgar/data/872589/000110465920093924/tm2027319d1_ex4-1.htm" TargetMode="External"/><Relationship Id="rId126" Type="http://schemas.openxmlformats.org/officeDocument/2006/relationships/hyperlink" Target="http://www.sec.gov/Archives/edgar/data/872589/000110465920093924/tm2027319d1_ex4-2.htm" TargetMode="External"/><Relationship Id="rId127" Type="http://schemas.openxmlformats.org/officeDocument/2006/relationships/hyperlink" Target="http://www.sec.gov/Archives/edgar/data/872589/000120677411001374/exhibit99-1.htm" TargetMode="External"/><Relationship Id="rId128" Type="http://schemas.openxmlformats.org/officeDocument/2006/relationships/hyperlink" Target="http://www.sec.gov/Archives/edgar/data/872589/000120677409000907/exhibit10-1.htm" TargetMode="External"/><Relationship Id="rId129" Type="http://schemas.openxmlformats.org/officeDocument/2006/relationships/hyperlink" Target="http://www.sec.gov/Archives/edgar/data/872589/000120677409000907/exhibit10-2.htm" TargetMode="External"/><Relationship Id="rId130" Type="http://schemas.openxmlformats.org/officeDocument/2006/relationships/hyperlink" Target="http://www.sec.gov/Archives/edgar/data/872589/000120677411000263/exhibit10_1-7.htm" TargetMode="External"/><Relationship Id="rId131" Type="http://schemas.openxmlformats.org/officeDocument/2006/relationships/hyperlink" Target="http://www.sec.gov/Archives/edgar/data/872589/000120677411000263/exhibit10_1-8.htm" TargetMode="External"/><Relationship Id="rId132" Type="http://schemas.openxmlformats.org/officeDocument/2006/relationships/hyperlink" Target="http://www.sec.gov/Archives/edgar/data/872589/000120677412000709/exhibit10-1_9.htm" TargetMode="External"/><Relationship Id="rId135" Type="http://schemas.openxmlformats.org/officeDocument/2006/relationships/hyperlink" Target="http://www.sec.gov/Archives/edgar/data/872589/000153217614000008/exhibit10110.htm" TargetMode="External"/><Relationship Id="rId137" Type="http://schemas.openxmlformats.org/officeDocument/2006/relationships/hyperlink" Target="http://www.sec.gov/Archives/edgar/data/872589/000110465917038718/a17-14867_1ex99d1.htm" TargetMode="External"/><Relationship Id="rId138" Type="http://schemas.openxmlformats.org/officeDocument/2006/relationships/hyperlink" Target="http://www.sec.gov/Archives/edgar/data/872589/000119312514240075/d741250dex101.htm" TargetMode="External"/><Relationship Id="rId140" Type="http://schemas.openxmlformats.org/officeDocument/2006/relationships/hyperlink" Target="http://www.sec.gov/Archives/edgar/data/872589/000119312514240075/d741250dex103.htm" TargetMode="External"/><Relationship Id="rId141" Type="http://schemas.openxmlformats.org/officeDocument/2006/relationships/hyperlink" Target="http://www.sec.gov/Archives/edgar/data/872589/000119312514240075/d741250dex104.htm" TargetMode="External"/><Relationship Id="rId143" Type="http://schemas.openxmlformats.org/officeDocument/2006/relationships/hyperlink" Target="http://www.sec.gov/Archives/edgar/data/872589/000153217616000045/regn-ex_1025x12312015x10k.htm" TargetMode="External"/><Relationship Id="rId144" Type="http://schemas.openxmlformats.org/officeDocument/2006/relationships/hyperlink" Target="http://www.sec.gov/Archives/edgar/data/872589/000110465915080234/a15-23696_1ex10d1.htm" TargetMode="External"/><Relationship Id="rId146" Type="http://schemas.openxmlformats.org/officeDocument/2006/relationships/hyperlink" Target="http://www.sec.gov/Archives/edgar/data/872589/000110465915080234/a15-23696_1ex10d3.htm" TargetMode="External"/><Relationship Id="rId147" Type="http://schemas.openxmlformats.org/officeDocument/2006/relationships/hyperlink" Target="http://www.sec.gov/Archives/edgar/data/872589/000153217616000045/regn-ex_10210x12312015x10k.htm" TargetMode="External"/><Relationship Id="rId149" Type="http://schemas.openxmlformats.org/officeDocument/2006/relationships/hyperlink" Target="http://www.sec.gov/Archives/edgar/data/872589/000153217618000013/regn-ex_10211xar2014ltipnq.htm" TargetMode="External"/><Relationship Id="rId150" Type="http://schemas.openxmlformats.org/officeDocument/2006/relationships/hyperlink" Target="http://www.sec.gov/Archives/edgar/data/872589/000153217618000013/regn-ex_10213xar2014ltipnq.htm" TargetMode="External"/><Relationship Id="rId152" Type="http://schemas.openxmlformats.org/officeDocument/2006/relationships/hyperlink" Target="http://www.sec.gov/Archives/edgar/data/872589/000153217618000013/regn-ex_10215xar2014ltiprs.htm" TargetMode="External"/><Relationship Id="rId153" Type="http://schemas.openxmlformats.org/officeDocument/2006/relationships/hyperlink" Target="http://www.sec.gov/Archives/edgar/data/872589/000153217618000013/regn-ex_10216xar2014ltipnq.htm" TargetMode="External"/><Relationship Id="rId155" Type="http://schemas.openxmlformats.org/officeDocument/2006/relationships/hyperlink" Target="http://www.sec.gov/Archives/edgar/data/872589/000153217619000009/regn-ex_10217xstockoptiona.htm" TargetMode="External"/><Relationship Id="rId157" Type="http://schemas.openxmlformats.org/officeDocument/2006/relationships/hyperlink" Target="http://www.sec.gov/Archives/edgar/data/872589/000153217619000009/regn-ex_10218xstockoptiona.htm" TargetMode="External"/><Relationship Id="rId158" Type="http://schemas.openxmlformats.org/officeDocument/2006/relationships/hyperlink" Target="http://www.sec.gov/Archives/edgar/data/872589/000153217619000009/regn-ex_10219xar2014ltiprs.htm" TargetMode="External"/><Relationship Id="rId159" Type="http://schemas.openxmlformats.org/officeDocument/2006/relationships/hyperlink" Target="http://www.sec.gov/Archives/edgar/data/872589/000153217619000009/regn-ex_10220xar2014ltipnq.htm" TargetMode="External"/><Relationship Id="rId160" Type="http://schemas.openxmlformats.org/officeDocument/2006/relationships/hyperlink" Target="http://www.sec.gov/Archives/edgar/data/872589/000153217619000009/regn-ex_10221xar2014ltiprs.htm" TargetMode="External"/><Relationship Id="rId161" Type="http://schemas.openxmlformats.org/officeDocument/2006/relationships/hyperlink" Target="http://www.sec.gov/Archives/edgar/data/872589/000153217620000008/regn-ex10217ar2014ltip.htm" TargetMode="External"/><Relationship Id="rId162" Type="http://schemas.openxmlformats.org/officeDocument/2006/relationships/hyperlink" Target="http://www.sec.gov/Archives/edgar/data/872589/000153217620000008/regn-ex10218ar2014ltip.htm" TargetMode="External"/><Relationship Id="rId163" Type="http://schemas.openxmlformats.org/officeDocument/2006/relationships/hyperlink" Target="http://www.sec.gov/Archives/edgar/data/872589/000153217620000008/regn-ex10219ar2014ltip.htm" TargetMode="External"/><Relationship Id="rId164" Type="http://schemas.openxmlformats.org/officeDocument/2006/relationships/hyperlink" Target="http://www.sec.gov/Archives/edgar/data/872589/000153217620000008/regn-ex10220ar2014ltip.htm" TargetMode="External"/><Relationship Id="rId165" Type="http://schemas.openxmlformats.org/officeDocument/2006/relationships/hyperlink" Target="http://www.sec.gov/Archives/edgar/data/872589/000153217620000008/regn-ex10221ar2014ltip.htm" TargetMode="External"/><Relationship Id="rId166" Type="http://schemas.openxmlformats.org/officeDocument/2006/relationships/hyperlink" Target="http://www.sec.gov/Archives/edgar/data/872589/000153217620000008/regn-ex10222ar2014ltip.htm" TargetMode="External"/><Relationship Id="rId167" Type="http://schemas.openxmlformats.org/officeDocument/2006/relationships/hyperlink" Target="http://www.sec.gov/Archives/edgar/data/872589/000110465920073764/tm2022552d1_ex99-1.htm" TargetMode="External"/><Relationship Id="rId168" Type="http://schemas.openxmlformats.org/officeDocument/2006/relationships/hyperlink" Target="http://www.sec.gov/Archives/edgar/data/872589/000180422021000008/regn-ex_1031x12312020x10k.htm" TargetMode="External"/><Relationship Id="rId169" Type="http://schemas.openxmlformats.org/officeDocument/2006/relationships/hyperlink" Target="http://www.sec.gov/Archives/edgar/data/872589/000180422021000008/regn-ex_1032x12312020x10k.htm" TargetMode="External"/><Relationship Id="rId172" Type="http://schemas.openxmlformats.org/officeDocument/2006/relationships/hyperlink" Target="http://www.sec.gov/Archives/edgar/data/872589/000180422021000008/regn-ex_1033x12312020x10k.htm" TargetMode="External"/><Relationship Id="rId173" Type="http://schemas.openxmlformats.org/officeDocument/2006/relationships/hyperlink" Target="http://www.sec.gov/Archives/edgar/data/872589/000180422021000008/regn-ex_1034x12312020x10k.htm" TargetMode="External"/><Relationship Id="rId174" Type="http://schemas.openxmlformats.org/officeDocument/2006/relationships/hyperlink" Target="http://www.sec.gov/Archives/edgar/data/872589/000180422021000008/regn-ex_1035x12312020x10k.htm" TargetMode="External"/><Relationship Id="rId175" Type="http://schemas.openxmlformats.org/officeDocument/2006/relationships/hyperlink" Target="http://www.sec.gov/Archives/edgar/data/872589/000180422021000008/regn-ex_1036x12312020x10k.htm" TargetMode="External"/><Relationship Id="rId176" Type="http://schemas.openxmlformats.org/officeDocument/2006/relationships/hyperlink" Target="http://www.sec.gov/Archives/edgar/data/872589/000180422021000008/regn-ex_1037x12312020x10k.htm" TargetMode="External"/><Relationship Id="rId177" Type="http://schemas.openxmlformats.org/officeDocument/2006/relationships/hyperlink" Target="http://www.sec.gov/Archives/edgar/data/872589/000120677409000338/exhibit10-3.htm" TargetMode="External"/><Relationship Id="rId178" Type="http://schemas.openxmlformats.org/officeDocument/2006/relationships/hyperlink" Target="http://www.sec.gov/Archives/edgar/data/872589/000095012305002979/y06183exv10w7.txt" TargetMode="External"/><Relationship Id="rId179" Type="http://schemas.openxmlformats.org/officeDocument/2006/relationships/hyperlink" Target="http://www.sec.gov/Archives/edgar/data/872589/000119312513365438/d596986dex101.htm" TargetMode="External"/><Relationship Id="rId180" Type="http://schemas.openxmlformats.org/officeDocument/2006/relationships/hyperlink" Target="http://www.sec.gov/Archives/edgar/data/872589/000120677409000338/exhibit10-5.htm" TargetMode="External"/><Relationship Id="rId181" Type="http://schemas.openxmlformats.org/officeDocument/2006/relationships/hyperlink" Target="http://www.sec.gov/Archives/edgar/data/872589/000110465915045962/a15-14252_1ex10d1.htm" TargetMode="External"/><Relationship Id="rId182" Type="http://schemas.openxmlformats.org/officeDocument/2006/relationships/hyperlink" Target="http://www.sec.gov/Archives/edgar/data/872589/000120677409001498/exhibit10-1.htm" TargetMode="External"/><Relationship Id="rId183" Type="http://schemas.openxmlformats.org/officeDocument/2006/relationships/hyperlink" Target="http://www.sec.gov/Archives/edgar/data/872589/000153217615000020/regn-ex_101x03312015x10q.htm" TargetMode="External"/><Relationship Id="rId184" Type="http://schemas.openxmlformats.org/officeDocument/2006/relationships/hyperlink" Target="http://www.sec.gov/Archives/edgar/data/872589/000095012306013527/y26593exv10w1.htm" TargetMode="External"/><Relationship Id="rId185" Type="http://schemas.openxmlformats.org/officeDocument/2006/relationships/hyperlink" Target="http://www.sec.gov/Archives/edgar/data/872589/000153217615000008/regn-ex_10101x12312014x10k.htm" TargetMode="External"/><Relationship Id="rId186" Type="http://schemas.openxmlformats.org/officeDocument/2006/relationships/hyperlink" Target="http://www.sec.gov/Archives/edgar/data/872589/000153217620000008/regn-ex10102secondamen.htm" TargetMode="External"/><Relationship Id="rId187" Type="http://schemas.openxmlformats.org/officeDocument/2006/relationships/hyperlink" Target="http://www.sec.gov/Archives/edgar/data/872589/000153217614000022/regn-ex_102x03312014x10q.htm" TargetMode="External"/><Relationship Id="rId190" Type="http://schemas.openxmlformats.org/officeDocument/2006/relationships/hyperlink" Target="http://www.sec.gov/Archives/edgar/data/872589/000120677410001385/exhibit10-14.htm" TargetMode="External"/><Relationship Id="rId192" Type="http://schemas.openxmlformats.org/officeDocument/2006/relationships/hyperlink" Target="http://www.sec.gov/Archives/edgar/data/872589/000153217615000037/regn-ex_103x09302015x10q.htm" TargetMode="External"/><Relationship Id="rId194" Type="http://schemas.openxmlformats.org/officeDocument/2006/relationships/hyperlink" Target="http://www.sec.gov/Archives/edgar/data/872589/000120677410001385/exhibit10-15.htm" TargetMode="External"/><Relationship Id="rId195" Type="http://schemas.openxmlformats.org/officeDocument/2006/relationships/hyperlink" Target="http://www.sec.gov/Archives/edgar/data/872589/000153217613000022/regn-ex_105x6302013x10q.htm" TargetMode="External"/><Relationship Id="rId197" Type="http://schemas.openxmlformats.org/officeDocument/2006/relationships/hyperlink" Target="http://www.sec.gov/Archives/edgar/data/872589/000153217615000037/regn-ex_104x09302015x10q.htm" TargetMode="External"/><Relationship Id="rId198" Type="http://schemas.openxmlformats.org/officeDocument/2006/relationships/hyperlink" Target="http://www.sec.gov/Archives/edgar/data/872589/000180422020000022/regn-ex103x06302020x10q.htm" TargetMode="External"/><Relationship Id="rId200" Type="http://schemas.openxmlformats.org/officeDocument/2006/relationships/hyperlink" Target="http://www.sec.gov/Archives/edgar/data/872589/000180422020000022/regn-ex104x06302020x10q.htm" TargetMode="External"/><Relationship Id="rId202" Type="http://schemas.openxmlformats.org/officeDocument/2006/relationships/hyperlink" Target="http://www.sec.gov/Archives/edgar/data/872589/000119312514008775/d659864dex101.htm" TargetMode="External"/><Relationship Id="rId203" Type="http://schemas.openxmlformats.org/officeDocument/2006/relationships/hyperlink" Target="http://www.sec.gov/Archives/edgar/data/872589/000110465920067752/tm2021201d1_ex10-2.htm" TargetMode="External"/><Relationship Id="rId205" Type="http://schemas.openxmlformats.org/officeDocument/2006/relationships/hyperlink" Target="http://www.sec.gov/Archives/edgar/data/872589/000153217613000022/regn-ex_106x6302013x10q.htm" TargetMode="External"/><Relationship Id="rId206" Type="http://schemas.openxmlformats.org/officeDocument/2006/relationships/hyperlink" Target="http://www.sec.gov/Archives/edgar/data/872589/000110465918073328/a18-41689_1ex10d1.htm" TargetMode="External"/><Relationship Id="rId208" Type="http://schemas.openxmlformats.org/officeDocument/2006/relationships/hyperlink" Target="http://www.sec.gov/Archives/edgar/data/872589/000153217619000009/regn-ex_1017xamendedio.htm" TargetMode="External"/><Relationship Id="rId210" Type="http://schemas.openxmlformats.org/officeDocument/2006/relationships/hyperlink" Target="http://www.sec.gov/Archives/edgar/data/872589/000153217615000037/regn-ex_102x09302015x10q.htm" TargetMode="External"/><Relationship Id="rId212" Type="http://schemas.openxmlformats.org/officeDocument/2006/relationships/hyperlink" Target="http://www.sec.gov/Archives/edgar/data/872589/000153217615000037/regn-ex_107x09302015x10q.htm" TargetMode="External"/><Relationship Id="rId213" Type="http://schemas.openxmlformats.org/officeDocument/2006/relationships/hyperlink" Target="http://www.sec.gov/Archives/edgar/data/872589/000153217616000055/regn-ex_102x03312016x10q.htm" TargetMode="External"/><Relationship Id="rId214" Type="http://schemas.openxmlformats.org/officeDocument/2006/relationships/hyperlink" Target="http://www.sec.gov/Archives/edgar/data/872589/000153217616000082/regn-ex_101xteva.htm" TargetMode="External"/><Relationship Id="rId215" Type="http://schemas.openxmlformats.org/officeDocument/2006/relationships/hyperlink" Target="http://www.sec.gov/Archives/edgar/data/872589/000153217617000008/regn-ex_1035xlandmarkpsaex.htm" TargetMode="External"/><Relationship Id="rId216" Type="http://schemas.openxmlformats.org/officeDocument/2006/relationships/hyperlink" Target="http://www.sec.gov/Archives/edgar/data/872589/000093041319001557/c93557_ex10-1.htm" TargetMode="External"/><Relationship Id="rId217" Type="http://schemas.openxmlformats.org/officeDocument/2006/relationships/hyperlink" Target="http://www.sec.gov/Archives/edgar/data/872589/000093041319001557/c93557_ex10-2.htm" TargetMode="External"/><Relationship Id="rId218" Type="http://schemas.openxmlformats.org/officeDocument/2006/relationships/hyperlink" Target="http://www.sec.gov/Archives/edgar/data/872589/000093041319001557/c93557_ex10-3.htm" TargetMode="External"/><Relationship Id="rId219" Type="http://schemas.openxmlformats.org/officeDocument/2006/relationships/hyperlink" Target="http://www.sec.gov/Archives/edgar/data/872589/000153217618000020/regn-ex_102xletteragreemen.htm" TargetMode="External"/><Relationship Id="rId220" Type="http://schemas.openxmlformats.org/officeDocument/2006/relationships/hyperlink" Target="http://www.sec.gov/Archives/edgar/data/872589/000153217619000026/regn-ex104.htm" TargetMode="External"/><Relationship Id="rId221" Type="http://schemas.openxmlformats.org/officeDocument/2006/relationships/hyperlink" Target="http://www.sec.gov/Archives/edgar/data/872589/000153217619000026/regn-ex1041.htm" TargetMode="External"/><Relationship Id="rId222" Type="http://schemas.openxmlformats.org/officeDocument/2006/relationships/hyperlink" Target="http://www.sec.gov/Archives/edgar/data/872589/000153217619000026/regn-ex1042.htm" TargetMode="External"/><Relationship Id="rId223" Type="http://schemas.openxmlformats.org/officeDocument/2006/relationships/hyperlink" Target="http://www.sec.gov/Archives/edgar/data/872589/000153217619000026/regn-ex105.htm" TargetMode="External"/><Relationship Id="rId224" Type="http://schemas.openxmlformats.org/officeDocument/2006/relationships/hyperlink" Target="http://www.sec.gov/Archives/edgar/data/872589/000153217619000026/regn-ex106.htm" TargetMode="External"/><Relationship Id="rId225" Type="http://schemas.openxmlformats.org/officeDocument/2006/relationships/hyperlink" Target="http://www.sec.gov/Archives/edgar/data/872589/000110465920067752/tm2021201d1_ex10-1.htm" TargetMode="External"/><Relationship Id="rId226" Type="http://schemas.openxmlformats.org/officeDocument/2006/relationships/hyperlink" Target="http://www.sec.gov/Archives/edgar/data/872589/000180422020000030/regn-ex101x09302020x10q.htm" TargetMode="External"/><Relationship Id="rId227" Type="http://schemas.openxmlformats.org/officeDocument/2006/relationships/hyperlink" Target="http://www.sec.gov/Archives/edgar/data/872589/000180422021000008/regn_exx1034-12312020x10k.htm" TargetMode="External"/><Relationship Id="rId230" Type="http://schemas.openxmlformats.org/officeDocument/2006/relationships/hyperlink" Target="http://www.sec.gov/Archives/edgar/data/872589/000180422021000008/regn-ex_10341x12312020x10k.htm" TargetMode="External"/><Relationship Id="rId231" Type="http://schemas.openxmlformats.org/officeDocument/2006/relationships/hyperlink" Target="http://www.sec.gov/Archives/edgar/data/872589/000180422021000008/regn-ex_10342x12312020x10k.htm" TargetMode="External"/><Relationship Id="rId232" Type="http://schemas.openxmlformats.org/officeDocument/2006/relationships/hyperlink" Target="http://www.sec.gov/Archives/edgar/data/872589/000180422020000030/regn-ex103x09302020x10q.htm" TargetMode="External"/><Relationship Id="rId233" Type="http://schemas.openxmlformats.org/officeDocument/2006/relationships/hyperlink" Target="http://www.sec.gov/Archives/edgar/data/872589/000180422021000017/regn-ex_101x3312021x10q.htm" TargetMode="External"/><Relationship Id="rId234" Type="http://schemas.openxmlformats.org/officeDocument/2006/relationships/hyperlink" Target="http://www.sec.gov/Archives/edgar/data/872589/000180422021000033/regen-ex_101x9302021x10q.htm" TargetMode="External"/><Relationship Id="rId235" Type="http://schemas.openxmlformats.org/officeDocument/2006/relationships/hyperlink" Target="http://www.sec.gov/Archives/edgar/data/872589/000180422021000033/regen-ex_102x9302021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2022-02-07T08:30:32Z</dcterms:created>
  <dcterms:modified xsi:type="dcterms:W3CDTF">2022-02-07T08:30:32Z</dcterms:modified>
</cp:coreProperties>
</file>